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Microsoft YaHei" w:cs="Microsoft YaHei" w:eastAsia="Microsoft YaHei" w:hAnsi="Microsoft YaHei"/>
          <w:b/>
          <w:bCs/>
          <w:color w:val="003366"/>
          <w:sz w:val="44"/>
          <w:szCs w:val="44"/>
        </w:rPr>
        <w:t xml:space="preserve">周　斌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color w:val="003366"/>
          <w:sz w:val="22"/>
          <w:szCs w:val="22"/>
        </w:rPr>
        <w:t xml:space="preserve">数据驱动运营负责人 / 经营分析专家</w:t>
      </w:r>
    </w:p>
    <w:p>
      <w:pPr>
        <w:spacing w:after="60"/>
      </w:pPr>
      <w:r>
        <w:rPr>
          <w:rFonts w:ascii="Microsoft YaHei" w:cs="Microsoft YaHei" w:eastAsia="Microsoft YaHei" w:hAnsi="Microsoft YaHei"/>
          <w:color w:val="666666"/>
          <w:sz w:val="19"/>
          <w:szCs w:val="19"/>
        </w:rPr>
        <w:t xml:space="preserve">北京  |  151****2534（微信同号）  |  zzhhoubin@126.com</w:t>
      </w:r>
    </w:p>
    <w:p>
      <w:pPr>
        <w:pBdr>
          <w:bottom w:val="single" w:color="003366" w:sz="12" w:space="6"/>
        </w:pBdr>
        <w:spacing w:after="60" w:line="264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11 年数据与经营分析背景，近年转型一线运营负责人，擅长以「数据 + AI」双驱动重塑运营流程。从 0 到 1 搭建充电站运营体系，支撑全国 12000+ 充电终端，推动枪效提升 60%、日均流水达 130 万；具备从指标体系、经营分析到利润优化、用户增长的全链路落地能力。</w:t>
      </w:r>
    </w:p>
    <w:p>
      <w:pPr>
        <w:pBdr>
          <w:left w:val="single" w:color="003366" w:sz="18" w:space="8"/>
        </w:pBd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003366"/>
          <w:sz w:val="24"/>
          <w:szCs w:val="24"/>
        </w:rPr>
        <w:t xml:space="preserve">  专业技能</w:t>
      </w:r>
    </w:p>
    <w:p>
      <w:pPr>
        <w:spacing w:after="50" w:line="252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数据化运营与增长：</w:t>
      </w: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用户成长 / VIP 会员体系、用户分层与生命周期管理、补贴与定价策略、拉新留存提升</w:t>
      </w:r>
    </w:p>
    <w:p>
      <w:pPr>
        <w:spacing w:after="50" w:line="252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经营分析与商业决策：</w:t>
      </w: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目标预算拆解、XBR 经营分析体系、关键指标异动归因、利润优化、数据看板</w:t>
      </w:r>
    </w:p>
    <w:p>
      <w:pPr>
        <w:spacing w:after="50" w:line="252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AI 应用与流程自动化：</w:t>
      </w: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AI 运营工作流搭建、Prompt Engineering、素材批量生成、智能异动分析、AI 自动打标、VibeCoding</w:t>
      </w:r>
    </w:p>
    <w:p>
      <w:pPr>
        <w:spacing w:after="50" w:line="252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数据分析技术栈：</w:t>
      </w: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SQL、Python、Tableau、机器学习、A/B 测试、埋点设计与指标体系</w:t>
      </w:r>
    </w:p>
    <w:p>
      <w:pPr>
        <w:spacing w:after="50" w:line="252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项目管理与协作：</w:t>
      </w: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跨职能项目管理（曾拉通 20+ 人研发团队）、需求收口、团队管理</w:t>
      </w:r>
    </w:p>
    <w:p>
      <w:pPr>
        <w:spacing w:after="50" w:line="252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认证：</w:t>
      </w: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高级数据分析师证书（工信部）、特许金融分析师（CFA）</w:t>
      </w:r>
    </w:p>
    <w:p>
      <w:pPr>
        <w:pBdr>
          <w:left w:val="single" w:color="003366" w:sz="18" w:space="8"/>
        </w:pBd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003366"/>
          <w:sz w:val="24"/>
          <w:szCs w:val="24"/>
        </w:rPr>
        <w:t xml:space="preserve">  工作经历</w:t>
      </w:r>
    </w:p>
    <w:p>
      <w:pPr>
        <w:tabs>
          <w:tab w:val="right" w:pos="9026"/>
        </w:tabs>
        <w:spacing w:after="20" w:before="12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城芯科技（北京）有限公司</w:t>
      </w: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  |  </w:t>
      </w:r>
      <w:r>
        <w:rPr>
          <w:rFonts w:ascii="Microsoft YaHei" w:cs="Microsoft YaHei" w:eastAsia="Microsoft YaHei" w:hAnsi="Microsoft YaHei"/>
          <w:b/>
          <w:bCs/>
          <w:color w:val="003366"/>
          <w:sz w:val="22"/>
          <w:szCs w:val="22"/>
        </w:rPr>
        <w:t xml:space="preserve">运营负责人（创业）</w:t>
      </w:r>
      <w:r>
        <w:rPr>
          <w:rFonts w:ascii="Microsoft YaHei" w:cs="Microsoft YaHei" w:eastAsia="Microsoft YaHei" w:hAnsi="Microsoft YaHei"/>
          <w:color w:val="666666"/>
          <w:sz w:val="19"/>
          <w:szCs w:val="19"/>
        </w:rPr>
        <w:t xml:space="preserve">	2024.05 — 至今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运营体系 0→1 构建：</w:t>
      </w: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主导充电站运营全生命周期 SOP 设计与落地，覆盖场站接入、调试上线、用户运营、活动运营与服务品控，将新站平均上线周期缩短 26%，支撑全国 12000+ 充电终端的快速交付与高效运维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数据驱动业绩增长：</w:t>
      </w: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通过单站模型优化 + 标准化复制与区域聚焦策略，12 个月内将单枪日均充电量（枪效）提升至 176，较运营初期提升 60%，日均流水达 130 万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用户增长与忠诚度体系：</w:t>
      </w: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设计并落地用户成长体系、VIP 会员权益及生命周期管理模型，通过任务积分、分层权益与精准补贴，关键场站用户月均充电频次提升 15%，会员次月留存稳定在 71% 以上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AI 重塑运营流程：</w:t>
      </w: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搭建「AI 执行重复工作 + 人工决策」的运营工作流，沉淀 9 个高频运营 / 数据分析 Skills（活动素材制作、指标异动分析、客服投诉分类、经营分析报告生成等），将原需 2-3 人的基础工作压缩至 1 人，异动排查耗时压缩到 2 小时内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数据化决策闭环：</w:t>
      </w: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定义关键指标，搭建业务数据看板与异常预警机制，基于运营、用户行为及财务数据持续迭代定价、补贴与资源调度策略</w:t>
      </w:r>
    </w:p>
    <w:p>
      <w:pPr>
        <w:tabs>
          <w:tab w:val="right" w:pos="9026"/>
        </w:tabs>
        <w:spacing w:after="20" w:before="12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能链智电</w:t>
      </w: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  |  </w:t>
      </w:r>
      <w:r>
        <w:rPr>
          <w:rFonts w:ascii="Microsoft YaHei" w:cs="Microsoft YaHei" w:eastAsia="Microsoft YaHei" w:hAnsi="Microsoft YaHei"/>
          <w:b/>
          <w:bCs/>
          <w:color w:val="003366"/>
          <w:sz w:val="22"/>
          <w:szCs w:val="22"/>
        </w:rPr>
        <w:t xml:space="preserve">经营分析</w:t>
      </w:r>
      <w:r>
        <w:rPr>
          <w:rFonts w:ascii="Microsoft YaHei" w:cs="Microsoft YaHei" w:eastAsia="Microsoft YaHei" w:hAnsi="Microsoft YaHei"/>
          <w:color w:val="666666"/>
          <w:sz w:val="19"/>
          <w:szCs w:val="19"/>
        </w:rPr>
        <w:t xml:space="preserve">	2023.04 — 2024.05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经营分析体系：</w:t>
      </w: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搭建并迭代互联互通、SaaS 业务线 XBR 体系与数据看板，建立流水等重点指标的异动归因与预测监控模型，定期解读业务表现、定位问题并推动解决方案落地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目标与绩效管理：</w:t>
      </w: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负责多业务线目标预算制定与拆解，将整体经营目标分解至业务线 / 周期 / 地域 / 部门并给出可达路径建议，对接财务、战略确保经营目标上下一致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拉新策略分析：</w:t>
      </w: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建立场站拉新评分模型指导资源精准投放，策略落地后线下拉新 ROI 提升 8%、单客获客成本降低 3%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团队管理：</w:t>
      </w: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负责数据分析小组人员管理、节奏推进与交付质量把控，参与商分团队组织规划及新人成长指南计划</w:t>
      </w:r>
    </w:p>
    <w:p>
      <w:pPr>
        <w:tabs>
          <w:tab w:val="right" w:pos="9026"/>
        </w:tabs>
        <w:spacing w:after="20" w:before="12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京东</w:t>
      </w: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  |  </w:t>
      </w:r>
      <w:r>
        <w:rPr>
          <w:rFonts w:ascii="Microsoft YaHei" w:cs="Microsoft YaHei" w:eastAsia="Microsoft YaHei" w:hAnsi="Microsoft YaHei"/>
          <w:b/>
          <w:bCs/>
          <w:color w:val="003366"/>
          <w:sz w:val="22"/>
          <w:szCs w:val="22"/>
        </w:rPr>
        <w:t xml:space="preserve">经营分析</w:t>
      </w:r>
      <w:r>
        <w:rPr>
          <w:rFonts w:ascii="Microsoft YaHei" w:cs="Microsoft YaHei" w:eastAsia="Microsoft YaHei" w:hAnsi="Microsoft YaHei"/>
          <w:color w:val="666666"/>
          <w:sz w:val="19"/>
          <w:szCs w:val="19"/>
        </w:rPr>
        <w:t xml:space="preserve">	2020.10 — 2023.04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指标体系 0→1：</w:t>
      </w: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搭建智能家居业务指标体系，完成 APP/H5 埋点设计、数据开发与可视化，定位增长北极星指标并拆解转化漏斗，找到 KPI 提升卡点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分析体系自动化：</w:t>
      </w: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搭建日 / 周 / 月报分析体系，实现报表自动化可视化与异动监控，沉淀可复用分析框架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标签体系与用户策略：</w:t>
      </w: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0→1 设计服务转化与拉新场景用户标签并打通平台生产链路；通过数据分析 + A/B 测试优化短信拉新触达时机与文案，提升短信拉新 ROI</w:t>
      </w:r>
    </w:p>
    <w:p>
      <w:pPr>
        <w:tabs>
          <w:tab w:val="right" w:pos="9026"/>
        </w:tabs>
        <w:spacing w:after="20" w:before="12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58 同城</w:t>
      </w: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  |  </w:t>
      </w:r>
      <w:r>
        <w:rPr>
          <w:rFonts w:ascii="Microsoft YaHei" w:cs="Microsoft YaHei" w:eastAsia="Microsoft YaHei" w:hAnsi="Microsoft YaHei"/>
          <w:b/>
          <w:bCs/>
          <w:color w:val="003366"/>
          <w:sz w:val="22"/>
          <w:szCs w:val="22"/>
        </w:rPr>
        <w:t xml:space="preserve">数据分析</w:t>
      </w:r>
      <w:r>
        <w:rPr>
          <w:rFonts w:ascii="Microsoft YaHei" w:cs="Microsoft YaHei" w:eastAsia="Microsoft YaHei" w:hAnsi="Microsoft YaHei"/>
          <w:color w:val="666666"/>
          <w:sz w:val="19"/>
          <w:szCs w:val="19"/>
        </w:rPr>
        <w:t xml:space="preserve">	2017.04 — 2020.10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数据产品 0→1：</w:t>
      </w: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主导客服 / 销售场景数据产品 MAI 设计，拉通 20+ 人研发团队推动落地，应用于 CRM 销售作业全流程（详见项目经验）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商机价值挖掘：</w:t>
      </w: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通过企业客户会员消耗 / 续费 / 充值行为分析识别高价值商机特征，协同算法团队优化线索评分与排序策略，驱动销售转化效率提升与资源精准投放</w:t>
      </w:r>
    </w:p>
    <w:p>
      <w:pPr>
        <w:tabs>
          <w:tab w:val="right" w:pos="9026"/>
        </w:tabs>
        <w:spacing w:after="20" w:before="12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美林数据</w:t>
      </w: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  |  </w:t>
      </w:r>
      <w:r>
        <w:rPr>
          <w:rFonts w:ascii="Microsoft YaHei" w:cs="Microsoft YaHei" w:eastAsia="Microsoft YaHei" w:hAnsi="Microsoft YaHei"/>
          <w:b/>
          <w:bCs/>
          <w:color w:val="003366"/>
          <w:sz w:val="22"/>
          <w:szCs w:val="22"/>
        </w:rPr>
        <w:t xml:space="preserve">数据分析</w:t>
      </w:r>
      <w:r>
        <w:rPr>
          <w:rFonts w:ascii="Microsoft YaHei" w:cs="Microsoft YaHei" w:eastAsia="Microsoft YaHei" w:hAnsi="Microsoft YaHei"/>
          <w:color w:val="666666"/>
          <w:sz w:val="19"/>
          <w:szCs w:val="19"/>
        </w:rPr>
        <w:t xml:space="preserve">	2014.07 — 2017.04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电网数据分析：</w:t>
      </w: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参与国家电网多场景数据分析项目，负责数据清洗、建模与报告撰写，搭建经营管控 / 财务 / 人资等主题 BI 大屏与可视化看板</w:t>
      </w:r>
    </w:p>
    <w:p>
      <w:pPr>
        <w:pBdr>
          <w:left w:val="single" w:color="003366" w:sz="18" w:space="8"/>
        </w:pBd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003366"/>
          <w:sz w:val="24"/>
          <w:szCs w:val="24"/>
        </w:rPr>
        <w:t xml:space="preserve">  项目经验</w:t>
      </w:r>
    </w:p>
    <w:p>
      <w:pPr>
        <w:tabs>
          <w:tab w:val="right" w:pos="9026"/>
        </w:tabs>
        <w:spacing w:after="20" w:before="12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销售过程智能化引擎 MAI</w:t>
      </w: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  |  </w:t>
      </w:r>
      <w:r>
        <w:rPr>
          <w:rFonts w:ascii="Microsoft YaHei" w:cs="Microsoft YaHei" w:eastAsia="Microsoft YaHei" w:hAnsi="Microsoft YaHei"/>
          <w:b/>
          <w:bCs/>
          <w:color w:val="003366"/>
          <w:sz w:val="22"/>
          <w:szCs w:val="22"/>
        </w:rPr>
        <w:t xml:space="preserve">58 同城</w:t>
      </w:r>
      <w:r>
        <w:rPr>
          <w:rFonts w:ascii="Microsoft YaHei" w:cs="Microsoft YaHei" w:eastAsia="Microsoft YaHei" w:hAnsi="Microsoft YaHei"/>
          <w:color w:val="666666"/>
          <w:sz w:val="19"/>
          <w:szCs w:val="19"/>
        </w:rPr>
        <w:t xml:space="preserve">	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问题与方案：</w:t>
      </w: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针对销售商机重复拨打、电话接通率低等痛点，深入调研一线业务，构建覆盖销售全流程的智能营销引擎 MAI，设计商机 / 销售画像体系及商机评分、接通预测等算法模型，实现商机智能识别、排序与精准分配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业务成果（A/B 测试验证）：</w:t>
      </w: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实验组月均有效通话时长提升 39.1%、覆盖用户数增长 39.9%，骚扰投诉率下降 45.4%，实验组成单总额提升 8%，实现数据驱动下的销售产能释放</w:t>
      </w:r>
    </w:p>
    <w:p>
      <w:pPr>
        <w:tabs>
          <w:tab w:val="right" w:pos="9026"/>
        </w:tabs>
        <w:spacing w:after="20" w:before="12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VIP 会员专项利润分析</w:t>
      </w: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  |  </w:t>
      </w:r>
      <w:r>
        <w:rPr>
          <w:rFonts w:ascii="Microsoft YaHei" w:cs="Microsoft YaHei" w:eastAsia="Microsoft YaHei" w:hAnsi="Microsoft YaHei"/>
          <w:b/>
          <w:bCs/>
          <w:color w:val="003366"/>
          <w:sz w:val="22"/>
          <w:szCs w:val="22"/>
        </w:rPr>
        <w:t xml:space="preserve">能链智电</w:t>
      </w:r>
      <w:r>
        <w:rPr>
          <w:rFonts w:ascii="Microsoft YaHei" w:cs="Microsoft YaHei" w:eastAsia="Microsoft YaHei" w:hAnsi="Microsoft YaHei"/>
          <w:color w:val="666666"/>
          <w:sz w:val="19"/>
          <w:szCs w:val="19"/>
        </w:rPr>
        <w:t xml:space="preserve">	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背景与洞察：</w:t>
      </w: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VIP 会员贡献全平台 60%+ GMV 却净利率约 -7%，从用户、产品、价格、成本收入多维度开展专项分析，定位卡型单一、过度补贴为利润亏损根因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策略与结果：</w:t>
      </w: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推动分梯度权益卡型设计、补贴收缩与线下售卡机制落地，3 个月内会员补贴率降低 17%，助力业务线 24 年 1 月首次实现月度订单利润转正，每月减少约 70 万非必要补贴支出</w:t>
      </w:r>
    </w:p>
    <w:p>
      <w:pPr>
        <w:pBdr>
          <w:left w:val="single" w:color="003366" w:sz="18" w:space="8"/>
        </w:pBd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003366"/>
          <w:sz w:val="24"/>
          <w:szCs w:val="24"/>
        </w:rPr>
        <w:t xml:space="preserve">  教育背景</w:t>
      </w:r>
    </w:p>
    <w:p>
      <w:pPr>
        <w:tabs>
          <w:tab w:val="right" w:pos="9026"/>
        </w:tabs>
        <w:spacing w:after="50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长江大学</w:t>
      </w: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　地质统计学 · 硕士研究生</w:t>
      </w:r>
      <w:r>
        <w:rPr>
          <w:rFonts w:ascii="Microsoft YaHei" w:cs="Microsoft YaHei" w:eastAsia="Microsoft YaHei" w:hAnsi="Microsoft YaHei"/>
          <w:color w:val="666666"/>
          <w:sz w:val="19"/>
          <w:szCs w:val="19"/>
        </w:rPr>
        <w:t xml:space="preserve">	2011.09 — 2014.07</w:t>
      </w:r>
    </w:p>
    <w:p>
      <w:pPr>
        <w:tabs>
          <w:tab w:val="right" w:pos="9026"/>
        </w:tabs>
        <w:spacing w:after="50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琼州学院</w:t>
      </w: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　数学与应用数学 · 本科</w:t>
      </w:r>
      <w:r>
        <w:rPr>
          <w:rFonts w:ascii="Microsoft YaHei" w:cs="Microsoft YaHei" w:eastAsia="Microsoft YaHei" w:hAnsi="Microsoft YaHei"/>
          <w:color w:val="666666"/>
          <w:sz w:val="19"/>
          <w:szCs w:val="19"/>
        </w:rPr>
        <w:t xml:space="preserve">	2007.09 — 2011.07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00" w:hanging="200"/>
      </w:pPr>
      <w:rPr>
        <w:color w:val="00336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2026-06-18T04:50:07.115Z</dcterms:created>
  <dcterms:modified xsi:type="dcterms:W3CDTF">2026-06-18T04:50:07.117Z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