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VIP轻量卡设计及测试方案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背景：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为提升VIP在中低频用户中的渗透率以提升流水，计划11月推出轻量卡并测试上线，卡型设计需有初版方案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参考：</w:t>
      </w:r>
      <w:hyperlink r:id="rId4">
        <w:r>
          <w:rPr>
            <w:rFonts w:eastAsia="等线" w:ascii="Arial" w:cs="Arial" w:hAnsi="Arial"/>
            <w:color w:val="3370ff"/>
            <w:sz w:val="22"/>
          </w:rPr>
          <w:t>轻量卡、VIP售卖页流量聚焦brd</w:t>
        </w:r>
      </w:hyperlink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结论：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卡型</w:t>
            </w:r>
          </w:p>
        </w:tc>
        <w:tc>
          <w:tcPr>
            <w:tcW w:w="600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建议定价-数字</w:t>
            </w:r>
          </w:p>
        </w:tc>
        <w:tc>
          <w:tcPr>
            <w:tcW w:w="1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活动价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日常价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原价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下限值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30天-5次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4.8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8.8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3.5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90天-15次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11.8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18.8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10.5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30天-10次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8.8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15.0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7.0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90天-30次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21.8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36.0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21.0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设计&amp;测试逻辑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设计框架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等线" w:ascii="Arial" w:cs="Arial" w:hAnsi="Arial"/>
          <w:sz w:val="22"/>
        </w:rPr>
        <w:t>所有的券包套餐内会员都可以简述为</w:t>
      </w:r>
      <w:r>
        <w:rPr>
          <w:rFonts w:eastAsia="等线" w:ascii="Arial" w:cs="Arial" w:hAnsi="Arial"/>
          <w:b w:val="true"/>
          <w:sz w:val="22"/>
        </w:rPr>
        <w:t>「</w:t>
      </w:r>
      <w:r>
        <w:rPr>
          <w:rFonts w:eastAsia="等线" w:ascii="Arial" w:cs="Arial" w:hAnsi="Arial"/>
          <w:b w:val="true"/>
          <w:color w:val="d83931"/>
          <w:sz w:val="22"/>
        </w:rPr>
        <w:t>N天</w:t>
      </w:r>
      <w:r>
        <w:rPr>
          <w:rFonts w:eastAsia="等线" w:ascii="Arial" w:cs="Arial" w:hAnsi="Arial"/>
          <w:b w:val="true"/>
          <w:sz w:val="22"/>
        </w:rPr>
        <w:t>内可享</w:t>
      </w:r>
      <w:r>
        <w:rPr>
          <w:rFonts w:eastAsia="等线" w:ascii="Arial" w:cs="Arial" w:hAnsi="Arial"/>
          <w:b w:val="true"/>
          <w:color w:val="245bdb"/>
          <w:sz w:val="22"/>
        </w:rPr>
        <w:t>Y次</w:t>
      </w:r>
      <w:r>
        <w:rPr>
          <w:rFonts w:eastAsia="等线" w:ascii="Arial" w:cs="Arial" w:hAnsi="Arial"/>
          <w:b w:val="true"/>
          <w:sz w:val="22"/>
        </w:rPr>
        <w:t>，单次</w:t>
      </w:r>
      <w:r>
        <w:rPr>
          <w:rFonts w:eastAsia="等线" w:ascii="Arial" w:cs="Arial" w:hAnsi="Arial"/>
          <w:b w:val="true"/>
          <w:color w:val="6425d0"/>
          <w:sz w:val="22"/>
        </w:rPr>
        <w:t>K元</w:t>
      </w:r>
      <w:r>
        <w:rPr>
          <w:rFonts w:eastAsia="等线" w:ascii="Arial" w:cs="Arial" w:hAnsi="Arial"/>
          <w:b w:val="true"/>
          <w:sz w:val="22"/>
        </w:rPr>
        <w:t>优惠券，价格为</w:t>
      </w:r>
      <w:r>
        <w:rPr>
          <w:rFonts w:eastAsia="等线" w:ascii="Arial" w:cs="Arial" w:hAnsi="Arial"/>
          <w:b w:val="true"/>
          <w:color w:val="2ea121"/>
          <w:sz w:val="22"/>
        </w:rPr>
        <w:t>X元</w:t>
      </w:r>
      <w:r>
        <w:rPr>
          <w:rFonts w:eastAsia="等线" w:ascii="Arial" w:cs="Arial" w:hAnsi="Arial"/>
          <w:b w:val="true"/>
          <w:sz w:val="22"/>
        </w:rPr>
        <w:t>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理论上以上4个参数的最佳值以及最佳组合都需要实验测试，但初步测试阶段只对中间的</w:t>
      </w:r>
      <w:r>
        <w:rPr>
          <w:rFonts w:eastAsia="等线" w:ascii="Arial" w:cs="Arial" w:hAnsi="Arial"/>
          <w:b w:val="true"/>
          <w:color w:val="d83931"/>
          <w:sz w:val="22"/>
        </w:rPr>
        <w:t>N天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color w:val="245bdb"/>
          <w:sz w:val="22"/>
        </w:rPr>
        <w:t>Y次</w:t>
      </w:r>
      <w:r>
        <w:rPr>
          <w:rFonts w:eastAsia="等线" w:ascii="Arial" w:cs="Arial" w:hAnsi="Arial"/>
          <w:sz w:val="22"/>
        </w:rPr>
        <w:t>做测试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设计逻辑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2.1 </w:t>
      </w:r>
      <w:r>
        <w:rPr>
          <w:rFonts w:eastAsia="等线" w:ascii="Arial" w:cs="Arial" w:hAnsi="Arial"/>
          <w:b w:val="true"/>
          <w:sz w:val="30"/>
        </w:rPr>
        <w:t>N天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基本假设：N越小，用户购买门槛越低；N越大，用户购买后留存效果越好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N可以基本分为以下几档：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0～10天：超短期，偏体验卡，针对短期的需求（短期租车、旅游等）或VIP拉新而设计，会员过期后需要相应的承接策略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10～30天：短期卡型，兼顾试用/用户培养等作用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30天+（一般有90/180/365）：中长期卡，目的是一次锁定用户中长期交易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建议：第一阶段最少测试30天和90天两种卡型，重点观察两组购买率的差别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2.2 </w:t>
      </w:r>
      <w:r>
        <w:rPr>
          <w:rFonts w:eastAsia="等线" w:ascii="Arial" w:cs="Arial" w:hAnsi="Arial"/>
          <w:b w:val="true"/>
          <w:sz w:val="30"/>
        </w:rPr>
        <w:t>Y次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上下限-限制条件：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不能太高：目前</w:t>
      </w:r>
      <w:r>
        <w:rPr>
          <w:rFonts w:eastAsia="等线" w:ascii="Arial" w:cs="Arial" w:hAnsi="Arial"/>
          <w:b w:val="true"/>
          <w:sz w:val="22"/>
        </w:rPr>
        <w:t>得和常规VIP卡有区分度</w:t>
      </w:r>
      <w:r>
        <w:rPr>
          <w:rFonts w:eastAsia="等线" w:ascii="Arial" w:cs="Arial" w:hAnsi="Arial"/>
          <w:sz w:val="22"/>
        </w:rPr>
        <w:t>，避免常规卡用户向下变为轻量卡用户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不能太低：否则无法满足用户的基本充电需求，也无法起到次数牵引作用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设用户每个月的公用桩充电次数为Y0次，在快电充电次数为Yk次。用户的充电需求基本不会大幅增加或者减少，轻量卡只是让Yk趋近于Y0。</w:t>
      </w:r>
      <w:r>
        <w:rPr>
          <w:rFonts w:eastAsia="等线" w:ascii="Arial" w:cs="Arial" w:hAnsi="Arial"/>
          <w:b w:val="true"/>
          <w:sz w:val="22"/>
        </w:rPr>
        <w:t>但每个用户需求频次是不一样的，因此以多种卡型组合以适配更多群体可能是更好的选择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不同月交易频次下用户数据如下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当频次卡在5次的时候，虹吸普通卡的概率较低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普通卡用户费效比刚到1（1.24），VIP开通率较低（20.7%）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轻量卡可能会虹吸19.2%的低频交易VIP用户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有机会拉动63.9%的交易用户以及目前15.6%的交易订单（流水）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当频次卡在10次的时候，虹吸普通卡的概率更大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普通卡用户费效比达到了2.40，VIP开通率达到了38.5%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轻量卡可能会虹吸31.9%的低频交易VIP用户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有机会拉动74.4%的交易用户以及目前25.9%的交易订单（流水）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当频次定得更高的时候，如20次</w:t>
      </w:r>
      <w:r>
        <w:rPr>
          <w:rFonts w:eastAsia="等线" w:ascii="Arial" w:cs="Arial" w:hAnsi="Arial"/>
          <w:sz w:val="22"/>
        </w:rPr>
        <w:t>，轻量卡可能会虹吸普通卡55.6%的用户，影响较大（</w:t>
      </w:r>
      <w:r>
        <w:rPr>
          <w:rFonts w:eastAsia="等线" w:ascii="Arial" w:cs="Arial" w:hAnsi="Arial"/>
          <w:b w:val="true"/>
          <w:color w:val="d83931"/>
          <w:sz w:val="22"/>
        </w:rPr>
        <w:t>不建议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从下面的数据还能看出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不同频次用户费效比相差甚大，30次以上的用户费效比达到了7.43——最优解：多梯次定价/加量券包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低频用户购卡月均价格更低，说明低频用户确实更在意低价，侧面验证了低频卡的一部分可行性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431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建议：测试两种频次「5次/月」和「10次/月」两种套餐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2.3 </w:t>
      </w:r>
      <w:r>
        <w:rPr>
          <w:rFonts w:eastAsia="等线" w:ascii="Arial" w:cs="Arial" w:hAnsi="Arial"/>
          <w:b w:val="true"/>
          <w:sz w:val="30"/>
        </w:rPr>
        <w:t>单次K元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轻量卡的权益为「会员折扣」，</w:t>
      </w:r>
      <w:r>
        <w:rPr>
          <w:rFonts w:eastAsia="等线" w:ascii="Arial" w:cs="Arial" w:hAnsi="Arial"/>
          <w:b w:val="true"/>
          <w:sz w:val="22"/>
        </w:rPr>
        <w:t>单次优惠上限建议和普通卡保持一致（3元/5元）</w:t>
      </w:r>
      <w:r>
        <w:rPr>
          <w:rFonts w:eastAsia="等线" w:ascii="Arial" w:cs="Arial" w:hAnsi="Arial"/>
          <w:sz w:val="22"/>
        </w:rPr>
        <w:t>暂不测试，理由如下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以单均充电度数来看，（快电）低频用户与（快电）高频用户相差不大（低10%左右）；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测试优先级不高，本次实验不宜引入过多变量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便于用户理解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后续可以尝试「会员折扣</w:t>
      </w:r>
      <w:r>
        <w:rPr>
          <w:rFonts w:eastAsia="等线" w:ascii="Arial" w:cs="Arial" w:hAnsi="Arial"/>
          <w:sz w:val="22"/>
        </w:rPr>
        <w:t>优惠券</w:t>
      </w:r>
      <w:r>
        <w:rPr>
          <w:rFonts w:eastAsia="等线" w:ascii="Arial" w:cs="Arial" w:hAnsi="Arial"/>
          <w:sz w:val="22"/>
        </w:rPr>
        <w:t>」+「大额满减优惠券」组合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2.4 </w:t>
      </w:r>
      <w:r>
        <w:rPr>
          <w:rFonts w:eastAsia="等线" w:ascii="Arial" w:cs="Arial" w:hAnsi="Arial"/>
          <w:b w:val="true"/>
          <w:sz w:val="30"/>
        </w:rPr>
        <w:t>价格为X元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短期/轻量VIP产品在定价上需要做到：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对中低频用户而言</w:t>
      </w:r>
      <w:r>
        <w:rPr>
          <w:rFonts w:eastAsia="等线" w:ascii="Arial" w:cs="Arial" w:hAnsi="Arial"/>
          <w:sz w:val="22"/>
        </w:rPr>
        <w:t>，费效比比普通VIP卡高，</w:t>
      </w:r>
      <w:r>
        <w:rPr>
          <w:rFonts w:eastAsia="等线" w:ascii="Arial" w:cs="Arial" w:hAnsi="Arial"/>
          <w:b w:val="true"/>
          <w:sz w:val="22"/>
        </w:rPr>
        <w:t>即价格低于普通VIP卡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对高频用户而言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b w:val="true"/>
          <w:sz w:val="22"/>
        </w:rPr>
        <w:t>购卡费效比需要低于普通VIP卡，不能经常性出现轻量卡「单次优惠的定价」低于常规卡的情况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需要同时考虑轻量卡「原价」、「日常价」和活动价定价问题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对于活动价&amp;日常价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定价上限为该频次用户普通卡购卡价格（月均价格）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定价下限 = 卡次数 * 单次优惠金额 * 高频（频次为20）VIP用户费效比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30天-5次卡为例：定价下限 = 5 * 3.12 / 4.45 = 3.5元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原价计算方式，P = 3元/次 * 次数 * 80%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5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w="8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卡型</w:t>
            </w:r>
          </w:p>
        </w:tc>
        <w:tc>
          <w:tcPr>
            <w:tcW w:w="22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月均价格——活动价/实际月均价</w:t>
            </w:r>
          </w:p>
        </w:tc>
        <w:tc>
          <w:tcPr>
            <w:tcW w:w="7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2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月均价格——原价</w:t>
            </w:r>
          </w:p>
        </w:tc>
        <w:tc>
          <w:tcPr>
            <w:tcW w:w="7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00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建议定价</w:t>
            </w:r>
          </w:p>
        </w:tc>
        <w:tc>
          <w:tcPr>
            <w:tcW w:w="7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上限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下限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建议价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上限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下限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建议价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活动价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日常价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原价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下限值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30天-5次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12.5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3.5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5.0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39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3.9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8.0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4.8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8.8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3.5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90天-15次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12.5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3.5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4.0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38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3.9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6.4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11.8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18.8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35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10.5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30天-10次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12.9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7.0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9.0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39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7.8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15.0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8.8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15.0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23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7.0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90天-30次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12.9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7.0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7.2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38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7.8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12.0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21.8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36.0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68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21.0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2.5 </w:t>
      </w:r>
      <w:r>
        <w:rPr>
          <w:rFonts w:eastAsia="等线" w:ascii="Arial" w:cs="Arial" w:hAnsi="Arial"/>
          <w:b w:val="true"/>
          <w:sz w:val="30"/>
        </w:rPr>
        <w:t>收益钱效预估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假设1：用户交易刚好达到卡设定频次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假设2：VIP-NTR%使用10月份数据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假设3：用户增益流水 / 用户流水 的比例参考VIP普通卡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在活动定价下功能钱效在9.69～11.37之间（11月份NTR%较低，钱效会更高）。钱效较高的城市有武汉、北京、杭州、天津、郑州、厦门、南昌，如有必要可以选这几个城市为目标试点城市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3276600" cy="34290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对比其他产品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3.1 </w:t>
      </w:r>
      <w:r>
        <w:rPr>
          <w:rFonts w:eastAsia="等线" w:ascii="Arial" w:cs="Arial" w:hAnsi="Arial"/>
          <w:b w:val="true"/>
          <w:sz w:val="30"/>
        </w:rPr>
        <w:t>特来电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00"/>
        <w:gridCol w:w="5880"/>
      </w:tblGrid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371600" cy="301942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01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特来电轻享版会员定位明确：私家车用户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且轻享VIP性价比高于畅享VIP：2张轻享VIP权益多于1张畅享VIP，但更便宜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畅享VIP：月卡39.9，季卡89.7，年卡99，每个月会员折扣5*50=250元，最高省278元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轻享VIP：月卡15.0，季卡30.0，年卡358.8，每个月会员折扣5*30=150元，最高省158元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257550" cy="174307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3.2 </w:t>
      </w:r>
      <w:r>
        <w:rPr>
          <w:rFonts w:eastAsia="等线" w:ascii="Arial" w:cs="Arial" w:hAnsi="Arial"/>
          <w:b w:val="true"/>
          <w:sz w:val="30"/>
        </w:rPr>
        <w:t>新电途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55"/>
        <w:gridCol w:w="1920"/>
        <w:gridCol w:w="4305"/>
      </w:tblGrid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52525" cy="2400300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57275" cy="2343150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234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新电途没有明确的「轻量版会员」的产品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但是连续包月有两种：两者的权益主要体现在签到领券上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两种产品的会员专享价「优惠上限」和「次数」都一样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3.3 </w:t>
      </w:r>
      <w:r>
        <w:rPr>
          <w:rFonts w:eastAsia="等线" w:ascii="Arial" w:cs="Arial" w:hAnsi="Arial"/>
          <w:b w:val="true"/>
          <w:sz w:val="30"/>
        </w:rPr>
        <w:t>青桔单车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80"/>
        <w:gridCol w:w="2010"/>
        <w:gridCol w:w="4005"/>
      </w:tblGrid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95400" cy="2695575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269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23950" cy="1562100"/>
                  <wp:docPr id="7" name="Drawing 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卡型多种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有效天数有：7天、9天、14天、30天、90天5种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有效次数有：不限次数（超高频）、30天10次（中频）、30天30次（高频）、7天3次（中频）和7天7次（高频）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除此之外，还有立减卡、平峰卡等特殊条件卡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测试方案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实验主要测试两点：</w:t>
      </w:r>
      <w:r>
        <w:rPr>
          <w:rFonts w:eastAsia="等线" w:ascii="Arial" w:cs="Arial" w:hAnsi="Arial"/>
          <w:sz w:val="22"/>
        </w:rPr>
        <w:t>「哪种卡型更好」以及「所有卡型可选但只推荐一种 v.s 只有一种卡型可选」（后续预计推全）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实验核心指标：</w:t>
      </w:r>
      <w:r>
        <w:rPr>
          <w:rFonts w:eastAsia="等线" w:ascii="Arial" w:cs="Arial" w:hAnsi="Arial"/>
          <w:sz w:val="22"/>
        </w:rPr>
        <w:t>购买率（分群体），总增益流水（AB对比），单人增益流水，成本增量（AB对比），</w:t>
      </w:r>
      <w:r>
        <w:rPr>
          <w:rFonts w:eastAsia="等线" w:ascii="Arial" w:cs="Arial" w:hAnsi="Arial"/>
          <w:sz w:val="22"/>
        </w:rPr>
        <w:t>ROI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过程指标：</w:t>
      </w:r>
      <w:r>
        <w:rPr>
          <w:rFonts w:eastAsia="等线" w:ascii="Arial" w:cs="Arial" w:hAnsi="Arial"/>
          <w:sz w:val="22"/>
        </w:rPr>
        <w:t>前后对比流水增益（次数、</w:t>
      </w:r>
      <w:r>
        <w:rPr>
          <w:rFonts w:eastAsia="等线" w:ascii="Arial" w:cs="Arial" w:hAnsi="Arial"/>
          <w:sz w:val="22"/>
        </w:rPr>
        <w:t>留存率</w:t>
      </w:r>
      <w:r>
        <w:rPr>
          <w:rFonts w:eastAsia="等线" w:ascii="Arial" w:cs="Arial" w:hAnsi="Arial"/>
          <w:sz w:val="22"/>
        </w:rPr>
        <w:t>等），用户使用次数分布，单次</w:t>
      </w:r>
      <w:r>
        <w:rPr>
          <w:rFonts w:eastAsia="等线" w:ascii="Arial" w:cs="Arial" w:hAnsi="Arial"/>
          <w:sz w:val="22"/>
        </w:rPr>
        <w:t>核销金额</w:t>
      </w:r>
      <w:r>
        <w:rPr>
          <w:rFonts w:eastAsia="等线" w:ascii="Arial" w:cs="Arial" w:hAnsi="Arial"/>
          <w:sz w:val="22"/>
        </w:rPr>
        <w:t>，续费率（后续看）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新卡型生效群体：</w:t>
      </w:r>
      <w:r>
        <w:rPr>
          <w:rFonts w:eastAsia="等线" w:ascii="Arial" w:cs="Arial" w:hAnsi="Arial"/>
          <w:sz w:val="22"/>
        </w:rPr>
        <w:t>实验组+白名单（内部人员+客诉要求用户）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实验放量&amp;分析节奏：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实验上线后1～3天：测试bug阶段，检查底层数据是否正常，指标上重点看购买率指标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实验上线后7天：评估实验核心指标，</w:t>
      </w:r>
      <w:r>
        <w:rPr>
          <w:rFonts w:eastAsia="等线" w:ascii="Arial" w:cs="Arial" w:hAnsi="Arial"/>
          <w:b w:val="true"/>
          <w:sz w:val="22"/>
        </w:rPr>
        <w:t>估算未来流水&amp;成本</w:t>
      </w:r>
      <w:r>
        <w:rPr>
          <w:rFonts w:eastAsia="等线" w:ascii="Arial" w:cs="Arial" w:hAnsi="Arial"/>
          <w:sz w:val="22"/>
        </w:rPr>
        <w:t>，后续是否能够继续扩量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实验上线后14天：评估实验核心指标以及过程指标，看是否有优化空间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实验上线后30、60天：校准实验核心指标，续费率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20"/>
        <w:gridCol w:w="1080"/>
        <w:gridCol w:w="1080"/>
        <w:gridCol w:w="2445"/>
        <w:gridCol w:w="1320"/>
        <w:gridCol w:w="810"/>
        <w:gridCol w:w="810"/>
      </w:tblGrid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组编号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推销卡型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共同点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区分点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推销轻量卡售价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实验流量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放量批次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实验组1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30天5次</w:t>
            </w:r>
          </w:p>
        </w:tc>
        <w:tc>
          <w:tcPr>
            <w:tcW w:w="10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详情页展示「30天5次」和「30天10次」</w:t>
            </w:r>
            <w:r>
              <w:rPr>
                <w:rFonts w:eastAsia="等线" w:ascii="Arial" w:cs="Arial" w:hAnsi="Arial"/>
                <w:b w:val="true"/>
                <w:sz w:val="22"/>
              </w:rPr>
              <w:t>2种</w:t>
            </w:r>
            <w:r>
              <w:rPr>
                <w:rFonts w:eastAsia="等线" w:ascii="Arial" w:cs="Arial" w:hAnsi="Arial"/>
                <w:sz w:val="22"/>
              </w:rPr>
              <w:t>轻量卡，放在4、5位置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随单购</w:t>
            </w:r>
            <w:r>
              <w:rPr>
                <w:rFonts w:eastAsia="等线" w:ascii="Arial" w:cs="Arial" w:hAnsi="Arial"/>
                <w:sz w:val="22"/>
              </w:rPr>
              <w:t>推送，存量VIP和高频用户不推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随单购</w:t>
            </w:r>
            <w:r>
              <w:rPr>
                <w:rFonts w:eastAsia="等线" w:ascii="Arial" w:cs="Arial" w:hAnsi="Arial"/>
                <w:sz w:val="22"/>
              </w:rPr>
              <w:t>4.8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实验组2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30天10次</w:t>
            </w:r>
          </w:p>
        </w:tc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随单购</w:t>
            </w:r>
            <w:r>
              <w:rPr>
                <w:rFonts w:eastAsia="等线" w:ascii="Arial" w:cs="Arial" w:hAnsi="Arial"/>
                <w:sz w:val="22"/>
              </w:rPr>
              <w:t>推送，存量VIP和高频用户不推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随单购</w:t>
            </w:r>
            <w:r>
              <w:rPr>
                <w:rFonts w:eastAsia="等线" w:ascii="Arial" w:cs="Arial" w:hAnsi="Arial"/>
                <w:sz w:val="22"/>
              </w:rPr>
              <w:t>8.8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实验组3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90天15次</w:t>
            </w:r>
          </w:p>
        </w:tc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随单购</w:t>
            </w:r>
            <w:r>
              <w:rPr>
                <w:rFonts w:eastAsia="等线" w:ascii="Arial" w:cs="Arial" w:hAnsi="Arial"/>
                <w:sz w:val="22"/>
              </w:rPr>
              <w:t>推送，存量VIP和高频用户不推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随单购</w:t>
            </w:r>
            <w:r>
              <w:rPr>
                <w:rFonts w:eastAsia="等线" w:ascii="Arial" w:cs="Arial" w:hAnsi="Arial"/>
                <w:sz w:val="22"/>
              </w:rPr>
              <w:t>11.8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实验组4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90天30次</w:t>
            </w:r>
          </w:p>
        </w:tc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随单购</w:t>
            </w:r>
            <w:r>
              <w:rPr>
                <w:rFonts w:eastAsia="等线" w:ascii="Arial" w:cs="Arial" w:hAnsi="Arial"/>
                <w:sz w:val="22"/>
              </w:rPr>
              <w:t>推送，存量VIP和高频用户不推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随单购</w:t>
            </w:r>
            <w:r>
              <w:rPr>
                <w:rFonts w:eastAsia="等线" w:ascii="Arial" w:cs="Arial" w:hAnsi="Arial"/>
                <w:sz w:val="22"/>
              </w:rPr>
              <w:t>21.8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实验组5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展示30天5次</w:t>
            </w:r>
          </w:p>
        </w:tc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  <w:r>
              <w:rPr>
                <w:rFonts w:eastAsia="等线" w:ascii="Arial" w:cs="Arial" w:hAnsi="Arial"/>
                <w:sz w:val="22"/>
              </w:rPr>
              <w:t>随单购</w:t>
            </w:r>
            <w:r>
              <w:rPr>
                <w:rFonts w:eastAsia="等线" w:ascii="Arial" w:cs="Arial" w:hAnsi="Arial"/>
                <w:sz w:val="22"/>
              </w:rPr>
              <w:t>推送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券后4.8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实验组6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展示30天10次</w:t>
            </w:r>
          </w:p>
        </w:tc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  <w:r>
              <w:rPr>
                <w:rFonts w:eastAsia="等线" w:ascii="Arial" w:cs="Arial" w:hAnsi="Arial"/>
                <w:sz w:val="22"/>
              </w:rPr>
              <w:t>随单购</w:t>
            </w:r>
            <w:r>
              <w:rPr>
                <w:rFonts w:eastAsia="等线" w:ascii="Arial" w:cs="Arial" w:hAnsi="Arial"/>
                <w:sz w:val="22"/>
              </w:rPr>
              <w:t>推送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券后8.8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对照组1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对照组</w:t>
            </w:r>
          </w:p>
        </w:tc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——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原价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——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对照组2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对照组</w:t>
            </w:r>
          </w:p>
        </w:tc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——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原价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——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对照组3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对照组</w:t>
            </w:r>
          </w:p>
        </w:tc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——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原价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——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对照组4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对照组</w:t>
            </w:r>
          </w:p>
        </w:tc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——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原价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——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08315">
    <w:lvl>
      <w:numFmt w:val="bullet"/>
      <w:suff w:val="tab"/>
      <w:lvlText w:val="•"/>
      <w:rPr>
        <w:color w:val="3370ff"/>
      </w:rPr>
    </w:lvl>
  </w:abstractNum>
  <w:abstractNum w:abstractNumId="208316">
    <w:lvl>
      <w:numFmt w:val="bullet"/>
      <w:suff w:val="tab"/>
      <w:lvlText w:val="•"/>
      <w:rPr>
        <w:color w:val="3370ff"/>
      </w:rPr>
    </w:lvl>
  </w:abstractNum>
  <w:abstractNum w:abstractNumId="208317">
    <w:lvl>
      <w:numFmt w:val="bullet"/>
      <w:suff w:val="tab"/>
      <w:lvlText w:val="•"/>
      <w:rPr>
        <w:color w:val="3370ff"/>
      </w:rPr>
    </w:lvl>
  </w:abstractNum>
  <w:abstractNum w:abstractNumId="208318">
    <w:lvl>
      <w:start w:val="1"/>
      <w:numFmt w:val="decimal"/>
      <w:suff w:val="tab"/>
      <w:lvlText w:val="%1."/>
      <w:rPr>
        <w:color w:val="3370ff"/>
      </w:rPr>
    </w:lvl>
  </w:abstractNum>
  <w:abstractNum w:abstractNumId="208319">
    <w:lvl>
      <w:start w:val="2"/>
      <w:numFmt w:val="decimal"/>
      <w:suff w:val="tab"/>
      <w:lvlText w:val="%1."/>
      <w:rPr>
        <w:color w:val="3370ff"/>
      </w:rPr>
    </w:lvl>
  </w:abstractNum>
  <w:abstractNum w:abstractNumId="208320">
    <w:lvl>
      <w:start w:val="1"/>
      <w:numFmt w:val="decimal"/>
      <w:suff w:val="tab"/>
      <w:lvlText w:val="%1."/>
      <w:rPr>
        <w:color w:val="3370ff"/>
      </w:rPr>
    </w:lvl>
  </w:abstractNum>
  <w:abstractNum w:abstractNumId="208321">
    <w:lvl>
      <w:start w:val="2"/>
      <w:numFmt w:val="decimal"/>
      <w:suff w:val="tab"/>
      <w:lvlText w:val="%1."/>
      <w:rPr>
        <w:color w:val="3370ff"/>
      </w:rPr>
    </w:lvl>
  </w:abstractNum>
  <w:abstractNum w:abstractNumId="208322">
    <w:lvl>
      <w:start w:val="3"/>
      <w:numFmt w:val="decimal"/>
      <w:suff w:val="tab"/>
      <w:lvlText w:val="%1."/>
      <w:rPr>
        <w:color w:val="3370ff"/>
      </w:rPr>
    </w:lvl>
  </w:abstractNum>
  <w:abstractNum w:abstractNumId="208323">
    <w:lvl>
      <w:start w:val="1"/>
      <w:numFmt w:val="decimal"/>
      <w:suff w:val="tab"/>
      <w:lvlText w:val="%1."/>
      <w:rPr>
        <w:color w:val="3370ff"/>
      </w:rPr>
    </w:lvl>
  </w:abstractNum>
  <w:abstractNum w:abstractNumId="208324">
    <w:lvl>
      <w:start w:val="2"/>
      <w:numFmt w:val="decimal"/>
      <w:suff w:val="tab"/>
      <w:lvlText w:val="%1."/>
      <w:rPr>
        <w:color w:val="3370ff"/>
      </w:rPr>
    </w:lvl>
  </w:abstractNum>
  <w:abstractNum w:abstractNumId="208325">
    <w:lvl>
      <w:start w:val="3"/>
      <w:numFmt w:val="decimal"/>
      <w:suff w:val="tab"/>
      <w:lvlText w:val="%1."/>
      <w:rPr>
        <w:color w:val="3370ff"/>
      </w:rPr>
    </w:lvl>
  </w:abstractNum>
  <w:abstractNum w:abstractNumId="208326">
    <w:lvl>
      <w:start w:val="1"/>
      <w:numFmt w:val="decimal"/>
      <w:suff w:val="tab"/>
      <w:lvlText w:val="%1."/>
      <w:rPr>
        <w:color w:val="3370ff"/>
      </w:rPr>
    </w:lvl>
  </w:abstractNum>
  <w:abstractNum w:abstractNumId="208327">
    <w:lvl>
      <w:start w:val="2"/>
      <w:numFmt w:val="decimal"/>
      <w:suff w:val="tab"/>
      <w:lvlText w:val="%1."/>
      <w:rPr>
        <w:color w:val="3370ff"/>
      </w:rPr>
    </w:lvl>
  </w:abstractNum>
  <w:abstractNum w:abstractNumId="208328">
    <w:lvl>
      <w:numFmt w:val="bullet"/>
      <w:suff w:val="tab"/>
      <w:lvlText w:val="•"/>
      <w:rPr>
        <w:color w:val="3370ff"/>
      </w:rPr>
    </w:lvl>
  </w:abstractNum>
  <w:abstractNum w:abstractNumId="208329">
    <w:lvl>
      <w:numFmt w:val="bullet"/>
      <w:suff w:val="tab"/>
      <w:lvlText w:val="•"/>
      <w:rPr>
        <w:color w:val="3370ff"/>
      </w:rPr>
    </w:lvl>
  </w:abstractNum>
  <w:abstractNum w:abstractNumId="208330">
    <w:lvl>
      <w:numFmt w:val="bullet"/>
      <w:suff w:val="tab"/>
      <w:lvlText w:val="•"/>
      <w:rPr>
        <w:color w:val="3370ff"/>
      </w:rPr>
    </w:lvl>
  </w:abstractNum>
  <w:abstractNum w:abstractNumId="208331">
    <w:lvl>
      <w:start w:val="1"/>
      <w:numFmt w:val="decimal"/>
      <w:suff w:val="tab"/>
      <w:lvlText w:val="%1."/>
      <w:rPr>
        <w:color w:val="3370ff"/>
      </w:rPr>
    </w:lvl>
  </w:abstractNum>
  <w:abstractNum w:abstractNumId="208332">
    <w:lvl>
      <w:start w:val="2"/>
      <w:numFmt w:val="decimal"/>
      <w:suff w:val="tab"/>
      <w:lvlText w:val="%1."/>
      <w:rPr>
        <w:color w:val="3370ff"/>
      </w:rPr>
    </w:lvl>
  </w:abstractNum>
  <w:abstractNum w:abstractNumId="208333">
    <w:lvl>
      <w:start w:val="1"/>
      <w:numFmt w:val="decimal"/>
      <w:suff w:val="tab"/>
      <w:lvlText w:val="%1."/>
      <w:rPr>
        <w:color w:val="3370ff"/>
      </w:rPr>
    </w:lvl>
  </w:abstractNum>
  <w:abstractNum w:abstractNumId="208334">
    <w:lvl>
      <w:start w:val="2"/>
      <w:numFmt w:val="decimal"/>
      <w:suff w:val="tab"/>
      <w:lvlText w:val="%1."/>
      <w:rPr>
        <w:color w:val="3370ff"/>
      </w:rPr>
    </w:lvl>
  </w:abstractNum>
  <w:abstractNum w:abstractNumId="208335">
    <w:lvl>
      <w:start w:val="1"/>
      <w:numFmt w:val="lowerLetter"/>
      <w:suff w:val="tab"/>
      <w:lvlText w:val="%1."/>
      <w:rPr>
        <w:color w:val="3370ff"/>
      </w:rPr>
    </w:lvl>
  </w:abstractNum>
  <w:abstractNum w:abstractNumId="208336">
    <w:lvl>
      <w:start w:val="1"/>
      <w:numFmt w:val="decimal"/>
      <w:suff w:val="tab"/>
      <w:lvlText w:val="%1."/>
      <w:rPr>
        <w:color w:val="3370ff"/>
      </w:rPr>
    </w:lvl>
  </w:abstractNum>
  <w:abstractNum w:abstractNumId="208337">
    <w:lvl>
      <w:start w:val="2"/>
      <w:numFmt w:val="decimal"/>
      <w:suff w:val="tab"/>
      <w:lvlText w:val="%1."/>
      <w:rPr>
        <w:color w:val="3370ff"/>
      </w:rPr>
    </w:lvl>
  </w:abstractNum>
  <w:abstractNum w:abstractNumId="208338">
    <w:lvl>
      <w:start w:val="3"/>
      <w:numFmt w:val="decimal"/>
      <w:suff w:val="tab"/>
      <w:lvlText w:val="%1."/>
      <w:rPr>
        <w:color w:val="3370ff"/>
      </w:rPr>
    </w:lvl>
  </w:abstractNum>
  <w:abstractNum w:abstractNumId="208339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208315"/>
  </w:num>
  <w:num w:numId="2">
    <w:abstractNumId w:val="208316"/>
  </w:num>
  <w:num w:numId="3">
    <w:abstractNumId w:val="208317"/>
  </w:num>
  <w:num w:numId="4">
    <w:abstractNumId w:val="208318"/>
  </w:num>
  <w:num w:numId="5">
    <w:abstractNumId w:val="208319"/>
  </w:num>
  <w:num w:numId="6">
    <w:abstractNumId w:val="208320"/>
  </w:num>
  <w:num w:numId="7">
    <w:abstractNumId w:val="208321"/>
  </w:num>
  <w:num w:numId="8">
    <w:abstractNumId w:val="208322"/>
  </w:num>
  <w:num w:numId="9">
    <w:abstractNumId w:val="208323"/>
  </w:num>
  <w:num w:numId="10">
    <w:abstractNumId w:val="208324"/>
  </w:num>
  <w:num w:numId="11">
    <w:abstractNumId w:val="208325"/>
  </w:num>
  <w:num w:numId="12">
    <w:abstractNumId w:val="208326"/>
  </w:num>
  <w:num w:numId="13">
    <w:abstractNumId w:val="208327"/>
  </w:num>
  <w:num w:numId="14">
    <w:abstractNumId w:val="208328"/>
  </w:num>
  <w:num w:numId="15">
    <w:abstractNumId w:val="208329"/>
  </w:num>
  <w:num w:numId="16">
    <w:abstractNumId w:val="208330"/>
  </w:num>
  <w:num w:numId="17">
    <w:abstractNumId w:val="208331"/>
  </w:num>
  <w:num w:numId="18">
    <w:abstractNumId w:val="208332"/>
  </w:num>
  <w:num w:numId="19">
    <w:abstractNumId w:val="208333"/>
  </w:num>
  <w:num w:numId="20">
    <w:abstractNumId w:val="208334"/>
  </w:num>
  <w:num w:numId="21">
    <w:abstractNumId w:val="208335"/>
  </w:num>
  <w:num w:numId="22">
    <w:abstractNumId w:val="208336"/>
  </w:num>
  <w:num w:numId="23">
    <w:abstractNumId w:val="208337"/>
  </w:num>
  <w:num w:numId="24">
    <w:abstractNumId w:val="208338"/>
  </w:num>
  <w:num w:numId="25">
    <w:abstractNumId w:val="20833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jpeg" Type="http://schemas.openxmlformats.org/officeDocument/2006/relationships/image"/><Relationship Id="rId11" Target="media/image6.jpeg" Type="http://schemas.openxmlformats.org/officeDocument/2006/relationships/image"/><Relationship Id="rId12" Target="media/image7.jpeg" Type="http://schemas.openxmlformats.org/officeDocument/2006/relationships/image"/><Relationship Id="rId13" Target="media/image8.jpeg" Type="http://schemas.openxmlformats.org/officeDocument/2006/relationships/image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newlink.feishu.cn/docx/O9ALdxfIBoC5L7xYrvyczjNonRc" TargetMode="External" Type="http://schemas.openxmlformats.org/officeDocument/2006/relationships/hyperlink"/><Relationship Id="rId5" Target="numbering.xml" Type="http://schemas.openxmlformats.org/officeDocument/2006/relationships/numbering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jpeg" Type="http://schemas.openxmlformats.org/officeDocument/2006/relationships/image"/><Relationship Id="rId9" Target="media/image4.jpe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9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2024-05-08T06:33:22Z</dcterms:created>
  <dc:creator>Apache POI</dc:creator>
</cp:coreProperties>
</file>