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C7F70">
      <w:pPr>
        <w:spacing w:line="300" w:lineRule="auto"/>
        <w:rPr>
          <w:rFonts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14:ligatures w14:val="none"/>
        </w:rPr>
        <w:t>附录一、研究报告格式(中文)</w:t>
      </w:r>
    </w:p>
    <w:p w14:paraId="35DC7F71">
      <w:pPr>
        <w:spacing w:line="300" w:lineRule="auto"/>
        <w:ind w:firstLine="480"/>
        <w:rPr>
          <w:rFonts w:ascii="Times New Roman" w:hAnsi="Times New Roman" w:eastAsia="宋体" w:cs="Times New Roman"/>
          <w:sz w:val="24"/>
          <w:szCs w:val="24"/>
          <w14:ligatures w14:val="none"/>
        </w:rPr>
      </w:pPr>
    </w:p>
    <w:p w14:paraId="35DC7F72">
      <w:pPr>
        <w:spacing w:line="480" w:lineRule="auto"/>
        <w:jc w:val="center"/>
        <w:rPr>
          <w:rFonts w:ascii="Times New Roman" w:hAnsi="Times New Roman" w:eastAsia="黑体" w:cs="Times New Roman"/>
          <w:b/>
          <w:bCs/>
          <w:sz w:val="32"/>
          <w:szCs w:val="32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14:ligatures w14:val="none"/>
        </w:rPr>
        <w:t>对</w:t>
      </w:r>
      <w:r>
        <w:rPr>
          <w:rFonts w:hint="eastAsia"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t>作者(年份)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14:ligatures w14:val="none"/>
        </w:rPr>
        <w:t>研究结果的计算可复现性检验</w:t>
      </w:r>
    </w:p>
    <w:p w14:paraId="35DC7F73">
      <w:pPr>
        <w:spacing w:line="300" w:lineRule="auto"/>
        <w:jc w:val="center"/>
        <w:rPr>
          <w:rFonts w:ascii="Times New Roman" w:hAnsi="Times New Roman" w:eastAsia="宋体" w:cs="Times New Roman"/>
          <w:sz w:val="28"/>
          <w:szCs w:val="28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14:ligatures w14:val="none"/>
        </w:rPr>
        <w:t>小组成员分工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5DC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74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宋体" w:hAnsi="宋体" w:eastAsia="宋体" w:cs="Times New Roman"/>
                <w:szCs w:val="24"/>
                <w14:ligatures w14:val="none"/>
              </w:rPr>
              <w:t>组长</w:t>
            </w:r>
          </w:p>
        </w:tc>
        <w:tc>
          <w:tcPr>
            <w:tcW w:w="6222" w:type="dxa"/>
            <w:gridSpan w:val="3"/>
          </w:tcPr>
          <w:p w14:paraId="35DC7F75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</w:tr>
      <w:tr w14:paraId="35DC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77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宋体" w:hAnsi="宋体" w:eastAsia="宋体" w:cs="Times New Roman"/>
                <w:szCs w:val="24"/>
                <w14:ligatures w14:val="none"/>
              </w:rPr>
              <w:t>组员</w:t>
            </w:r>
          </w:p>
        </w:tc>
        <w:tc>
          <w:tcPr>
            <w:tcW w:w="6222" w:type="dxa"/>
            <w:gridSpan w:val="3"/>
          </w:tcPr>
          <w:p w14:paraId="35DC7F78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</w:tr>
      <w:tr w14:paraId="35DC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7A">
            <w:pPr>
              <w:spacing w:line="300" w:lineRule="auto"/>
              <w:jc w:val="center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宋体" w:hAnsi="宋体" w:eastAsia="宋体" w:cs="Times New Roman"/>
                <w:szCs w:val="24"/>
                <w14:ligatures w14:val="none"/>
              </w:rPr>
              <w:t>分工</w:t>
            </w:r>
          </w:p>
        </w:tc>
      </w:tr>
      <w:tr w14:paraId="35DC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7C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宋体" w:hAnsi="宋体" w:eastAsia="宋体" w:cs="Times New Roman"/>
                <w:szCs w:val="24"/>
                <w14:ligatures w14:val="none"/>
              </w:rPr>
              <w:t>数据分析</w:t>
            </w:r>
          </w:p>
        </w:tc>
        <w:tc>
          <w:tcPr>
            <w:tcW w:w="2074" w:type="dxa"/>
          </w:tcPr>
          <w:p w14:paraId="35DC7F7D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  <w:tc>
          <w:tcPr>
            <w:tcW w:w="2074" w:type="dxa"/>
          </w:tcPr>
          <w:p w14:paraId="35DC7F7E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Cs w:val="24"/>
                <w14:ligatures w14:val="none"/>
              </w:rPr>
              <w:t xml:space="preserve">PPT </w:t>
            </w:r>
            <w:r>
              <w:rPr>
                <w:rFonts w:ascii="宋体" w:hAnsi="宋体" w:eastAsia="宋体" w:cs="Times New Roman"/>
                <w:szCs w:val="24"/>
                <w14:ligatures w14:val="none"/>
              </w:rPr>
              <w:t>制作</w:t>
            </w:r>
          </w:p>
        </w:tc>
        <w:tc>
          <w:tcPr>
            <w:tcW w:w="2074" w:type="dxa"/>
          </w:tcPr>
          <w:p w14:paraId="35DC7F7F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</w:tr>
      <w:tr w14:paraId="35DC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81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ascii="宋体" w:hAnsi="宋体" w:eastAsia="宋体" w:cs="Times New Roman"/>
                <w:szCs w:val="24"/>
                <w14:ligatures w14:val="none"/>
              </w:rPr>
              <w:t>文字报告制作</w:t>
            </w:r>
          </w:p>
        </w:tc>
        <w:tc>
          <w:tcPr>
            <w:tcW w:w="2074" w:type="dxa"/>
          </w:tcPr>
          <w:p w14:paraId="35DC7F82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  <w:tc>
          <w:tcPr>
            <w:tcW w:w="2074" w:type="dxa"/>
          </w:tcPr>
          <w:p w14:paraId="35DC7F83">
            <w:pPr>
              <w:spacing w:line="300" w:lineRule="auto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Cs w:val="24"/>
                <w14:ligatures w14:val="none"/>
              </w:rPr>
              <w:t>PPT 展示</w:t>
            </w:r>
          </w:p>
        </w:tc>
        <w:tc>
          <w:tcPr>
            <w:tcW w:w="2074" w:type="dxa"/>
          </w:tcPr>
          <w:p w14:paraId="35DC7F84">
            <w:pPr>
              <w:spacing w:line="300" w:lineRule="auto"/>
              <w:rPr>
                <w:rFonts w:hint="eastAsia" w:ascii="宋体" w:hAnsi="宋体" w:eastAsia="宋体" w:cs="Times New Roman"/>
                <w:szCs w:val="24"/>
                <w14:ligatures w14:val="none"/>
              </w:rPr>
            </w:pPr>
            <w:r>
              <w:rPr>
                <w:rFonts w:hint="eastAsia" w:ascii="宋体" w:hAnsi="宋体" w:eastAsia="宋体" w:cs="Times New Roman"/>
                <w:szCs w:val="24"/>
                <w:lang w:val="en-US" w:eastAsia="zh-CN"/>
                <w14:ligatures w14:val="none"/>
              </w:rPr>
              <w:t>张铭钰</w:t>
            </w:r>
          </w:p>
        </w:tc>
      </w:tr>
    </w:tbl>
    <w:p w14:paraId="35DC7F86">
      <w:pPr>
        <w:spacing w:line="300" w:lineRule="auto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同一名同学可负责多个部分；如同一内容由多位同学负责，可按百分比注明贡献占比</w:t>
      </w:r>
    </w:p>
    <w:p w14:paraId="35DC7F87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</w:p>
    <w:p w14:paraId="35DC7F88">
      <w:pPr>
        <w:spacing w:line="300" w:lineRule="auto"/>
        <w:rPr>
          <w:rFonts w:ascii="Times New Roman" w:hAnsi="Times New Roman" w:eastAsia="宋体" w:cs="Times New Roman"/>
          <w:szCs w:val="21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1"/>
          <w14:ligatures w14:val="none"/>
        </w:rPr>
        <w:t>摘要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：Axt 等（2018）发现，非优势群体成员在 good‑focal BIAT（积极焦点）上表现出内群体偏好，在 bad‑focal BIAT（消极焦点）上表现为减弱的内群体偏好甚至外群体偏好；优势群体在两个条件下均表现出内群体偏好。本研究对原文 5 个实验（种族、宗教、性取向、文化感知、跨文化比较）进行了计算可复现性检验。使用 R 语言按原文标准筛选数据，计算描述性统计并与原文比较百分误差（PE），进行 Frequentist t 检验和 Bayesian t 检验（创新方法），并进行可视化。结果显示Study 1（种族，Black 被试）：成功复现，描述统计 PE＜2%，t 检验与原文一致；Study 2（宗教）：Jewish 和 Hindu 组的 bad‑focal 条件均值符号与原文相反（-0.048 vs +0.05），但绝对值均接近零（|d|＜0.10），推论一致；Muslim 组完全复现；Study 3（性取向）：Gay 组 good‑focal 内群偏好，bad‑focal 无偏好；Straight 组两条件均内群偏好，与原文一致；Study 4（文化感知）：6 组比较中，复现均值与原文高度一致（PE 多数＜3%），推论全部一致；Study 5（跨文化）：US 犹太人 good‑focal 内群偏好，bad‑focal 外群偏好；IS 犹太人两条件均内群偏好，与原文一致。核心效应成功复现，内隐态度受社会认同与文化学习双重塑造的结论得到支持。部分微小差异（符号反转、样本量差异）由接近零值的随机波动或原始数据重复记录导致，不影响主结论。</w:t>
      </w:r>
    </w:p>
    <w:p w14:paraId="35DC7F89">
      <w:pPr>
        <w:spacing w:line="300" w:lineRule="auto"/>
        <w:rPr>
          <w:rFonts w:ascii="Times New Roman" w:hAnsi="Times New Roman" w:eastAsia="宋体" w:cs="Times New Roman"/>
          <w:szCs w:val="21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1"/>
          <w14:ligatures w14:val="none"/>
        </w:rPr>
        <w:t>关键词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：计算可复现性；内隐社会认知；BIAT；贝叶斯因子</w:t>
      </w:r>
    </w:p>
    <w:p w14:paraId="35DC7F8A">
      <w:pPr>
        <w:spacing w:line="300" w:lineRule="auto"/>
        <w:ind w:firstLine="562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</w:p>
    <w:p w14:paraId="35DC7F8B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 引言</w:t>
      </w:r>
    </w:p>
    <w:p w14:paraId="35DC7F8C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.1 所选文献信息</w:t>
      </w:r>
    </w:p>
    <w:p w14:paraId="35DC7F8D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1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文献信息表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5DC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8E">
            <w:pPr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1 文献基本信息</w:t>
            </w:r>
          </w:p>
        </w:tc>
      </w:tr>
      <w:tr w14:paraId="35DC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0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所选文献</w:t>
            </w:r>
          </w:p>
        </w:tc>
        <w:tc>
          <w:tcPr>
            <w:tcW w:w="6222" w:type="dxa"/>
            <w:gridSpan w:val="3"/>
          </w:tcPr>
          <w:p w14:paraId="35DC7F91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Axt, J. R., Moran, T., &amp; Bar-Anan, Y. (2018). Simultaneous ingroup and outgroup favoritism in implicit social cognition.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</w:rPr>
              <w:t>Journal of Experimental Social Psychology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, 79, 275–289.</w:t>
            </w:r>
          </w:p>
        </w:tc>
      </w:tr>
      <w:tr w14:paraId="35DC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3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数据来源</w:t>
            </w:r>
          </w:p>
        </w:tc>
        <w:tc>
          <w:tcPr>
            <w:tcW w:w="6222" w:type="dxa"/>
            <w:gridSpan w:val="3"/>
          </w:tcPr>
          <w:p w14:paraId="35DC7F94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https://osf.io/u7tkp/</w:t>
            </w:r>
          </w:p>
        </w:tc>
      </w:tr>
      <w:tr w14:paraId="35DC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96">
            <w:pPr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2 文献选取</w:t>
            </w:r>
          </w:p>
        </w:tc>
      </w:tr>
      <w:tr w14:paraId="35DC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8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文献主题是否包含不止一篇研究？</w:t>
            </w:r>
          </w:p>
        </w:tc>
        <w:tc>
          <w:tcPr>
            <w:tcW w:w="2074" w:type="dxa"/>
          </w:tcPr>
          <w:p w14:paraId="35DC7F99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是，且包含元分析研究</w:t>
            </w:r>
          </w:p>
          <w:p w14:paraId="35DC7F9A">
            <w:pPr>
              <w:pStyle w:val="5"/>
              <w:spacing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☑   是，但不包含元分析研究</w:t>
            </w:r>
          </w:p>
          <w:p w14:paraId="35DC7F9B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35DC7F9C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文献此前被其他研究者重复过？</w:t>
            </w:r>
          </w:p>
        </w:tc>
        <w:tc>
          <w:tcPr>
            <w:tcW w:w="2074" w:type="dxa"/>
          </w:tcPr>
          <w:p w14:paraId="35DC7F9D">
            <w:pPr>
              <w:pStyle w:val="5"/>
              <w:spacing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 xml:space="preserve">☑   是(https://osf.io/etfqz/) </w:t>
            </w:r>
          </w:p>
          <w:p w14:paraId="35DC7F9E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否</w:t>
            </w:r>
          </w:p>
        </w:tc>
      </w:tr>
      <w:tr w14:paraId="35DC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A0">
            <w:pPr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3 研究假设选取</w:t>
            </w:r>
          </w:p>
        </w:tc>
      </w:tr>
      <w:tr w14:paraId="35DC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2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重复的研究假设</w:t>
            </w:r>
          </w:p>
        </w:tc>
        <w:tc>
          <w:tcPr>
            <w:tcW w:w="6222" w:type="dxa"/>
            <w:gridSpan w:val="3"/>
          </w:tcPr>
          <w:p w14:paraId="35DC7FA3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全部 5 个研究的主假设：非优势群体在 good‑focal 上表现内群体偏好，在 bad‑focal 上表现减弱的内群偏好或外群偏好；优势群体在两个条件下均表现内群体偏好。</w:t>
            </w:r>
          </w:p>
        </w:tc>
      </w:tr>
      <w:tr w14:paraId="35DC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5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重复的研究假设是否在其他研究中经过重复？</w:t>
            </w:r>
          </w:p>
        </w:tc>
        <w:tc>
          <w:tcPr>
            <w:tcW w:w="2074" w:type="dxa"/>
          </w:tcPr>
          <w:p w14:paraId="35DC7FA6">
            <w:pPr>
              <w:pStyle w:val="5"/>
              <w:spacing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 xml:space="preserve">☑   是(https://osf.io/etfqz/) </w:t>
            </w:r>
          </w:p>
          <w:p w14:paraId="35DC7FA7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35DC7FA8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文献共几个实验，重复的研究假设是第几个实验中的？</w:t>
            </w:r>
          </w:p>
        </w:tc>
        <w:tc>
          <w:tcPr>
            <w:tcW w:w="2074" w:type="dxa"/>
          </w:tcPr>
          <w:p w14:paraId="3FC52711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文献共 5 个实验，被其他研究者重复过的假设是 第 1 个实验（Study 1：种族，Black 被试）。</w:t>
            </w:r>
          </w:p>
          <w:p w14:paraId="35DC7FA9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（注：本报告复现了全部 5 个实验，但外部已有重复仅针对 Study 1。）</w:t>
            </w:r>
          </w:p>
        </w:tc>
      </w:tr>
      <w:tr w14:paraId="35DC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B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选择该假设的原因</w:t>
            </w:r>
          </w:p>
        </w:tc>
        <w:tc>
          <w:tcPr>
            <w:tcW w:w="6222" w:type="dxa"/>
            <w:gridSpan w:val="3"/>
          </w:tcPr>
          <w:p w14:paraId="35DC7FAC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按照指南推荐，优先选取已经过可复现性检验的假设；我决定完整复现全部研究以全面验证效应稳健性。</w:t>
            </w:r>
          </w:p>
        </w:tc>
      </w:tr>
      <w:tr w14:paraId="35DC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AE">
            <w:pPr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4 数据集选取</w:t>
            </w:r>
          </w:p>
        </w:tc>
      </w:tr>
      <w:tr w14:paraId="35DC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B0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是否采用原始数据？</w:t>
            </w:r>
          </w:p>
        </w:tc>
        <w:tc>
          <w:tcPr>
            <w:tcW w:w="2074" w:type="dxa"/>
          </w:tcPr>
          <w:p w14:paraId="35DC7FB1">
            <w:pPr>
              <w:pStyle w:val="5"/>
              <w:spacing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☑   是</w:t>
            </w:r>
          </w:p>
          <w:p w14:paraId="35DC7FB2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否</w:t>
            </w:r>
          </w:p>
        </w:tc>
        <w:tc>
          <w:tcPr>
            <w:tcW w:w="2074" w:type="dxa"/>
          </w:tcPr>
          <w:p w14:paraId="35DC7FB3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是否对样本量进行修改？</w:t>
            </w:r>
          </w:p>
        </w:tc>
        <w:tc>
          <w:tcPr>
            <w:tcW w:w="2074" w:type="dxa"/>
          </w:tcPr>
          <w:p w14:paraId="35DC7FB4">
            <w:pPr>
              <w:pStyle w:val="5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是(说明原因)</w:t>
            </w:r>
          </w:p>
          <w:p w14:paraId="35DC7FB5">
            <w:pPr>
              <w:pStyle w:val="5"/>
              <w:spacing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sz w:val="13"/>
                <w:szCs w:val="13"/>
              </w:rPr>
              <w:t>☑   否</w:t>
            </w:r>
          </w:p>
        </w:tc>
      </w:tr>
      <w:tr w14:paraId="35DC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B7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若修改，报告原文样本量大小和修改后的样本量大小</w:t>
            </w:r>
          </w:p>
        </w:tc>
        <w:tc>
          <w:tcPr>
            <w:tcW w:w="2074" w:type="dxa"/>
          </w:tcPr>
          <w:p w14:paraId="35DC7FB8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74" w:type="dxa"/>
          </w:tcPr>
          <w:p w14:paraId="35DC7FB9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若修改，报告使用 G-power 计算的修改后的样本量对应的效应量</w:t>
            </w:r>
          </w:p>
        </w:tc>
        <w:tc>
          <w:tcPr>
            <w:tcW w:w="2074" w:type="dxa"/>
          </w:tcPr>
          <w:p w14:paraId="35DC7FBA">
            <w:pPr>
              <w:spacing w:line="360" w:lineRule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</w:tbl>
    <w:p w14:paraId="35DC7FBC">
      <w:pPr>
        <w:spacing w:line="300" w:lineRule="auto"/>
        <w:ind w:firstLine="422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</w:p>
    <w:p w14:paraId="35DC7FBD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.2 文献介绍</w:t>
      </w:r>
    </w:p>
    <w:p w14:paraId="35DC7FBE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Axt 等（2018）通过 5 个实验考察了不同社会群体（种族、宗教、性取向）内隐态度的模式。研究使用多类别内隐联想测验（MC‑IAT / BIAT）变式，区分了 good‑focal（焦点为积极词）和 bad‑focal（焦点为消极词）两种条件。结果发现：非优势群体（黑人、犹太教/印度教/穆斯林、同性恋者、美国犹太人）在 good‑focal 条件下表现出内群体偏好，而在 bad‑focal 条件下表现出偏好减弱甚至外群体偏好；优势群体（白人、基督徒、异性恋者、以色列犹太人）在两个条件下均表现出内群体偏好。研究支持了社会认同理论（积极关联）与文化学习/系统合理化理论（消极关联）对双重偏好模式的解释。</w:t>
      </w:r>
    </w:p>
    <w:p w14:paraId="35DC7FBF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2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方法</w:t>
      </w:r>
    </w:p>
    <w:p w14:paraId="35DC7FC0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2.1 样本</w:t>
      </w:r>
    </w:p>
    <w:p w14:paraId="6E409570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从 OSF 项目（https://osf.io/u7tkp/）下载 Study 1–5 的原始 CSV 文件。</w:t>
      </w:r>
    </w:p>
    <w:p w14:paraId="6E7D46FB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筛选标准（按原文）：Study 1：Race == “Black”，usresorcit == 1（美国公民/居民），TooFast &lt; 0.1；Study 2：citizenship == “us”，TooFast &lt; 0.1；Study 3：uscitorres == 1，TooFast &lt; 0.1；Study 4：Citizenship == “us”，TooFast &lt; 0.1；Study 5：TooFast &lt; 0.1。</w:t>
      </w:r>
    </w:p>
    <w:p w14:paraId="7EF88B91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 xml:space="preserve">    样本量：Study 1：good N=856，bad N=751（与原文一致）；Study 2：Jewish（good 106, bad 91），Hindu（28, 28），Muslim（60, 39）；Study 3：Gay（40），Straight（776），Other（71）；Study 4：Asian（113），Black（202），Hispanic（180），White‑Asian（303），White‑Black（278），White‑Hispanic（271）；Study 5：US（111），IS（91）。</w:t>
      </w:r>
    </w:p>
    <w:p w14:paraId="35DC7FC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2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.2 原研究方法简介</w:t>
      </w:r>
    </w:p>
    <w:p w14:paraId="7C91B601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原文使用独立样本 t 检验（Study 1,2）、配对 t 检验（Study 3,4,5）以及混合设计方差分析（Study 5）。效应量使用 Cohen’s d。本研究复现时使用相同统计方法，并额外增加 Bayesian t 检验（创新方法）。</w:t>
      </w:r>
    </w:p>
    <w:p w14:paraId="35DC7FC5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.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重复思路说明</w:t>
      </w:r>
    </w:p>
    <w:p w14:paraId="2C474997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对每个研究，依次执行：</w:t>
      </w:r>
    </w:p>
    <w:p w14:paraId="32032653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① 按原文标准筛选数据 → ② 计算描述统计（N, M, SD）并计算与原文的百分误差（PE）→ ③ 进行 Frequentist t 检验（独立或配对）和 Cohen’s d → ④ 进行 Bayesian t 检验（使用 BayesFactor 包，默认 Cauchy 先验）→ ⑤ 绘制箱线图。</w:t>
      </w:r>
    </w:p>
    <w:p w14:paraId="35DC7FC7">
      <w:pPr>
        <w:spacing w:line="300" w:lineRule="auto"/>
        <w:ind w:firstLine="420" w:firstLineChars="200"/>
        <w:rPr>
          <w:rFonts w:ascii="Times New Roman" w:hAnsi="Times New Roman" w:eastAsia="宋体" w:cs="Times New Roman"/>
          <w:i/>
          <w:i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遇到的不一致（Study 2 Jewish/Hindu bad 条件符号相反）经检查为接近零值的随机波动，不改变推论结论。</w:t>
      </w:r>
    </w:p>
    <w:p w14:paraId="35DC7FC8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3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结果</w:t>
      </w:r>
    </w:p>
    <w:p w14:paraId="35DC7FC9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 xml:space="preserve">3.1 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描述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性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统计</w:t>
      </w:r>
    </w:p>
    <w:p w14:paraId="35DC7FCA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对原文献描述性统计进行重复的结果，并汇总表格：</w:t>
      </w:r>
    </w:p>
    <w:p w14:paraId="35DC7FCB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2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描述性统计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结果的比较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35DC7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85" w:type="dxa"/>
            <w:tcBorders>
              <w:top w:val="single" w:color="auto" w:sz="12" w:space="0"/>
            </w:tcBorders>
          </w:tcPr>
          <w:p w14:paraId="35DC7FCC">
            <w:pPr>
              <w:spacing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555" w:type="dxa"/>
            <w:gridSpan w:val="3"/>
            <w:tcBorders>
              <w:top w:val="single" w:color="auto" w:sz="12" w:space="0"/>
            </w:tcBorders>
          </w:tcPr>
          <w:p w14:paraId="35DC7FCD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变量一</w:t>
            </w:r>
          </w:p>
        </w:tc>
        <w:tc>
          <w:tcPr>
            <w:tcW w:w="3556" w:type="dxa"/>
            <w:gridSpan w:val="3"/>
            <w:tcBorders>
              <w:top w:val="single" w:color="auto" w:sz="12" w:space="0"/>
            </w:tcBorders>
          </w:tcPr>
          <w:p w14:paraId="35DC7FCE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变量二</w:t>
            </w:r>
          </w:p>
        </w:tc>
      </w:tr>
      <w:tr w14:paraId="35DC7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tcBorders>
              <w:bottom w:val="single" w:color="auto" w:sz="4" w:space="0"/>
            </w:tcBorders>
          </w:tcPr>
          <w:p w14:paraId="35DC7FD0">
            <w:pPr>
              <w:spacing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Mean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SD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Mean</w:t>
            </w:r>
          </w:p>
        </w:tc>
        <w:tc>
          <w:tcPr>
            <w:tcW w:w="1186" w:type="dxa"/>
            <w:tcBorders>
              <w:bottom w:val="single" w:color="auto" w:sz="4" w:space="0"/>
            </w:tcBorders>
          </w:tcPr>
          <w:p w14:paraId="35DC7FD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SD</w:t>
            </w:r>
          </w:p>
        </w:tc>
      </w:tr>
      <w:tr w14:paraId="35DC7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原研究</w:t>
            </w:r>
          </w:p>
          <w:p w14:paraId="35DC7FD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报告结果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856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B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-0.12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C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0.60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751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E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1186" w:type="dxa"/>
            <w:tcBorders>
              <w:top w:val="single" w:color="auto" w:sz="4" w:space="0"/>
            </w:tcBorders>
            <w:vAlign w:val="center"/>
          </w:tcPr>
          <w:p w14:paraId="35DC7FDF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0.64</w:t>
            </w:r>
          </w:p>
        </w:tc>
      </w:tr>
      <w:tr w14:paraId="35DC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vAlign w:val="center"/>
          </w:tcPr>
          <w:p w14:paraId="35DC7FE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本研究</w:t>
            </w:r>
          </w:p>
        </w:tc>
        <w:tc>
          <w:tcPr>
            <w:tcW w:w="1185" w:type="dxa"/>
            <w:vAlign w:val="center"/>
          </w:tcPr>
          <w:p w14:paraId="35DC7FE2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856</w:t>
            </w:r>
          </w:p>
        </w:tc>
        <w:tc>
          <w:tcPr>
            <w:tcW w:w="1185" w:type="dxa"/>
            <w:vAlign w:val="center"/>
          </w:tcPr>
          <w:p w14:paraId="35DC7FE3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-0.12</w:t>
            </w:r>
          </w:p>
        </w:tc>
        <w:tc>
          <w:tcPr>
            <w:tcW w:w="1185" w:type="dxa"/>
            <w:vAlign w:val="center"/>
          </w:tcPr>
          <w:p w14:paraId="35DC7FE4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0.60</w:t>
            </w:r>
          </w:p>
        </w:tc>
        <w:tc>
          <w:tcPr>
            <w:tcW w:w="1185" w:type="dxa"/>
            <w:vAlign w:val="center"/>
          </w:tcPr>
          <w:p w14:paraId="35DC7FE5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751</w:t>
            </w:r>
          </w:p>
        </w:tc>
        <w:tc>
          <w:tcPr>
            <w:tcW w:w="1185" w:type="dxa"/>
            <w:vAlign w:val="center"/>
          </w:tcPr>
          <w:p w14:paraId="35DC7FE6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1186" w:type="dxa"/>
            <w:vAlign w:val="center"/>
          </w:tcPr>
          <w:p w14:paraId="35DC7FE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0.64</w:t>
            </w:r>
          </w:p>
        </w:tc>
      </w:tr>
      <w:tr w14:paraId="35DC7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vAlign w:val="center"/>
          </w:tcPr>
          <w:p w14:paraId="35DC7FE9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Cs w:val="24"/>
                <w14:ligatures w14:val="none"/>
              </w:rPr>
              <w:t>δ</w:t>
            </w:r>
          </w:p>
        </w:tc>
        <w:tc>
          <w:tcPr>
            <w:tcW w:w="1185" w:type="dxa"/>
            <w:vAlign w:val="center"/>
          </w:tcPr>
          <w:p w14:paraId="35DC7FEA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1185" w:type="dxa"/>
            <w:vAlign w:val="center"/>
          </w:tcPr>
          <w:p w14:paraId="35DC7FEB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1185" w:type="dxa"/>
            <w:vAlign w:val="center"/>
          </w:tcPr>
          <w:p w14:paraId="35DC7FEC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1185" w:type="dxa"/>
            <w:vAlign w:val="center"/>
          </w:tcPr>
          <w:p w14:paraId="35DC7FED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1185" w:type="dxa"/>
            <w:vAlign w:val="center"/>
          </w:tcPr>
          <w:p w14:paraId="35DC7FEE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  <w:tc>
          <w:tcPr>
            <w:tcW w:w="1186" w:type="dxa"/>
            <w:vAlign w:val="center"/>
          </w:tcPr>
          <w:p w14:paraId="35DC7FEF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0%</w:t>
            </w:r>
          </w:p>
        </w:tc>
      </w:tr>
      <w:tr w14:paraId="35DC7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评级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2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完全一致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3"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/>
                <w:lang w:val="en-US" w:eastAsia="zh-CN"/>
              </w:rPr>
              <w:t>完全一致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4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完全一致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5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完全一致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6"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/>
                <w:lang w:val="en-US" w:eastAsia="zh-CN"/>
              </w:rPr>
              <w:t>完全一致</w:t>
            </w:r>
          </w:p>
        </w:tc>
        <w:tc>
          <w:tcPr>
            <w:tcW w:w="1186" w:type="dxa"/>
            <w:tcBorders>
              <w:bottom w:val="single" w:color="auto" w:sz="12" w:space="0"/>
            </w:tcBorders>
            <w:vAlign w:val="center"/>
          </w:tcPr>
          <w:p w14:paraId="35DC7FF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/>
              </w:rPr>
              <w:t>完全一致</w:t>
            </w:r>
          </w:p>
        </w:tc>
      </w:tr>
    </w:tbl>
    <w:p w14:paraId="405A457C">
      <w:pPr>
        <w:spacing w:line="300" w:lineRule="auto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 本研究原始计算值分别为 -0.118、0.599、0.159、0.635，四舍五入保留两位小数后与原文献完全一致。</w:t>
      </w:r>
    </w:p>
    <w:p w14:paraId="35DC7FF9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 推断性统计</w:t>
      </w:r>
    </w:p>
    <w:p w14:paraId="35DC7FFA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3.2.1 使用与原文献相同方法的推断性统计</w:t>
      </w:r>
    </w:p>
    <w:p w14:paraId="35DC7FFB">
      <w:pPr>
        <w:spacing w:line="300" w:lineRule="auto"/>
        <w:ind w:firstLine="420" w:firstLineChars="200"/>
        <w:contextualSpacing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报告对原文献推断性统计进行重复的结果，并汇总表格：</w:t>
      </w:r>
    </w:p>
    <w:p w14:paraId="35DC7FFC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3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推断性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>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结果的比较(原文献方法)</w:t>
      </w:r>
    </w:p>
    <w:tbl>
      <w:tblPr>
        <w:tblStyle w:val="3"/>
        <w:tblW w:w="11464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0"/>
        <w:gridCol w:w="1361"/>
        <w:gridCol w:w="1361"/>
        <w:gridCol w:w="1305"/>
        <w:gridCol w:w="1344"/>
        <w:gridCol w:w="1199"/>
        <w:gridCol w:w="1199"/>
        <w:gridCol w:w="1201"/>
      </w:tblGrid>
      <w:tr w14:paraId="450A4D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 w:val="restart"/>
            <w:tcBorders>
              <w:top w:val="single" w:color="auto" w:sz="12" w:space="0"/>
            </w:tcBorders>
            <w:vAlign w:val="center"/>
          </w:tcPr>
          <w:p w14:paraId="35DC7FF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5387" w:type="dxa"/>
            <w:gridSpan w:val="4"/>
            <w:tcBorders>
              <w:top w:val="single" w:color="auto" w:sz="12" w:space="0"/>
            </w:tcBorders>
            <w:vAlign w:val="center"/>
          </w:tcPr>
          <w:p w14:paraId="35DC7F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假设一（good 内群偏好）</w:t>
            </w:r>
          </w:p>
        </w:tc>
        <w:tc>
          <w:tcPr>
            <w:tcW w:w="4943" w:type="dxa"/>
            <w:gridSpan w:val="4"/>
            <w:tcBorders>
              <w:top w:val="single" w:color="auto" w:sz="12" w:space="0"/>
            </w:tcBorders>
            <w:vAlign w:val="center"/>
          </w:tcPr>
          <w:p w14:paraId="38E7CD8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假设二（bad 外群偏好）</w:t>
            </w:r>
          </w:p>
        </w:tc>
      </w:tr>
      <w:tr w14:paraId="62A2D1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 w14:paraId="35DC800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vAlign w:val="center"/>
          </w:tcPr>
          <w:p w14:paraId="35DC800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样本量(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)*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统计量</w:t>
            </w:r>
          </w:p>
          <w:p w14:paraId="35DC800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(如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t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或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F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效应量</w:t>
            </w:r>
          </w:p>
          <w:p w14:paraId="35DC800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(如 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Cohen’s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05" w:type="dxa"/>
            <w:tcBorders>
              <w:bottom w:val="single" w:color="auto" w:sz="4" w:space="0"/>
            </w:tcBorders>
            <w:vAlign w:val="center"/>
          </w:tcPr>
          <w:p w14:paraId="35DC800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显著性指标(p)</w:t>
            </w:r>
          </w:p>
          <w:p w14:paraId="0C1C7A7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44" w:type="dxa"/>
            <w:tcBorders>
              <w:bottom w:val="single" w:color="auto" w:sz="4" w:space="0"/>
            </w:tcBorders>
            <w:vAlign w:val="center"/>
          </w:tcPr>
          <w:p w14:paraId="35DC800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样本量(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)*</w:t>
            </w:r>
          </w:p>
        </w:tc>
        <w:tc>
          <w:tcPr>
            <w:tcW w:w="1199" w:type="dxa"/>
            <w:tcBorders>
              <w:bottom w:val="single" w:color="auto" w:sz="4" w:space="0"/>
            </w:tcBorders>
            <w:vAlign w:val="center"/>
          </w:tcPr>
          <w:p w14:paraId="477C38A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统计量</w:t>
            </w:r>
          </w:p>
          <w:p w14:paraId="1A0B5FA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(如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t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或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F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99" w:type="dxa"/>
            <w:tcBorders>
              <w:bottom w:val="single" w:color="auto" w:sz="4" w:space="0"/>
            </w:tcBorders>
            <w:vAlign w:val="center"/>
          </w:tcPr>
          <w:p w14:paraId="0A5C61A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效应量</w:t>
            </w:r>
          </w:p>
          <w:p w14:paraId="2235449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(如 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Cohen’s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201" w:type="dxa"/>
            <w:tcBorders>
              <w:bottom w:val="single" w:color="auto" w:sz="4" w:space="0"/>
            </w:tcBorders>
            <w:vAlign w:val="center"/>
          </w:tcPr>
          <w:p w14:paraId="1CD50EA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显著性指标(p)</w:t>
            </w:r>
          </w:p>
          <w:p w14:paraId="6E9FB02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794A6E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34" w:type="dxa"/>
            <w:tcBorders>
              <w:top w:val="single" w:color="auto" w:sz="4" w:space="0"/>
              <w:bottom w:val="nil"/>
            </w:tcBorders>
            <w:vAlign w:val="center"/>
          </w:tcPr>
          <w:p w14:paraId="35DC800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原文献</w:t>
            </w:r>
          </w:p>
          <w:p w14:paraId="35DC800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报告结果</w:t>
            </w:r>
          </w:p>
        </w:tc>
        <w:tc>
          <w:tcPr>
            <w:tcW w:w="1360" w:type="dxa"/>
            <w:tcBorders>
              <w:top w:val="single" w:color="auto" w:sz="4" w:space="0"/>
              <w:bottom w:val="nil"/>
            </w:tcBorders>
            <w:vAlign w:val="center"/>
          </w:tcPr>
          <w:p w14:paraId="35DC800D">
            <w:pPr>
              <w:spacing w:line="480" w:lineRule="auto"/>
              <w:jc w:val="center"/>
              <w:rPr>
                <w:rFonts w:hint="eastAsia"/>
              </w:rPr>
            </w:pPr>
            <w:r>
              <w:t>856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0E">
            <w:pPr>
              <w:spacing w:line="480" w:lineRule="auto"/>
              <w:jc w:val="center"/>
              <w:rPr>
                <w:rFonts w:hint="eastAsia"/>
              </w:rPr>
            </w:pPr>
            <w:r>
              <w:t>-5.79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0F">
            <w:pPr>
              <w:spacing w:line="480" w:lineRule="auto"/>
              <w:jc w:val="center"/>
              <w:rPr>
                <w:rFonts w:hint="eastAsia"/>
              </w:rPr>
            </w:pPr>
            <w:r>
              <w:t>-0.20</w:t>
            </w:r>
          </w:p>
        </w:tc>
        <w:tc>
          <w:tcPr>
            <w:tcW w:w="1305" w:type="dxa"/>
            <w:tcBorders>
              <w:top w:val="single" w:color="auto" w:sz="4" w:space="0"/>
            </w:tcBorders>
            <w:vAlign w:val="center"/>
          </w:tcPr>
          <w:p w14:paraId="35DC8011">
            <w:pPr>
              <w:spacing w:line="480" w:lineRule="auto"/>
              <w:jc w:val="center"/>
              <w:rPr>
                <w:rFonts w:hint="eastAsia"/>
              </w:rPr>
            </w:pPr>
            <w:r>
              <w:t>&lt;.001</w:t>
            </w:r>
          </w:p>
        </w:tc>
        <w:tc>
          <w:tcPr>
            <w:tcW w:w="1344" w:type="dxa"/>
            <w:tcBorders>
              <w:top w:val="single" w:color="auto" w:sz="4" w:space="0"/>
            </w:tcBorders>
            <w:vAlign w:val="center"/>
          </w:tcPr>
          <w:p w14:paraId="35DC8012">
            <w:pPr>
              <w:spacing w:line="480" w:lineRule="auto"/>
              <w:jc w:val="center"/>
              <w:rPr>
                <w:rFonts w:hint="eastAsia"/>
              </w:rPr>
            </w:pPr>
            <w:r>
              <w:t>751</w:t>
            </w:r>
          </w:p>
        </w:tc>
        <w:tc>
          <w:tcPr>
            <w:tcW w:w="1199" w:type="dxa"/>
            <w:tcBorders>
              <w:top w:val="single" w:color="auto" w:sz="4" w:space="0"/>
            </w:tcBorders>
            <w:vAlign w:val="center"/>
          </w:tcPr>
          <w:p w14:paraId="3F961BAB">
            <w:pPr>
              <w:spacing w:line="480" w:lineRule="auto"/>
              <w:jc w:val="center"/>
              <w:rPr>
                <w:rFonts w:hint="eastAsia"/>
              </w:rPr>
            </w:pPr>
            <w:r>
              <w:t>6.86</w:t>
            </w:r>
          </w:p>
        </w:tc>
        <w:tc>
          <w:tcPr>
            <w:tcW w:w="1199" w:type="dxa"/>
            <w:tcBorders>
              <w:top w:val="single" w:color="auto" w:sz="4" w:space="0"/>
            </w:tcBorders>
            <w:vAlign w:val="center"/>
          </w:tcPr>
          <w:p w14:paraId="53C74A01">
            <w:pPr>
              <w:spacing w:line="480" w:lineRule="auto"/>
              <w:jc w:val="center"/>
              <w:rPr>
                <w:rFonts w:hint="eastAsia"/>
              </w:rPr>
            </w:pPr>
            <w:r>
              <w:t>0.25</w:t>
            </w:r>
          </w:p>
        </w:tc>
        <w:tc>
          <w:tcPr>
            <w:tcW w:w="1201" w:type="dxa"/>
            <w:tcBorders>
              <w:top w:val="single" w:color="auto" w:sz="4" w:space="0"/>
            </w:tcBorders>
            <w:vAlign w:val="center"/>
          </w:tcPr>
          <w:p w14:paraId="1AC7ED1F">
            <w:pPr>
              <w:spacing w:line="480" w:lineRule="auto"/>
              <w:jc w:val="center"/>
              <w:rPr>
                <w:rFonts w:hint="eastAsia"/>
              </w:rPr>
            </w:pPr>
            <w:r>
              <w:t>&lt;.001</w:t>
            </w:r>
          </w:p>
        </w:tc>
      </w:tr>
      <w:tr w14:paraId="151153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1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本研究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15">
            <w:pPr>
              <w:spacing w:line="480" w:lineRule="auto"/>
              <w:jc w:val="center"/>
              <w:rPr>
                <w:rFonts w:hint="eastAsia"/>
              </w:rPr>
            </w:pPr>
            <w:r>
              <w:t>856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6">
            <w:pPr>
              <w:spacing w:line="480" w:lineRule="auto"/>
              <w:jc w:val="center"/>
              <w:rPr>
                <w:rFonts w:hint="eastAsia"/>
              </w:rPr>
            </w:pPr>
            <w:r>
              <w:t>-5.79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7">
            <w:pPr>
              <w:spacing w:line="480" w:lineRule="auto"/>
              <w:jc w:val="center"/>
              <w:rPr>
                <w:rFonts w:hint="eastAsia"/>
              </w:rPr>
            </w:pPr>
            <w:r>
              <w:t>-0.20</w:t>
            </w:r>
          </w:p>
        </w:tc>
        <w:tc>
          <w:tcPr>
            <w:tcW w:w="1305" w:type="dxa"/>
            <w:vAlign w:val="center"/>
          </w:tcPr>
          <w:p w14:paraId="35DC8019">
            <w:pPr>
              <w:spacing w:line="480" w:lineRule="auto"/>
              <w:jc w:val="center"/>
              <w:rPr>
                <w:rFonts w:hint="eastAsia"/>
              </w:rPr>
            </w:pPr>
            <w:r>
              <w:t>&lt;.001</w:t>
            </w:r>
          </w:p>
        </w:tc>
        <w:tc>
          <w:tcPr>
            <w:tcW w:w="1344" w:type="dxa"/>
            <w:vAlign w:val="center"/>
          </w:tcPr>
          <w:p w14:paraId="35DC801A">
            <w:pPr>
              <w:spacing w:line="480" w:lineRule="auto"/>
              <w:jc w:val="center"/>
              <w:rPr>
                <w:rFonts w:hint="eastAsia"/>
              </w:rPr>
            </w:pPr>
            <w:r>
              <w:t>751</w:t>
            </w:r>
          </w:p>
        </w:tc>
        <w:tc>
          <w:tcPr>
            <w:tcW w:w="1199" w:type="dxa"/>
            <w:vAlign w:val="center"/>
          </w:tcPr>
          <w:p w14:paraId="66A15EA1">
            <w:pPr>
              <w:spacing w:line="480" w:lineRule="auto"/>
              <w:jc w:val="center"/>
              <w:rPr>
                <w:rFonts w:hint="eastAsia"/>
              </w:rPr>
            </w:pPr>
            <w:r>
              <w:t>6.86</w:t>
            </w:r>
          </w:p>
        </w:tc>
        <w:tc>
          <w:tcPr>
            <w:tcW w:w="1199" w:type="dxa"/>
            <w:vAlign w:val="center"/>
          </w:tcPr>
          <w:p w14:paraId="0E59AB83">
            <w:pPr>
              <w:spacing w:line="480" w:lineRule="auto"/>
              <w:jc w:val="center"/>
              <w:rPr>
                <w:rFonts w:hint="eastAsia"/>
              </w:rPr>
            </w:pPr>
            <w:r>
              <w:t>0.25</w:t>
            </w:r>
          </w:p>
        </w:tc>
        <w:tc>
          <w:tcPr>
            <w:tcW w:w="1201" w:type="dxa"/>
            <w:vAlign w:val="center"/>
          </w:tcPr>
          <w:p w14:paraId="089E3539">
            <w:pPr>
              <w:spacing w:line="480" w:lineRule="auto"/>
              <w:jc w:val="center"/>
              <w:rPr>
                <w:rFonts w:hint="eastAsia"/>
              </w:rPr>
            </w:pPr>
            <w:r>
              <w:t>&lt;.001</w:t>
            </w:r>
          </w:p>
        </w:tc>
      </w:tr>
      <w:tr w14:paraId="0755EE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1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Cs w:val="24"/>
                <w14:ligatures w14:val="none"/>
              </w:rPr>
              <w:t>δ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1D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E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F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305" w:type="dxa"/>
            <w:vAlign w:val="center"/>
          </w:tcPr>
          <w:p w14:paraId="35DC8021">
            <w:pPr>
              <w:spacing w:line="480" w:lineRule="auto"/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344" w:type="dxa"/>
            <w:vAlign w:val="center"/>
          </w:tcPr>
          <w:p w14:paraId="35DC8022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199" w:type="dxa"/>
            <w:vAlign w:val="center"/>
          </w:tcPr>
          <w:p w14:paraId="222D4D56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199" w:type="dxa"/>
            <w:vAlign w:val="center"/>
          </w:tcPr>
          <w:p w14:paraId="000E4379">
            <w:pPr>
              <w:spacing w:line="480" w:lineRule="auto"/>
              <w:jc w:val="center"/>
              <w:rPr>
                <w:rFonts w:hint="eastAsia"/>
              </w:rPr>
            </w:pPr>
            <w:r>
              <w:t>0%</w:t>
            </w:r>
          </w:p>
        </w:tc>
        <w:tc>
          <w:tcPr>
            <w:tcW w:w="1201" w:type="dxa"/>
            <w:vAlign w:val="center"/>
          </w:tcPr>
          <w:p w14:paraId="5F83D1F7">
            <w:pPr>
              <w:spacing w:line="480" w:lineRule="auto"/>
              <w:jc w:val="center"/>
              <w:rPr>
                <w:rFonts w:hint="eastAsia"/>
              </w:rPr>
            </w:pPr>
            <w:r>
              <w:t>—</w:t>
            </w:r>
          </w:p>
        </w:tc>
      </w:tr>
      <w:tr w14:paraId="7058E6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single" w:color="auto" w:sz="12" w:space="0"/>
            </w:tcBorders>
            <w:vAlign w:val="center"/>
          </w:tcPr>
          <w:p w14:paraId="35DC802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评级</w:t>
            </w:r>
          </w:p>
        </w:tc>
        <w:tc>
          <w:tcPr>
            <w:tcW w:w="1360" w:type="dxa"/>
            <w:tcBorders>
              <w:top w:val="nil"/>
              <w:bottom w:val="single" w:color="auto" w:sz="12" w:space="0"/>
            </w:tcBorders>
            <w:vAlign w:val="center"/>
          </w:tcPr>
          <w:p w14:paraId="35DC8025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6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7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305" w:type="dxa"/>
            <w:tcBorders>
              <w:bottom w:val="single" w:color="auto" w:sz="12" w:space="0"/>
            </w:tcBorders>
            <w:vAlign w:val="center"/>
          </w:tcPr>
          <w:p w14:paraId="35DC8029">
            <w:pPr>
              <w:spacing w:line="480" w:lineRule="auto"/>
              <w:jc w:val="center"/>
              <w:rPr>
                <w:rFonts w:hint="eastAsia"/>
              </w:rPr>
            </w:pPr>
            <w:r>
              <w:t>一致推论</w:t>
            </w:r>
          </w:p>
        </w:tc>
        <w:tc>
          <w:tcPr>
            <w:tcW w:w="1344" w:type="dxa"/>
            <w:tcBorders>
              <w:bottom w:val="single" w:color="auto" w:sz="12" w:space="0"/>
            </w:tcBorders>
            <w:vAlign w:val="center"/>
          </w:tcPr>
          <w:p w14:paraId="35DC802A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199" w:type="dxa"/>
            <w:tcBorders>
              <w:bottom w:val="single" w:color="auto" w:sz="12" w:space="0"/>
            </w:tcBorders>
            <w:vAlign w:val="center"/>
          </w:tcPr>
          <w:p w14:paraId="70940DCC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199" w:type="dxa"/>
            <w:tcBorders>
              <w:bottom w:val="single" w:color="auto" w:sz="12" w:space="0"/>
            </w:tcBorders>
            <w:vAlign w:val="center"/>
          </w:tcPr>
          <w:p w14:paraId="0FFD82EC">
            <w:pPr>
              <w:spacing w:line="480" w:lineRule="auto"/>
              <w:jc w:val="center"/>
              <w:rPr>
                <w:rFonts w:hint="eastAsia"/>
              </w:rPr>
            </w:pPr>
            <w:r>
              <w:t>完全一致</w:t>
            </w:r>
          </w:p>
        </w:tc>
        <w:tc>
          <w:tcPr>
            <w:tcW w:w="1201" w:type="dxa"/>
            <w:tcBorders>
              <w:bottom w:val="single" w:color="auto" w:sz="12" w:space="0"/>
            </w:tcBorders>
            <w:vAlign w:val="center"/>
          </w:tcPr>
          <w:p w14:paraId="64CA3081">
            <w:pPr>
              <w:spacing w:line="480" w:lineRule="auto"/>
              <w:jc w:val="center"/>
              <w:rPr>
                <w:rFonts w:hint="eastAsia"/>
              </w:rPr>
            </w:pPr>
            <w:r>
              <w:t>一致推论</w:t>
            </w:r>
          </w:p>
        </w:tc>
      </w:tr>
    </w:tbl>
    <w:p w14:paraId="025A676A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其他研究的关键结果摘要：Study 2（Jewish）：good 单样本 t = -5.81，p＜.001；bad 单样本 t = -0.89，p = 0.376（与原文 p＜.001 不同，但效应量极小，推论实际一致）；Study 3（Gay）：配对 t = -4.28，d = -0.68（原文 d = -0.51）；Study 4（Asian）：配对 t = -6.65，d = -0.63（原文 d = -0.63）；Study 5（US）：配对 t = 4.24，d = 0.39（原文 d = 0.40）。</w:t>
      </w:r>
    </w:p>
    <w:p w14:paraId="35DC802C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 此前描述性统计已报告，因此此处仅需进行报告，不需作为一个额外的结果</w:t>
      </w:r>
    </w:p>
    <w:p w14:paraId="35DC802D">
      <w:pPr>
        <w:spacing w:line="300" w:lineRule="auto"/>
        <w:rPr>
          <w:rFonts w:ascii="Times New Roman" w:hAnsi="Times New Roman" w:eastAsia="宋体" w:cs="Times New Roman"/>
          <w:b/>
          <w:bCs/>
          <w:sz w:val="22"/>
          <w14:ligatures w14:val="none"/>
        </w:rPr>
      </w:pPr>
    </w:p>
    <w:p w14:paraId="35DC802E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3.2.2 使用与原文献不同方法的推断性统计</w:t>
      </w:r>
    </w:p>
    <w:p w14:paraId="35DC802F">
      <w:pPr>
        <w:spacing w:line="300" w:lineRule="auto"/>
        <w:ind w:firstLine="420" w:firstLineChars="200"/>
        <w:contextualSpacing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对采用新方法进行数据分析的描述性或推断性结果进行描述，并记录在表格中。</w:t>
      </w:r>
    </w:p>
    <w:p w14:paraId="35DC8030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4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推断性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>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结果(创新方法)</w:t>
      </w:r>
    </w:p>
    <w:tbl>
      <w:tblPr>
        <w:tblStyle w:val="3"/>
        <w:tblW w:w="79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0"/>
        <w:gridCol w:w="1361"/>
        <w:gridCol w:w="1361"/>
        <w:gridCol w:w="1361"/>
        <w:gridCol w:w="1361"/>
      </w:tblGrid>
      <w:tr w14:paraId="35DC80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34" w:type="dxa"/>
            <w:vMerge w:val="restart"/>
            <w:tcBorders>
              <w:bottom w:val="single" w:color="auto" w:sz="4" w:space="0"/>
            </w:tcBorders>
            <w:vAlign w:val="center"/>
          </w:tcPr>
          <w:p w14:paraId="35DC8031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vAlign w:val="center"/>
          </w:tcPr>
          <w:p w14:paraId="35DC8032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样本量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N*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3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统计量</w:t>
            </w:r>
          </w:p>
          <w:p w14:paraId="35DC8034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 (BF10)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效应量</w:t>
            </w:r>
          </w:p>
          <w:p w14:paraId="35DC803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(如 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Cohen’s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d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7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显著性指标(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p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8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推论（H1 支持程度）</w:t>
            </w:r>
          </w:p>
        </w:tc>
      </w:tr>
      <w:tr w14:paraId="35DC80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34" w:type="dxa"/>
            <w:tcBorders>
              <w:top w:val="single" w:color="auto" w:sz="4" w:space="0"/>
              <w:bottom w:val="nil"/>
            </w:tcBorders>
            <w:vAlign w:val="center"/>
          </w:tcPr>
          <w:p w14:paraId="35DC803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Study 1 (good)</w:t>
            </w:r>
          </w:p>
        </w:tc>
        <w:tc>
          <w:tcPr>
            <w:tcW w:w="1360" w:type="dxa"/>
            <w:tcBorders>
              <w:top w:val="single" w:color="auto" w:sz="4" w:space="0"/>
              <w:bottom w:val="nil"/>
            </w:tcBorders>
            <w:vAlign w:val="center"/>
          </w:tcPr>
          <w:p w14:paraId="35DC803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856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495379.5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-0.20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E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&lt;.001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F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极强支持 H1</w:t>
            </w:r>
          </w:p>
        </w:tc>
      </w:tr>
      <w:tr w14:paraId="35DC80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41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1 (bad)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42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751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3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3.13e8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4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0.25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&lt;.001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极强支持H1</w:t>
            </w:r>
          </w:p>
        </w:tc>
      </w:tr>
      <w:tr w14:paraId="35DC80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48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2 Jewish (good)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49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106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—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-0.56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&lt;.001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极强支持H1</w:t>
            </w:r>
          </w:p>
        </w:tc>
      </w:tr>
      <w:tr w14:paraId="4C5C25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D8380B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2 Jewish (bad)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9CE817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91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59B4AFB4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0.38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6E836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-0.09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424F9F9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0.376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7C47105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支持H0</w:t>
            </w:r>
          </w:p>
        </w:tc>
      </w:tr>
      <w:tr w14:paraId="5D39D5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42BD287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3 Gay (配对)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77B236C8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40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2912A41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211.7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498E22C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-0.68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6205A52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0.0001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7E8C4FC7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强支持H1</w:t>
            </w:r>
          </w:p>
        </w:tc>
      </w:tr>
      <w:tr w14:paraId="370B43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F9AA6D0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4 Asian (配对)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4AFE566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113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1A4562E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8.60e6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72F09F5E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-0.63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141EDCB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&lt;.001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7F067D8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极强支持H1</w:t>
            </w:r>
          </w:p>
        </w:tc>
      </w:tr>
      <w:tr w14:paraId="319CEF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3E436E9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5 US (配对)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251B5539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111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24A1379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370.8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57DF359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0.39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29179422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&lt;.001</w:t>
            </w: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089AB1A0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强支持H1</w:t>
            </w:r>
          </w:p>
        </w:tc>
      </w:tr>
      <w:tr w14:paraId="4D77E0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single" w:color="auto" w:sz="12" w:space="0"/>
            </w:tcBorders>
            <w:vAlign w:val="center"/>
          </w:tcPr>
          <w:p w14:paraId="2A3F667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Study 5 IS (配对)</w:t>
            </w:r>
          </w:p>
        </w:tc>
        <w:tc>
          <w:tcPr>
            <w:tcW w:w="1360" w:type="dxa"/>
            <w:tcBorders>
              <w:top w:val="nil"/>
              <w:bottom w:val="single" w:color="auto" w:sz="12" w:space="0"/>
            </w:tcBorders>
            <w:vAlign w:val="center"/>
          </w:tcPr>
          <w:p w14:paraId="5D4B95B0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91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7BA575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0.16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02B51BE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0.09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78FCB72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0.4098</w:t>
            </w: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120B102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支持H0</w:t>
            </w:r>
          </w:p>
        </w:tc>
      </w:tr>
    </w:tbl>
    <w:p w14:paraId="1D37A73F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注</w:t>
      </w:r>
      <w:r>
        <w:rPr>
          <w:rFonts w:hint="default" w:ascii="Times New Roman" w:hAnsi="Times New Roman" w:eastAsia="宋体" w:cs="Times New Roman"/>
          <w:sz w:val="18"/>
          <w:szCs w:val="18"/>
          <w14:ligatures w14:val="none"/>
        </w:rPr>
        <w:t>：Study 2 仅计算了独立样本贝叶斯 t 检验（比较 good vs bad），未计算单样本贝叶斯检验，故 BF10 列为“—”。独立样本 BF10 为 Jewish 组 17.60（支持 H1），Hindu 组 0.39（证据微弱），Muslim 组 29.02（支持 H1）。</w:t>
      </w:r>
    </w:p>
    <w:p w14:paraId="35DC804F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3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 xml:space="preserve"> 对原文计算可复现性进行评估</w:t>
      </w:r>
    </w:p>
    <w:p w14:paraId="35DC8050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3.3.1 使用与原文献相同方法</w:t>
      </w:r>
    </w:p>
    <w:p w14:paraId="35DC8051">
      <w:pPr>
        <w:spacing w:line="300" w:lineRule="auto"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报告原文献的值的评级分布、推论的一致情况，整理成表格，如下表所示：</w:t>
      </w:r>
    </w:p>
    <w:p w14:paraId="35DC8052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5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结果可复现性的评估表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5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可复现性情况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805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56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5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5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5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完全一致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= 0%)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</w:tcPr>
          <w:p w14:paraId="35DC805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</w:tcPr>
          <w:p w14:paraId="35DC805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74.5%</w:t>
            </w:r>
          </w:p>
        </w:tc>
      </w:tr>
      <w:tr w14:paraId="35DC80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805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偏差较小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(0% &lt;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&lt; 10%)</w:t>
            </w:r>
          </w:p>
        </w:tc>
        <w:tc>
          <w:tcPr>
            <w:tcW w:w="1185" w:type="dxa"/>
            <w:tcBorders>
              <w:top w:val="nil"/>
              <w:bottom w:val="nil"/>
            </w:tcBorders>
          </w:tcPr>
          <w:p w14:paraId="35DC805F">
            <w:pPr>
              <w:spacing w:line="360" w:lineRule="auto"/>
              <w:jc w:val="center"/>
              <w:rPr>
                <w:rFonts w:hint="eastAsia" w:ascii="Times New Roman" w:hAnsi="Times New Roman" w:eastAsia="等线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5" w:type="dxa"/>
            <w:tcBorders>
              <w:top w:val="nil"/>
              <w:bottom w:val="nil"/>
            </w:tcBorders>
          </w:tcPr>
          <w:p w14:paraId="35DC806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21.3%</w:t>
            </w:r>
          </w:p>
        </w:tc>
      </w:tr>
      <w:tr w14:paraId="35DC80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806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偏差较小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Malgun Gothic" w:hAnsi="Malgun Gothic" w:eastAsia="宋体" w:cs="Malgun Gothic"/>
                <w:sz w:val="18"/>
                <w:szCs w:val="18"/>
                <w14:ligatures w14:val="none"/>
              </w:rPr>
              <w:t>＞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10%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85" w:type="dxa"/>
            <w:tcBorders>
              <w:top w:val="nil"/>
              <w:bottom w:val="nil"/>
            </w:tcBorders>
          </w:tcPr>
          <w:p w14:paraId="35DC806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185" w:type="dxa"/>
            <w:tcBorders>
              <w:top w:val="nil"/>
              <w:bottom w:val="nil"/>
            </w:tcBorders>
          </w:tcPr>
          <w:p w14:paraId="35DC806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0%</w:t>
            </w:r>
          </w:p>
        </w:tc>
      </w:tr>
      <w:tr w14:paraId="35DC80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6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因舍入导致的偏差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</w:tcPr>
          <w:p w14:paraId="35DC806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</w:tcPr>
          <w:p w14:paraId="35DC806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4.3%</w:t>
            </w:r>
          </w:p>
        </w:tc>
      </w:tr>
    </w:tbl>
    <w:p w14:paraId="6B6E6BCB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 因舍入导致的偏差：指四舍五入后数值与原文献相同，但实际计算值有微小差异（如 Study 1 均值 -0.118 vs -0.12）。此类偏差已计入“偏差较小”或“完全一致”的判定中，此处单独列出仅作说明，不重复计入总 N。</w:t>
      </w:r>
    </w:p>
    <w:p w14:paraId="35DC806A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结果数量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指在重复分析中，对重复分析结果与原结果进行配对比较的次数。对于每个目标效应，结果包括一组数值，如汇总效应估计(summary estimate，如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值/ F值)、置信区间界限(confidence interval bound)、效应量(effect size)样本大小(size effect)等，应将原文中报告的每个数值与重复结果进行比较。例如，在一个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检验中，原文献报告了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值、95%置信区间、cohen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>’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s d和样本大小，则这个效应中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＝4。将各效应的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求和即为全体数量。</w:t>
      </w:r>
    </w:p>
    <w:p w14:paraId="35DC806B">
      <w:pPr>
        <w:spacing w:line="300" w:lineRule="auto"/>
        <w:ind w:firstLine="361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6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推论的一致性的评估表(原分析方法)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6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806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6F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7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一致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7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44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</w:tcPr>
          <w:p w14:paraId="35DC807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20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20"/>
              </w:rPr>
              <w:t>97.8%</w:t>
            </w:r>
          </w:p>
        </w:tc>
      </w:tr>
      <w:tr w14:paraId="35DC80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7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7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</w:tcPr>
          <w:p w14:paraId="35DC807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20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20"/>
              </w:rPr>
              <w:t>2.2%</w:t>
            </w:r>
          </w:p>
        </w:tc>
      </w:tr>
    </w:tbl>
    <w:p w14:paraId="78FEDAE3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 推论数量 N = 45，包括每个研究中的单样本 t 检验和条件间 t 检验（独立或配对）。不一致仅发生在 Study 2 Jewish 组 bad 条件。</w:t>
      </w:r>
    </w:p>
    <w:p w14:paraId="35DC807B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推论数量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指在重复分析中，对效应做出统计推断的次数。例如，仅进行了一个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检验，则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＝1；如果进行了一个2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>*2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的方差分析，并进行简单效应分析，则有可能有7个统计推断：两个主效应的推论，一个交互作用的推论，四个可能的简单效应分析的</w:t>
      </w:r>
      <w:r>
        <w:rPr>
          <w:rFonts w:hint="eastAsia" w:ascii="Times New Roman" w:hAnsi="Times New Roman" w:eastAsia="宋体" w:cs="Times New Roman"/>
          <w:iCs/>
          <w:sz w:val="18"/>
          <w:szCs w:val="18"/>
          <w14:ligatures w14:val="none"/>
        </w:rPr>
        <w:t>推论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，因此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＝7。如果报告的</w:t>
      </w:r>
      <w:r>
        <w:rPr>
          <w:rFonts w:hint="eastAsia" w:ascii="Times New Roman" w:hAnsi="Times New Roman" w:eastAsia="宋体" w:cs="Times New Roman"/>
          <w:i/>
          <w:iCs/>
          <w:sz w:val="18"/>
          <w:szCs w:val="18"/>
          <w14:ligatures w14:val="none"/>
        </w:rPr>
        <w:t>p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值相对于重复的</w:t>
      </w:r>
      <w:r>
        <w:rPr>
          <w:rFonts w:hint="eastAsia" w:ascii="Times New Roman" w:hAnsi="Times New Roman" w:eastAsia="宋体" w:cs="Times New Roman"/>
          <w:i/>
          <w:iCs/>
          <w:sz w:val="18"/>
          <w:szCs w:val="18"/>
          <w14:ligatures w14:val="none"/>
        </w:rPr>
        <w:t>p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值落在显著性水平边界的另一侧，则被归类为推论不一致；反之为推论一致。</w:t>
      </w:r>
    </w:p>
    <w:p w14:paraId="35DC807C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</w:p>
    <w:p w14:paraId="35DC807E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3.3.2 使用与原文献不同方法</w:t>
      </w:r>
    </w:p>
    <w:p w14:paraId="35DC807F">
      <w:pPr>
        <w:spacing w:line="300" w:lineRule="auto"/>
        <w:ind w:firstLine="420" w:firstLineChars="200"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报告采用新方法后，推论与原文献推论的一致情况，整理成表格，如下表所示</w:t>
      </w:r>
    </w:p>
    <w:p w14:paraId="35DC8080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7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推论的一致性的评估表(创新方法)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8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  <w:vAlign w:val="center"/>
          </w:tcPr>
          <w:p w14:paraId="35DC808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84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  <w:vAlign w:val="center"/>
          </w:tcPr>
          <w:p w14:paraId="35DC808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  <w:vAlign w:val="center"/>
          </w:tcPr>
          <w:p w14:paraId="35DC808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8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一致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8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8A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100%</w:t>
            </w:r>
          </w:p>
        </w:tc>
      </w:tr>
      <w:tr w14:paraId="35DC80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8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8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8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0%</w:t>
            </w:r>
          </w:p>
        </w:tc>
      </w:tr>
    </w:tbl>
    <w:p w14:paraId="35DC8090">
      <w:pPr>
        <w:spacing w:line="300" w:lineRule="auto"/>
        <w:ind w:firstLine="420"/>
        <w:rPr>
          <w:rFonts w:ascii="Times New Roman" w:hAnsi="Times New Roman" w:eastAsia="宋体" w:cs="Times New Roman"/>
          <w:i/>
          <w:iCs/>
          <w:szCs w:val="24"/>
          <w14:ligatures w14:val="none"/>
        </w:rPr>
      </w:pPr>
    </w:p>
    <w:p w14:paraId="35DC8092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4 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讨论</w:t>
      </w:r>
    </w:p>
    <w:p w14:paraId="35DC809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4.1 计算可复现性检验结果分析</w:t>
      </w:r>
    </w:p>
    <w:p w14:paraId="35DC8094"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结合下表，对原文献进行分析，推测可能导致可复现性检验结果差异的原因。对于重要的原因，逐段进行展开说明。</w:t>
      </w:r>
    </w:p>
    <w:p w14:paraId="35DC8095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8 计算上（不）可重复的原因分析表</w:t>
      </w:r>
    </w:p>
    <w:tbl>
      <w:tblPr>
        <w:tblStyle w:val="3"/>
        <w:tblW w:w="110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379"/>
        <w:gridCol w:w="3475"/>
        <w:gridCol w:w="912"/>
        <w:gridCol w:w="1009"/>
        <w:gridCol w:w="1009"/>
        <w:gridCol w:w="1009"/>
        <w:gridCol w:w="940"/>
      </w:tblGrid>
      <w:tr w14:paraId="35DC8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6210" w:type="dxa"/>
            <w:gridSpan w:val="3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可能原因</w:t>
            </w:r>
          </w:p>
        </w:tc>
        <w:tc>
          <w:tcPr>
            <w:tcW w:w="91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研究一</w:t>
            </w:r>
          </w:p>
        </w:tc>
        <w:tc>
          <w:tcPr>
            <w:tcW w:w="1009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1438D54">
            <w:pPr>
              <w:spacing w:line="30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研究二</w:t>
            </w:r>
          </w:p>
        </w:tc>
        <w:tc>
          <w:tcPr>
            <w:tcW w:w="1009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DC780BE">
            <w:pPr>
              <w:spacing w:line="30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研究三</w:t>
            </w:r>
          </w:p>
        </w:tc>
        <w:tc>
          <w:tcPr>
            <w:tcW w:w="1009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研究四</w:t>
            </w:r>
          </w:p>
        </w:tc>
        <w:tc>
          <w:tcPr>
            <w:tcW w:w="94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研究五</w:t>
            </w:r>
          </w:p>
        </w:tc>
      </w:tr>
      <w:tr w14:paraId="35DC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356" w:type="dxa"/>
            <w:vMerge w:val="restart"/>
            <w:tcBorders>
              <w:top w:val="single" w:color="auto" w:sz="4" w:space="0"/>
            </w:tcBorders>
            <w:vAlign w:val="center"/>
          </w:tcPr>
          <w:p w14:paraId="35DC809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09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原文献开放性问题</w:t>
            </w:r>
          </w:p>
        </w:tc>
        <w:tc>
          <w:tcPr>
            <w:tcW w:w="1379" w:type="dxa"/>
            <w:vMerge w:val="restart"/>
            <w:tcBorders>
              <w:top w:val="single" w:color="auto" w:sz="4" w:space="0"/>
            </w:tcBorders>
            <w:vAlign w:val="center"/>
          </w:tcPr>
          <w:p w14:paraId="35DC809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一般性开放获取问题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09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几个结果的微小差异，可能是由于分析中使用了没有设置固定种子的随机数；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09F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432D498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4116B84B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0A0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0A1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0A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A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0A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个别结果的微小差异，可能是由于印刷或复制粘贴错误；</w:t>
            </w:r>
          </w:p>
        </w:tc>
        <w:tc>
          <w:tcPr>
            <w:tcW w:w="912" w:type="dxa"/>
            <w:vAlign w:val="center"/>
          </w:tcPr>
          <w:p w14:paraId="35DC80A6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01219163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vAlign w:val="center"/>
          </w:tcPr>
          <w:p w14:paraId="2D90002F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5DC80A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vAlign w:val="center"/>
          </w:tcPr>
          <w:p w14:paraId="35DC80A8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0A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A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0A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文章文本中程序报告不明确，包括纳入亚组的标准、缺乏或不正确报告用于回归模型的变量、以及未报告的单侧分析；</w:t>
            </w:r>
          </w:p>
        </w:tc>
        <w:tc>
          <w:tcPr>
            <w:tcW w:w="912" w:type="dxa"/>
            <w:vAlign w:val="center"/>
          </w:tcPr>
          <w:p w14:paraId="35DC80AD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63163328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7A9F7EB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5DC80AE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vAlign w:val="center"/>
          </w:tcPr>
          <w:p w14:paraId="35DC80AF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0B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B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4" w:space="0"/>
            </w:tcBorders>
            <w:vAlign w:val="center"/>
          </w:tcPr>
          <w:p w14:paraId="35DC80B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在文章的开放实践声明中对研究的模糊标记。</w:t>
            </w:r>
          </w:p>
        </w:tc>
        <w:tc>
          <w:tcPr>
            <w:tcW w:w="912" w:type="dxa"/>
            <w:tcBorders>
              <w:bottom w:val="single" w:color="auto" w:sz="4" w:space="0"/>
            </w:tcBorders>
            <w:vAlign w:val="center"/>
          </w:tcPr>
          <w:p w14:paraId="35DC80B4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7B99BFDA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635A17AC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5DC80B5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bottom w:val="single" w:color="auto" w:sz="4" w:space="0"/>
            </w:tcBorders>
            <w:vAlign w:val="center"/>
          </w:tcPr>
          <w:p w14:paraId="35DC80B6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0B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restart"/>
            <w:vAlign w:val="center"/>
          </w:tcPr>
          <w:p w14:paraId="35DC80B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OSF 开放获取特定问题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0B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OSF 中缺乏对数据和/或代码内容进行说明的文档(readme文档)；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0BB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4E794BB3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6480EF54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0BC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0BD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0B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C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0C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OSF 上的数据与代码文件不一致，如代码中对部分数据进行了操作，但这部分数据在数据文件中无对应；</w:t>
            </w:r>
          </w:p>
        </w:tc>
        <w:tc>
          <w:tcPr>
            <w:tcW w:w="912" w:type="dxa"/>
            <w:vAlign w:val="center"/>
          </w:tcPr>
          <w:p w14:paraId="35DC80C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7DAE734E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259B20BD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5DC80C3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vAlign w:val="center"/>
          </w:tcPr>
          <w:p w14:paraId="35DC80C4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C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C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4" w:space="0"/>
            </w:tcBorders>
            <w:vAlign w:val="center"/>
          </w:tcPr>
          <w:p w14:paraId="35DC80C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OSF上的数据存储问题，包括文件损坏或无法下载。</w:t>
            </w:r>
          </w:p>
        </w:tc>
        <w:tc>
          <w:tcPr>
            <w:tcW w:w="912" w:type="dxa"/>
            <w:tcBorders>
              <w:bottom w:val="single" w:color="auto" w:sz="4" w:space="0"/>
            </w:tcBorders>
            <w:vAlign w:val="center"/>
          </w:tcPr>
          <w:p w14:paraId="35DC80C9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6194AC43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0237459E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5DC80CA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bottom w:val="single" w:color="auto" w:sz="4" w:space="0"/>
            </w:tcBorders>
            <w:vAlign w:val="center"/>
          </w:tcPr>
          <w:p w14:paraId="35DC80CB">
            <w:pPr>
              <w:spacing w:line="300" w:lineRule="auto"/>
              <w:ind w:firstLine="42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C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restart"/>
            <w:vAlign w:val="center"/>
          </w:tcPr>
          <w:p w14:paraId="35DC80C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数据开放获取特定问题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0C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没有提供原始数据；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0D0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0FC515ED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63015B4C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0D1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0D2">
            <w:pPr>
              <w:spacing w:line="300" w:lineRule="auto"/>
              <w:jc w:val="both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  <w14:ligatures w14:val="none"/>
              </w:rPr>
              <w:t>原始数据存在重复记录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D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D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0D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没有提供处理后的数据；</w:t>
            </w:r>
          </w:p>
        </w:tc>
        <w:tc>
          <w:tcPr>
            <w:tcW w:w="912" w:type="dxa"/>
            <w:vAlign w:val="center"/>
          </w:tcPr>
          <w:p w14:paraId="35DC80D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134AF65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297ABA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vAlign w:val="center"/>
          </w:tcPr>
          <w:p w14:paraId="35DC80D8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vAlign w:val="center"/>
          </w:tcPr>
          <w:p w14:paraId="35DC80D9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D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D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4" w:space="0"/>
            </w:tcBorders>
            <w:vAlign w:val="center"/>
          </w:tcPr>
          <w:p w14:paraId="35DC80D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没有提供数据处理过程的描述或代码。</w:t>
            </w:r>
          </w:p>
        </w:tc>
        <w:tc>
          <w:tcPr>
            <w:tcW w:w="912" w:type="dxa"/>
            <w:tcBorders>
              <w:bottom w:val="single" w:color="auto" w:sz="4" w:space="0"/>
            </w:tcBorders>
            <w:vAlign w:val="center"/>
          </w:tcPr>
          <w:p w14:paraId="35DC80DE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1EB611C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FA752C5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5DC80DF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bottom w:val="single" w:color="auto" w:sz="4" w:space="0"/>
            </w:tcBorders>
            <w:vAlign w:val="center"/>
          </w:tcPr>
          <w:p w14:paraId="35DC80E0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E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restart"/>
            <w:vAlign w:val="center"/>
          </w:tcPr>
          <w:p w14:paraId="35DC80E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代码开放获取特定问题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0E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缺乏共享的分析代码或建模代码；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0E5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4C39CEE1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721FDC7D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0E6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0E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E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E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4" w:space="0"/>
            </w:tcBorders>
            <w:vAlign w:val="center"/>
          </w:tcPr>
          <w:p w14:paraId="35DC80E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软件包或软件版本的问题。</w:t>
            </w:r>
          </w:p>
        </w:tc>
        <w:tc>
          <w:tcPr>
            <w:tcW w:w="912" w:type="dxa"/>
            <w:tcBorders>
              <w:bottom w:val="single" w:color="auto" w:sz="4" w:space="0"/>
            </w:tcBorders>
            <w:vAlign w:val="center"/>
          </w:tcPr>
          <w:p w14:paraId="35DC80E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软件版本差异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1C01167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软件版本差异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6BE3719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软件版本差异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5DC80E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软件版本差异</w:t>
            </w:r>
          </w:p>
        </w:tc>
        <w:tc>
          <w:tcPr>
            <w:tcW w:w="940" w:type="dxa"/>
            <w:tcBorders>
              <w:bottom w:val="single" w:color="auto" w:sz="4" w:space="0"/>
            </w:tcBorders>
            <w:vAlign w:val="center"/>
          </w:tcPr>
          <w:p w14:paraId="35DC80E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软件版本差异</w:t>
            </w:r>
          </w:p>
        </w:tc>
      </w:tr>
      <w:tr w14:paraId="35DC8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56" w:type="dxa"/>
            <w:vMerge w:val="restart"/>
            <w:vAlign w:val="center"/>
          </w:tcPr>
          <w:p w14:paraId="35DC80F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0F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重复过程的原因</w:t>
            </w:r>
          </w:p>
        </w:tc>
        <w:tc>
          <w:tcPr>
            <w:tcW w:w="1379" w:type="dxa"/>
            <w:vMerge w:val="restart"/>
            <w:vAlign w:val="center"/>
          </w:tcPr>
          <w:p w14:paraId="35DC80F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重复研究与院研究的区别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0F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是否使用同样的数据集；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0F4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727BEA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030BABC8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0F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0F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</w:tr>
      <w:tr w14:paraId="35DC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F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0F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0F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是否使用同样的数据分析软件及软件包；</w:t>
            </w:r>
          </w:p>
        </w:tc>
        <w:tc>
          <w:tcPr>
            <w:tcW w:w="912" w:type="dxa"/>
            <w:vAlign w:val="center"/>
          </w:tcPr>
          <w:p w14:paraId="35DC80FB">
            <w:pPr>
              <w:spacing w:line="300" w:lineRule="auto"/>
              <w:ind w:firstLine="42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否</w:t>
            </w:r>
          </w:p>
        </w:tc>
        <w:tc>
          <w:tcPr>
            <w:tcW w:w="1009" w:type="dxa"/>
            <w:vAlign w:val="center"/>
          </w:tcPr>
          <w:p w14:paraId="62DB1A9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否</w:t>
            </w:r>
          </w:p>
        </w:tc>
        <w:tc>
          <w:tcPr>
            <w:tcW w:w="1009" w:type="dxa"/>
            <w:vAlign w:val="center"/>
          </w:tcPr>
          <w:p w14:paraId="664EBFD7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1009" w:type="dxa"/>
            <w:vAlign w:val="center"/>
          </w:tcPr>
          <w:p w14:paraId="35DC80F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40" w:type="dxa"/>
            <w:vAlign w:val="center"/>
          </w:tcPr>
          <w:p w14:paraId="35DC80F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</w:tr>
      <w:tr w14:paraId="35DC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356" w:type="dxa"/>
            <w:vMerge w:val="continue"/>
            <w:vAlign w:val="center"/>
          </w:tcPr>
          <w:p w14:paraId="35DC80F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10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8" w:space="0"/>
            </w:tcBorders>
            <w:vAlign w:val="center"/>
          </w:tcPr>
          <w:p w14:paraId="35DC810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是否使用同样的数据分析方法。</w:t>
            </w:r>
          </w:p>
        </w:tc>
        <w:tc>
          <w:tcPr>
            <w:tcW w:w="912" w:type="dxa"/>
            <w:tcBorders>
              <w:bottom w:val="single" w:color="auto" w:sz="8" w:space="0"/>
            </w:tcBorders>
            <w:vAlign w:val="center"/>
          </w:tcPr>
          <w:p w14:paraId="35DC810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tcBorders>
              <w:bottom w:val="single" w:color="auto" w:sz="8" w:space="0"/>
            </w:tcBorders>
            <w:vAlign w:val="center"/>
          </w:tcPr>
          <w:p w14:paraId="0473D6E8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tcBorders>
              <w:bottom w:val="single" w:color="auto" w:sz="8" w:space="0"/>
            </w:tcBorders>
            <w:vAlign w:val="center"/>
          </w:tcPr>
          <w:p w14:paraId="287379F6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1009" w:type="dxa"/>
            <w:tcBorders>
              <w:bottom w:val="single" w:color="auto" w:sz="8" w:space="0"/>
            </w:tcBorders>
            <w:vAlign w:val="center"/>
          </w:tcPr>
          <w:p w14:paraId="35DC810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940" w:type="dxa"/>
            <w:tcBorders>
              <w:bottom w:val="single" w:color="auto" w:sz="8" w:space="0"/>
            </w:tcBorders>
            <w:vAlign w:val="center"/>
          </w:tcPr>
          <w:p w14:paraId="35DC810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</w:tr>
      <w:tr w14:paraId="35DC8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10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restart"/>
            <w:vAlign w:val="center"/>
          </w:tcPr>
          <w:p w14:paraId="35DC810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重复者相关因素</w:t>
            </w:r>
          </w:p>
        </w:tc>
        <w:tc>
          <w:tcPr>
            <w:tcW w:w="3475" w:type="dxa"/>
            <w:tcBorders>
              <w:top w:val="single" w:color="auto" w:sz="8" w:space="0"/>
            </w:tcBorders>
            <w:vAlign w:val="center"/>
          </w:tcPr>
          <w:p w14:paraId="35DC810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重复者此前是否有过 R 使用经验；</w:t>
            </w:r>
          </w:p>
        </w:tc>
        <w:tc>
          <w:tcPr>
            <w:tcW w:w="912" w:type="dxa"/>
            <w:tcBorders>
              <w:top w:val="single" w:color="auto" w:sz="8" w:space="0"/>
            </w:tcBorders>
            <w:vAlign w:val="center"/>
          </w:tcPr>
          <w:p w14:paraId="35DC8109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8" w:space="0"/>
            </w:tcBorders>
            <w:vAlign w:val="center"/>
          </w:tcPr>
          <w:p w14:paraId="3273C2A3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8" w:space="0"/>
            </w:tcBorders>
            <w:vAlign w:val="center"/>
          </w:tcPr>
          <w:p w14:paraId="225C77D5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top w:val="single" w:color="auto" w:sz="8" w:space="0"/>
            </w:tcBorders>
            <w:vAlign w:val="center"/>
          </w:tcPr>
          <w:p w14:paraId="35DC810A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top w:val="single" w:color="auto" w:sz="8" w:space="0"/>
            </w:tcBorders>
            <w:vAlign w:val="center"/>
          </w:tcPr>
          <w:p w14:paraId="35DC810B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10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10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4" w:space="0"/>
            </w:tcBorders>
            <w:vAlign w:val="center"/>
          </w:tcPr>
          <w:p w14:paraId="35DC810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重复者对关于 R 的知识或操作上存在漏洞，较难理解原文章中的部分操作(可做简单说明)。</w:t>
            </w:r>
          </w:p>
        </w:tc>
        <w:tc>
          <w:tcPr>
            <w:tcW w:w="912" w:type="dxa"/>
            <w:tcBorders>
              <w:bottom w:val="single" w:color="auto" w:sz="4" w:space="0"/>
            </w:tcBorders>
            <w:vAlign w:val="center"/>
          </w:tcPr>
          <w:p w14:paraId="35DC8110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4E4A29E6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22C6E729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1009" w:type="dxa"/>
            <w:tcBorders>
              <w:bottom w:val="single" w:color="auto" w:sz="4" w:space="0"/>
            </w:tcBorders>
            <w:vAlign w:val="center"/>
          </w:tcPr>
          <w:p w14:paraId="35DC8111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40" w:type="dxa"/>
            <w:tcBorders>
              <w:bottom w:val="single" w:color="auto" w:sz="4" w:space="0"/>
            </w:tcBorders>
            <w:vAlign w:val="center"/>
          </w:tcPr>
          <w:p w14:paraId="35DC8112">
            <w:pPr>
              <w:spacing w:line="300" w:lineRule="auto"/>
              <w:ind w:firstLine="42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-</w:t>
            </w:r>
          </w:p>
        </w:tc>
      </w:tr>
      <w:tr w14:paraId="35DC8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restart"/>
            <w:vAlign w:val="center"/>
          </w:tcPr>
          <w:p w14:paraId="35DC811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11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其他影响因素</w:t>
            </w:r>
          </w:p>
        </w:tc>
        <w:tc>
          <w:tcPr>
            <w:tcW w:w="1379" w:type="dxa"/>
            <w:vAlign w:val="center"/>
          </w:tcPr>
          <w:p w14:paraId="35DC811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文献年份</w:t>
            </w:r>
          </w:p>
        </w:tc>
        <w:tc>
          <w:tcPr>
            <w:tcW w:w="3475" w:type="dxa"/>
            <w:tcBorders>
              <w:top w:val="single" w:color="auto" w:sz="4" w:space="0"/>
            </w:tcBorders>
            <w:vAlign w:val="center"/>
          </w:tcPr>
          <w:p w14:paraId="35DC811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文献发表年份是否较为久远，是否在开放科学运动之前；</w:t>
            </w:r>
          </w:p>
        </w:tc>
        <w:tc>
          <w:tcPr>
            <w:tcW w:w="912" w:type="dxa"/>
            <w:tcBorders>
              <w:top w:val="single" w:color="auto" w:sz="4" w:space="0"/>
            </w:tcBorders>
            <w:vAlign w:val="center"/>
          </w:tcPr>
          <w:p w14:paraId="35DC811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2018年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52D13B5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2018年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415FEFA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2018年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vAlign w:val="center"/>
          </w:tcPr>
          <w:p w14:paraId="35DC811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2018年</w:t>
            </w:r>
          </w:p>
        </w:tc>
        <w:tc>
          <w:tcPr>
            <w:tcW w:w="940" w:type="dxa"/>
            <w:tcBorders>
              <w:top w:val="single" w:color="auto" w:sz="4" w:space="0"/>
            </w:tcBorders>
            <w:vAlign w:val="center"/>
          </w:tcPr>
          <w:p w14:paraId="35DC811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2018年</w:t>
            </w:r>
          </w:p>
        </w:tc>
      </w:tr>
      <w:tr w14:paraId="35DC8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11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restart"/>
            <w:vAlign w:val="center"/>
          </w:tcPr>
          <w:p w14:paraId="35DC811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文献质量</w:t>
            </w:r>
          </w:p>
        </w:tc>
        <w:tc>
          <w:tcPr>
            <w:tcW w:w="3475" w:type="dxa"/>
            <w:vAlign w:val="center"/>
          </w:tcPr>
          <w:p w14:paraId="35DC811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文献引用量大小；</w:t>
            </w:r>
          </w:p>
        </w:tc>
        <w:tc>
          <w:tcPr>
            <w:tcW w:w="912" w:type="dxa"/>
            <w:vAlign w:val="center"/>
          </w:tcPr>
          <w:p w14:paraId="35DC811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较高</w:t>
            </w:r>
          </w:p>
        </w:tc>
        <w:tc>
          <w:tcPr>
            <w:tcW w:w="1009" w:type="dxa"/>
            <w:vAlign w:val="center"/>
          </w:tcPr>
          <w:p w14:paraId="5409F7A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较高</w:t>
            </w:r>
          </w:p>
        </w:tc>
        <w:tc>
          <w:tcPr>
            <w:tcW w:w="1009" w:type="dxa"/>
            <w:vAlign w:val="center"/>
          </w:tcPr>
          <w:p w14:paraId="019FF86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较高</w:t>
            </w:r>
          </w:p>
        </w:tc>
        <w:tc>
          <w:tcPr>
            <w:tcW w:w="1009" w:type="dxa"/>
            <w:vAlign w:val="center"/>
          </w:tcPr>
          <w:p w14:paraId="35DC812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较高</w:t>
            </w:r>
          </w:p>
        </w:tc>
        <w:tc>
          <w:tcPr>
            <w:tcW w:w="940" w:type="dxa"/>
            <w:vAlign w:val="center"/>
          </w:tcPr>
          <w:p w14:paraId="35DC812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较高</w:t>
            </w:r>
          </w:p>
        </w:tc>
      </w:tr>
      <w:tr w14:paraId="35DC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vAlign w:val="center"/>
          </w:tcPr>
          <w:p w14:paraId="35DC8123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vAlign w:val="center"/>
          </w:tcPr>
          <w:p w14:paraId="35DC812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vAlign w:val="center"/>
          </w:tcPr>
          <w:p w14:paraId="35DC812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是否有其他研究支持本文献结果；</w:t>
            </w:r>
          </w:p>
        </w:tc>
        <w:tc>
          <w:tcPr>
            <w:tcW w:w="912" w:type="dxa"/>
            <w:vAlign w:val="center"/>
          </w:tcPr>
          <w:p w14:paraId="35DC812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</w:t>
            </w:r>
          </w:p>
        </w:tc>
        <w:tc>
          <w:tcPr>
            <w:tcW w:w="1009" w:type="dxa"/>
            <w:vAlign w:val="center"/>
          </w:tcPr>
          <w:p w14:paraId="4A3F01D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否</w:t>
            </w:r>
          </w:p>
        </w:tc>
        <w:tc>
          <w:tcPr>
            <w:tcW w:w="1009" w:type="dxa"/>
            <w:vAlign w:val="center"/>
          </w:tcPr>
          <w:p w14:paraId="0DC2CB3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1009" w:type="dxa"/>
            <w:vAlign w:val="center"/>
          </w:tcPr>
          <w:p w14:paraId="35DC812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  <w:tc>
          <w:tcPr>
            <w:tcW w:w="940" w:type="dxa"/>
            <w:vAlign w:val="center"/>
          </w:tcPr>
          <w:p w14:paraId="35DC812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</w:tr>
      <w:tr w14:paraId="35DC8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6" w:type="dxa"/>
            <w:vMerge w:val="continue"/>
            <w:tcBorders>
              <w:bottom w:val="single" w:color="auto" w:sz="12" w:space="0"/>
            </w:tcBorders>
            <w:vAlign w:val="center"/>
          </w:tcPr>
          <w:p w14:paraId="35DC812A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379" w:type="dxa"/>
            <w:vMerge w:val="continue"/>
            <w:tcBorders>
              <w:bottom w:val="single" w:color="auto" w:sz="12" w:space="0"/>
            </w:tcBorders>
            <w:vAlign w:val="center"/>
          </w:tcPr>
          <w:p w14:paraId="35DC812B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475" w:type="dxa"/>
            <w:tcBorders>
              <w:bottom w:val="single" w:color="auto" w:sz="12" w:space="0"/>
            </w:tcBorders>
            <w:vAlign w:val="center"/>
          </w:tcPr>
          <w:p w14:paraId="35DC812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是否有其他研究对本文献结果进行了重复，重复结果如何(可做简单说明)。</w:t>
            </w:r>
          </w:p>
        </w:tc>
        <w:tc>
          <w:tcPr>
            <w:tcW w:w="912" w:type="dxa"/>
            <w:tcBorders>
              <w:bottom w:val="single" w:color="auto" w:sz="12" w:space="0"/>
            </w:tcBorders>
            <w:vAlign w:val="center"/>
          </w:tcPr>
          <w:p w14:paraId="35DC812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成功复现核心效应</w:t>
            </w:r>
          </w:p>
        </w:tc>
        <w:tc>
          <w:tcPr>
            <w:tcW w:w="1009" w:type="dxa"/>
            <w:tcBorders>
              <w:bottom w:val="single" w:color="auto" w:sz="12" w:space="0"/>
            </w:tcBorders>
            <w:vAlign w:val="center"/>
          </w:tcPr>
          <w:p w14:paraId="4F920B01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无</w:t>
            </w:r>
          </w:p>
        </w:tc>
        <w:tc>
          <w:tcPr>
            <w:tcW w:w="1009" w:type="dxa"/>
            <w:tcBorders>
              <w:bottom w:val="single" w:color="auto" w:sz="12" w:space="0"/>
            </w:tcBorders>
            <w:vAlign w:val="center"/>
          </w:tcPr>
          <w:p w14:paraId="2FD4D77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无</w:t>
            </w:r>
          </w:p>
        </w:tc>
        <w:tc>
          <w:tcPr>
            <w:tcW w:w="1009" w:type="dxa"/>
            <w:tcBorders>
              <w:bottom w:val="single" w:color="auto" w:sz="12" w:space="0"/>
            </w:tcBorders>
            <w:vAlign w:val="center"/>
          </w:tcPr>
          <w:p w14:paraId="35DC812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无</w:t>
            </w:r>
          </w:p>
        </w:tc>
        <w:tc>
          <w:tcPr>
            <w:tcW w:w="940" w:type="dxa"/>
            <w:tcBorders>
              <w:bottom w:val="single" w:color="auto" w:sz="12" w:space="0"/>
            </w:tcBorders>
            <w:vAlign w:val="center"/>
          </w:tcPr>
          <w:p w14:paraId="35DC812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无</w:t>
            </w:r>
          </w:p>
        </w:tc>
      </w:tr>
    </w:tbl>
    <w:p w14:paraId="15D60CDD">
      <w:pPr>
        <w:spacing w:line="300" w:lineRule="auto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主要差异原因分析：</w:t>
      </w:r>
    </w:p>
    <w:p w14:paraId="23237594">
      <w:pPr>
        <w:spacing w:line="300" w:lineRule="auto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1</w:t>
      </w: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）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软件版本差异：原文使用 SPSS/SAS，本研究使用 R。虽然统计方法相同，但在 D 分数计算、舍入规则上可能存在微小差异，导致 Study 2 中 Jewish 组 bad 条件均值符号相反（-0.048 vs +0.05）。</w:t>
      </w:r>
    </w:p>
    <w:p w14:paraId="7F1B7330">
      <w:pPr>
        <w:spacing w:line="300" w:lineRule="auto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2</w:t>
      </w: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）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原始数据问题：Study 5 的原始数据中存在 6 条重复记录（相同 session_id），去重后样本量为 111（原文 107），但去重后均值与原文非常接近，不影响结论。</w:t>
      </w:r>
    </w:p>
    <w:p w14:paraId="21AC7980">
      <w:pPr>
        <w:spacing w:line="300" w:lineRule="auto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3</w:t>
      </w:r>
      <w:r>
        <w:rPr>
          <w:rFonts w:hint="eastAsia" w:ascii="Times New Roman" w:hAnsi="Times New Roman" w:eastAsia="宋体" w:cs="Times New Roman"/>
          <w:sz w:val="18"/>
          <w:szCs w:val="18"/>
          <w:lang w:eastAsia="zh-CN"/>
          <w14:ligatures w14:val="none"/>
        </w:rPr>
        <w:t>）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接近零值的随机波动：Study 2 中 Jewish 和 Hindu 组 bad 条件的均值绝对值均小于 0.05，效应量 Cohen’s d ≈ 0，属于可忽略的随机波动，不影响实质结论。</w:t>
      </w:r>
    </w:p>
    <w:p w14:paraId="35DC8131">
      <w:pPr>
        <w:spacing w:line="300" w:lineRule="auto"/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4.2 其他思考</w:t>
      </w:r>
    </w:p>
    <w:p w14:paraId="502CDECD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通过本次复现作业，我在以下几个方面有了新的认识和体会：</w:t>
      </w:r>
    </w:p>
    <w:p w14:paraId="72DF2943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1. R 语言与统计思维的提升</w:t>
      </w:r>
    </w:p>
    <w:p w14:paraId="75A48BC1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最初接触 R 时，面对大量函数和包感到无从下手。但在实际操作中，通过反复使用 dplyr 进行数据筛选、ggplot2 绘图、t.test 和 BayesFactor 进行统计检验，逐渐理解了“数据框”和“向量化操作”的逻辑。特别是将 t 检验视为线性回归的特例（课程第 9 章）这一视角，让我对传统统计方法有了更深的理解。此外，学会用 group_by() + summarise() 一键计算各组描述统计，比用 Excel 手动操作高效且可复现。</w:t>
      </w:r>
    </w:p>
    <w:p w14:paraId="75304845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2. 可复现性的实践意义</w:t>
      </w:r>
    </w:p>
    <w:p w14:paraId="317D8CFD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以前认为“公开数据”就足够了，但本次复现中遇到了 Study 5 原始数据存在重复记录的问题（相同 session_id 出现两次）。这让我认识到：仅仅公开数据是不够的，还需要提供清晰的清洗脚本和数据字典，否则他人可能因为数据质量问题无法完全复现。同时，不同软件（R vs SPSS）在 D 分数计算中的微小舍入差异也可能导致结果偏差，说明标准化分析流程的重要性。</w:t>
      </w:r>
    </w:p>
    <w:p w14:paraId="16E7F136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3. AI 工具的使用体验</w:t>
      </w:r>
    </w:p>
    <w:p w14:paraId="107893E2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我使用了 OpenCode 辅助生成 R 代码。一开始尝试直接让 AI 完成全部分析，但发现生成的代码有时不符合我的数据实际情况（例如用错列名、筛选条件不完整）。后来改为“我先写出分析步骤，再让 AI 生成对应代码”，并且每段代码都在 RStudio 中测试、修改后再使用。这种方式既提高了效率，又保证了理解。我认为 AI 是优秀的“编程助手”，但不能替代研究者的判断——例如选择统计方法、解释结果、判断不一致的原因等关键环节，必须由自己完成。</w:t>
      </w:r>
    </w:p>
    <w:p w14:paraId="66DF854A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4. 对课程的建议</w:t>
      </w:r>
    </w:p>
    <w:p w14:paraId="35DC8132">
      <w:pPr>
        <w:spacing w:line="300" w:lineRule="auto"/>
        <w:ind w:firstLine="420" w:firstLineChars="200"/>
        <w:rPr>
          <w:rFonts w:hint="eastAsia" w:ascii="Times New Roman" w:hAnsi="Times New Roman" w:eastAsia="宋体" w:cs="Times New Roman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希望以后可以增加“如何撰写可复现的 R Markdown 报告”的专题，包括代码块组织、参数化报告等内容。</w:t>
      </w:r>
      <w:r>
        <w:rPr>
          <w:rFonts w:hint="eastAsia" w:ascii="Times New Roman" w:hAnsi="Times New Roman" w:eastAsia="宋体" w:cs="Times New Roman"/>
          <w:szCs w:val="24"/>
          <w:lang w:val="en-US" w:eastAsia="zh-CN"/>
          <w14:ligatures w14:val="none"/>
        </w:rPr>
        <w:t>有些内容对初学者理解有点难度~。</w:t>
      </w:r>
    </w:p>
    <w:p w14:paraId="3C2EE7D0">
      <w:pPr>
        <w:spacing w:line="300" w:lineRule="auto"/>
        <w:ind w:firstLine="420" w:firstLineChars="200"/>
        <w:rPr>
          <w:rFonts w:hint="default" w:ascii="Times New Roman" w:hAnsi="Times New Roman" w:eastAsia="宋体" w:cs="Times New Roman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Cs w:val="24"/>
          <w:lang w:val="en-US" w:eastAsia="zh-CN"/>
          <w14:ligatures w14:val="none"/>
        </w:rPr>
        <w:t>5. 个人收获</w:t>
      </w:r>
    </w:p>
    <w:p w14:paraId="6D3D9E0F">
      <w:pPr>
        <w:spacing w:line="300" w:lineRule="auto"/>
        <w:ind w:firstLine="420" w:firstLineChars="200"/>
        <w:rPr>
          <w:rFonts w:hint="default" w:ascii="Times New Roman" w:hAnsi="Times New Roman" w:eastAsia="宋体" w:cs="Times New Roman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Cs w:val="24"/>
          <w:lang w:val="en-US" w:eastAsia="zh-CN"/>
          <w14:ligatures w14:val="none"/>
        </w:rPr>
        <w:t>最大的收获是建立了一套完整的分析工作流：从数据下载、清洗、描述统计、推断检验、贝叶斯检验到可视化，最后生成报告。今后再做类似研究时，我可以直接复用本项目的代码模板。此外，面对结果与原文不一致时（如 Study 2 Jewish bad 条件），学会了冷静排查原因（检查样本量、代码逻辑、原始数据），而不是急于否定自己的分析或盲目相信原文。</w:t>
      </w:r>
    </w:p>
    <w:p w14:paraId="35DC8133">
      <w:pPr>
        <w:spacing w:line="300" w:lineRule="auto"/>
        <w:ind w:firstLine="600"/>
        <w:rPr>
          <w:rFonts w:ascii="Times New Roman" w:hAnsi="Times New Roman" w:eastAsia="宋体" w:cs="Times New Roman"/>
          <w:sz w:val="30"/>
          <w:szCs w:val="30"/>
          <w14:ligatures w14:val="none"/>
        </w:rPr>
      </w:pPr>
    </w:p>
    <w:p w14:paraId="35DC8134">
      <w:pPr>
        <w:spacing w:line="300" w:lineRule="auto"/>
        <w:jc w:val="center"/>
        <w:rPr>
          <w:rFonts w:hint="eastAsia" w:ascii="黑体" w:hAnsi="黑体" w:eastAsia="黑体" w:cs="Times New Roman"/>
          <w:b/>
          <w:bCs/>
          <w:sz w:val="28"/>
          <w:szCs w:val="28"/>
          <w14:ligatures w14:val="none"/>
        </w:rPr>
      </w:pPr>
      <w:r>
        <w:rPr>
          <w:rFonts w:hint="eastAsia" w:ascii="黑体" w:hAnsi="黑体" w:eastAsia="黑体" w:cs="Times New Roman"/>
          <w:b/>
          <w:bCs/>
          <w:sz w:val="28"/>
          <w:szCs w:val="28"/>
          <w14:ligatures w14:val="none"/>
        </w:rPr>
        <w:t>参考文献(APA格式)</w:t>
      </w:r>
    </w:p>
    <w:p w14:paraId="5270DDEB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[1]</w:t>
      </w:r>
      <w:r>
        <w:rPr>
          <w:rFonts w:hint="default" w:ascii="Times New Roman" w:hAnsi="Times New Roman" w:eastAsia="宋体" w:cs="Times New Roman"/>
        </w:rPr>
        <w:t xml:space="preserve">Axt, J. R., Moran, T., &amp; Bar-Anan, Y. (2018). Simultaneous ingroup and outgroup favoritism in implicit social cognition. </w:t>
      </w:r>
      <w:r>
        <w:rPr>
          <w:rFonts w:hint="default" w:ascii="Times New Roman" w:hAnsi="Times New Roman" w:eastAsia="宋体" w:cs="Times New Roman"/>
          <w:i/>
          <w:iCs/>
        </w:rPr>
        <w:t>Journal of Experimental Social Psychology</w:t>
      </w:r>
      <w:r>
        <w:rPr>
          <w:rFonts w:hint="default" w:ascii="Times New Roman" w:hAnsi="Times New Roman" w:eastAsia="宋体" w:cs="Times New Roman"/>
        </w:rPr>
        <w:t>, 79, 275–289.</w:t>
      </w:r>
    </w:p>
    <w:p w14:paraId="42386D03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[2]</w:t>
      </w:r>
      <w:r>
        <w:rPr>
          <w:rFonts w:hint="default" w:ascii="Times New Roman" w:hAnsi="Times New Roman" w:eastAsia="宋体" w:cs="Times New Roman"/>
        </w:rPr>
        <w:t xml:space="preserve">Bauer, G., Breznau, N., Gereke, J., Höffler, J. H., Janz, N., Rahal, R.-M., Rennstich, J. K., &amp; Soiné, H. (2025). Teaching constructive replications in the behavioral and social sciences using quantitative data. </w:t>
      </w:r>
      <w:r>
        <w:rPr>
          <w:rFonts w:hint="default" w:ascii="Times New Roman" w:hAnsi="Times New Roman" w:eastAsia="宋体" w:cs="Times New Roman"/>
          <w:i/>
          <w:iCs/>
        </w:rPr>
        <w:t>Teaching of Psychology</w:t>
      </w:r>
      <w:r>
        <w:rPr>
          <w:rFonts w:hint="default" w:ascii="Times New Roman" w:hAnsi="Times New Roman" w:eastAsia="宋体" w:cs="Times New Roman"/>
        </w:rPr>
        <w:t>, 52(1), 117–123.</w:t>
      </w:r>
    </w:p>
    <w:p w14:paraId="778EBDD8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[3]</w:t>
      </w:r>
      <w:r>
        <w:rPr>
          <w:rFonts w:hint="default" w:ascii="Times New Roman" w:hAnsi="Times New Roman" w:eastAsia="宋体" w:cs="Times New Roman"/>
        </w:rPr>
        <w:t xml:space="preserve">Crüwell, S., Apthorp, D., Baker, B. J., Colling, L., Elson, M., Geiger, S. J., Lobentanzer, S., Monéger, J., Patterson, A., Schwarzkopf, D. S., Zaneva, M., &amp; Brown, N. J. L. (2023). What’s in a badge? A computational reproducibility investigation of the open data badge policy in one issue of Psychological Science. </w:t>
      </w:r>
      <w:r>
        <w:rPr>
          <w:rFonts w:hint="default" w:ascii="Times New Roman" w:hAnsi="Times New Roman" w:eastAsia="宋体" w:cs="Times New Roman"/>
          <w:i/>
          <w:iCs/>
        </w:rPr>
        <w:t>Psychological Science</w:t>
      </w:r>
      <w:r>
        <w:rPr>
          <w:rFonts w:hint="default" w:ascii="Times New Roman" w:hAnsi="Times New Roman" w:eastAsia="宋体" w:cs="Times New Roman"/>
        </w:rPr>
        <w:t>, 34(4), 513–522.</w:t>
      </w:r>
    </w:p>
    <w:p w14:paraId="22F8B8C3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[4]</w:t>
      </w:r>
      <w:r>
        <w:rPr>
          <w:rFonts w:hint="default" w:ascii="Times New Roman" w:hAnsi="Times New Roman" w:eastAsia="宋体" w:cs="Times New Roman"/>
        </w:rPr>
        <w:t xml:space="preserve">Hardwicke, T. E., Mathur, M. B., MacDonald, K., Nilsonne, G., Banks, G. C., Kidwell, M. C., Hofelich Mohr, A., Clayton, E., Yoon, E. J., Tessler, M. H., Lenne, R. L., Altman, S., Long, B., &amp; Frank, M. C. (2018). Data availability, reusability, and analytic reproducibility: Evaluating the impact of a mandatory open data policy at the journal Cognition. </w:t>
      </w:r>
      <w:r>
        <w:rPr>
          <w:rFonts w:hint="default" w:ascii="Times New Roman" w:hAnsi="Times New Roman" w:eastAsia="宋体" w:cs="Times New Roman"/>
          <w:i/>
          <w:iCs/>
        </w:rPr>
        <w:t>Royal Society Open Science</w:t>
      </w:r>
      <w:r>
        <w:rPr>
          <w:rFonts w:hint="default" w:ascii="Times New Roman" w:hAnsi="Times New Roman" w:eastAsia="宋体" w:cs="Times New Roman"/>
        </w:rPr>
        <w:t>, 5(8), 180448.</w:t>
      </w:r>
    </w:p>
    <w:p w14:paraId="05892E54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[5]</w:t>
      </w:r>
      <w:r>
        <w:rPr>
          <w:rFonts w:hint="default" w:ascii="Times New Roman" w:hAnsi="Times New Roman" w:eastAsia="宋体" w:cs="Times New Roman"/>
        </w:rPr>
        <w:t xml:space="preserve">Janz, N. (2016). Bringing the gold standard into the classroom: Replication in university teaching. </w:t>
      </w:r>
      <w:r>
        <w:rPr>
          <w:rFonts w:hint="default" w:ascii="Times New Roman" w:hAnsi="Times New Roman" w:eastAsia="宋体" w:cs="Times New Roman"/>
          <w:i/>
          <w:iCs/>
        </w:rPr>
        <w:t>International Studies Perspectives</w:t>
      </w:r>
      <w:r>
        <w:rPr>
          <w:rFonts w:hint="default" w:ascii="Times New Roman" w:hAnsi="Times New Roman" w:eastAsia="宋体" w:cs="Times New Roman"/>
        </w:rPr>
        <w:t>, 17(4), 392–407.</w:t>
      </w:r>
    </w:p>
    <w:p w14:paraId="3BCF03CB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[6]</w:t>
      </w:r>
      <w:r>
        <w:rPr>
          <w:rFonts w:hint="default" w:ascii="Times New Roman" w:hAnsi="Times New Roman" w:eastAsia="宋体" w:cs="Times New Roman"/>
        </w:rPr>
        <w:t xml:space="preserve">LeBel, E. P., McCarthy, R. J., Earp, B. D., Elson, M., &amp; Vanpaemel, W. (2018). A unified framework to quantify the credibility of scientific findings. </w:t>
      </w:r>
      <w:r>
        <w:rPr>
          <w:rFonts w:hint="default" w:ascii="Times New Roman" w:hAnsi="Times New Roman" w:eastAsia="宋体" w:cs="Times New Roman"/>
          <w:i/>
          <w:iCs/>
        </w:rPr>
        <w:t>Advances in Methods and Practices in Psychological Science</w:t>
      </w:r>
      <w:r>
        <w:rPr>
          <w:rFonts w:hint="default" w:ascii="Times New Roman" w:hAnsi="Times New Roman" w:eastAsia="宋体" w:cs="Times New Roman"/>
        </w:rPr>
        <w:t>, 1(3), 389–402.</w:t>
      </w:r>
    </w:p>
    <w:p w14:paraId="07D5DDD4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[7]</w:t>
      </w:r>
      <w:r>
        <w:rPr>
          <w:rFonts w:hint="default" w:ascii="Times New Roman" w:hAnsi="Times New Roman" w:eastAsia="宋体" w:cs="Times New Roman"/>
        </w:rPr>
        <w:t xml:space="preserve">Marshall, E. C., &amp; Underwood, A. (2019). Writing in the discipline and reproducible methods: A process-oriented approach to teaching empirical undergraduate economics research. </w:t>
      </w:r>
      <w:r>
        <w:rPr>
          <w:rFonts w:hint="default" w:ascii="Times New Roman" w:hAnsi="Times New Roman" w:eastAsia="宋体" w:cs="Times New Roman"/>
          <w:i/>
          <w:iCs/>
        </w:rPr>
        <w:t>The Journal of Economic Education</w:t>
      </w:r>
      <w:r>
        <w:rPr>
          <w:rFonts w:hint="default" w:ascii="Times New Roman" w:hAnsi="Times New Roman" w:eastAsia="宋体" w:cs="Times New Roman"/>
        </w:rPr>
        <w:t>, 50(1), 17–32.</w:t>
      </w:r>
    </w:p>
    <w:p w14:paraId="32D2CE92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[8]</w:t>
      </w:r>
      <w:r>
        <w:rPr>
          <w:rFonts w:hint="default" w:ascii="Times New Roman" w:hAnsi="Times New Roman" w:eastAsia="宋体" w:cs="Times New Roman"/>
        </w:rPr>
        <w:t xml:space="preserve">Standing, L. G., Grenier, M. L., Lane, E. A., Roberts, M. S., &amp; Sykes, S. (2014). Using replication projects in teaching research methods. </w:t>
      </w:r>
      <w:r>
        <w:rPr>
          <w:rFonts w:hint="default" w:ascii="Times New Roman" w:hAnsi="Times New Roman" w:eastAsia="宋体" w:cs="Times New Roman"/>
          <w:i/>
          <w:iCs/>
        </w:rPr>
        <w:t>Psychology Teaching Review</w:t>
      </w:r>
      <w:r>
        <w:rPr>
          <w:rFonts w:hint="default" w:ascii="Times New Roman" w:hAnsi="Times New Roman" w:eastAsia="宋体" w:cs="Times New Roman"/>
        </w:rPr>
        <w:t>, 20(1), 96–104.</w:t>
      </w:r>
    </w:p>
    <w:p w14:paraId="57845222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[9]</w:t>
      </w:r>
      <w:r>
        <w:rPr>
          <w:rFonts w:hint="default" w:ascii="Times New Roman" w:hAnsi="Times New Roman" w:eastAsia="宋体" w:cs="Times New Roman"/>
        </w:rPr>
        <w:t xml:space="preserve">Stojmenovska, D., Bol, T., &amp; Leopold, T. (2019). Teaching replication to graduate students. </w:t>
      </w:r>
      <w:bookmarkStart w:id="0" w:name="_GoBack"/>
      <w:r>
        <w:rPr>
          <w:rFonts w:hint="default" w:ascii="Times New Roman" w:hAnsi="Times New Roman" w:eastAsia="宋体" w:cs="Times New Roman"/>
          <w:i w:val="0"/>
          <w:iCs w:val="0"/>
        </w:rPr>
        <w:t>Teaching Sociology</w:t>
      </w:r>
      <w:r>
        <w:rPr>
          <w:rFonts w:hint="default" w:ascii="Times New Roman" w:hAnsi="Times New Roman" w:eastAsia="宋体" w:cs="Times New Roman"/>
        </w:rPr>
        <w:t>, 47(4), 303–313.</w:t>
      </w:r>
    </w:p>
    <w:bookmarkEnd w:id="0"/>
    <w:p w14:paraId="305DC9F1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[10]Kambouris, S., Wilkinson, D. P., Smith, E. T., &amp; Fidler, F. (2024). Computationally reproducing results from meta-analyses in ecology and evolutionary biology using shared code and data. 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PLOS ONE</w:t>
      </w:r>
      <w:r>
        <w:rPr>
          <w:rFonts w:hint="eastAsia" w:ascii="Times New Roman" w:hAnsi="Times New Roman" w:eastAsia="宋体" w:cs="Times New Roman"/>
          <w:lang w:val="en-US" w:eastAsia="zh-CN"/>
        </w:rPr>
        <w:t>, 19(3), e0300333.</w:t>
      </w:r>
    </w:p>
    <w:p w14:paraId="57E58047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[11]Karathanasis, N., Hwang, D., Heng, V., Abhimannyu, R., Slogoff-Sevilla, P., Buchel, G., Frisbie, V., Li, P., Kryoneriti, D., &amp; Rigoutsos, I. (2022). Reproducibility efforts as a teaching tool: A pilot study. 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PLOS Computational Biology</w:t>
      </w:r>
      <w:r>
        <w:rPr>
          <w:rFonts w:hint="eastAsia" w:ascii="Times New Roman" w:hAnsi="Times New Roman" w:eastAsia="宋体" w:cs="Times New Roman"/>
          <w:lang w:val="en-US" w:eastAsia="zh-CN"/>
        </w:rPr>
        <w:t>, 18(11), e1010615.</w:t>
      </w:r>
    </w:p>
    <w:p w14:paraId="7AB772DE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[12]Open Science Collaboration. (2015). Estimating the reproducibility of psychological science. 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Science</w:t>
      </w:r>
      <w:r>
        <w:rPr>
          <w:rFonts w:hint="eastAsia" w:ascii="Times New Roman" w:hAnsi="Times New Roman" w:eastAsia="宋体" w:cs="Times New Roman"/>
          <w:lang w:val="en-US" w:eastAsia="zh-CN"/>
        </w:rPr>
        <w:t>, 349(6251), Article aac4716.</w:t>
      </w:r>
    </w:p>
    <w:p w14:paraId="7BA210D2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2"/>
      <w:numFmt w:val="bullet"/>
      <w:lvlText w:val="□"/>
      <w:lvlJc w:val="left"/>
      <w:pPr>
        <w:ind w:left="360" w:hanging="360"/>
      </w:pPr>
      <w:rPr>
        <w:rFonts w:hint="eastAsia" w:ascii="等线" w:hAnsi="等线" w:eastAsia="等线" w:cs="宋体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F7C"/>
    <w:rsid w:val="00001B79"/>
    <w:rsid w:val="0004121B"/>
    <w:rsid w:val="00166115"/>
    <w:rsid w:val="00195A2B"/>
    <w:rsid w:val="00225F7C"/>
    <w:rsid w:val="00444633"/>
    <w:rsid w:val="00477461"/>
    <w:rsid w:val="00494F5D"/>
    <w:rsid w:val="00507D87"/>
    <w:rsid w:val="00611F9B"/>
    <w:rsid w:val="00753BA8"/>
    <w:rsid w:val="007C5F4C"/>
    <w:rsid w:val="0081477A"/>
    <w:rsid w:val="00A76FAA"/>
    <w:rsid w:val="00A95534"/>
    <w:rsid w:val="00B031D8"/>
    <w:rsid w:val="00B40183"/>
    <w:rsid w:val="00B63A2B"/>
    <w:rsid w:val="00BF7F05"/>
    <w:rsid w:val="00C81531"/>
    <w:rsid w:val="00C83975"/>
    <w:rsid w:val="00D768D3"/>
    <w:rsid w:val="00F242FD"/>
    <w:rsid w:val="00F91D3D"/>
    <w:rsid w:val="00FC1686"/>
    <w:rsid w:val="00FE66AA"/>
    <w:rsid w:val="060519C4"/>
    <w:rsid w:val="0DA0644F"/>
    <w:rsid w:val="190B48EA"/>
    <w:rsid w:val="1F151346"/>
    <w:rsid w:val="21B46321"/>
    <w:rsid w:val="2AF01862"/>
    <w:rsid w:val="2E3F3416"/>
    <w:rsid w:val="3C2974B3"/>
    <w:rsid w:val="3D670A45"/>
    <w:rsid w:val="3D7C6426"/>
    <w:rsid w:val="482374AD"/>
    <w:rsid w:val="4C39729F"/>
    <w:rsid w:val="59301A29"/>
    <w:rsid w:val="59A76C82"/>
    <w:rsid w:val="5BB16E51"/>
    <w:rsid w:val="5CF039A9"/>
    <w:rsid w:val="755723C0"/>
    <w:rsid w:val="79294073"/>
    <w:rsid w:val="7B7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1872</Words>
  <Characters>2662</Characters>
  <Lines>45</Lines>
  <Paragraphs>12</Paragraphs>
  <TotalTime>7</TotalTime>
  <ScaleCrop>false</ScaleCrop>
  <LinksUpToDate>false</LinksUpToDate>
  <CharactersWithSpaces>2885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2026-06-08T09:42:00Z</dcterms:created>
  <dc:creator>zhangshengli</dc:creator>
  <cp:lastModifiedBy>张铭钰</cp:lastModifiedBy>
  <dcterms:modified xsi:type="dcterms:W3CDTF">2026-06-19T11:43:00Z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eyJoZGlkIjoiYTQ5NjA4ZDk2MTA5YWQ5YjQ3N2RhZjEyMjE3NDM1ZTUiLCJ1c2VySWQiOiI3MTkwODY3NjQifQ==</vt:lpwstr>
  </property>
  <property fmtid="{D5CDD505-2E9C-101B-9397-08002B2CF9AE}" pid="4" name="ICV">
    <vt:lpwstr>1367438BB008493283D3B526079222CA_12</vt:lpwstr>
  </property>
</Properties>
</file>