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p>
    <w:p w14:paraId="00000002">
      <w:p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p>
    <w:p w14:paraId="00000003">
      <w:pPr>
        <w:pBdr>
          <w:top w:val="none" w:color="auto" w:sz="0" w:space="0"/>
          <w:left w:val="none" w:color="auto" w:sz="0" w:space="0"/>
          <w:bottom w:val="none" w:color="auto" w:sz="0" w:space="0"/>
          <w:right w:val="none" w:color="auto" w:sz="0" w:space="0"/>
          <w:between w:val="none" w:color="auto" w:sz="0" w:space="0"/>
        </w:pBdr>
        <w:spacing w:before="5" w:line="360" w:lineRule="auto"/>
        <w:rPr>
          <w:color w:val="000000"/>
        </w:rPr>
      </w:pPr>
    </w:p>
    <w:p w14:paraId="22562D8B">
      <w:pPr>
        <w:pBdr>
          <w:top w:val="none" w:color="auto" w:sz="0" w:space="0"/>
          <w:left w:val="none" w:color="auto" w:sz="0" w:space="0"/>
          <w:bottom w:val="none" w:color="auto" w:sz="0" w:space="0"/>
          <w:right w:val="none" w:color="auto" w:sz="0" w:space="0"/>
          <w:between w:val="none" w:color="auto" w:sz="0" w:space="0"/>
        </w:pBdr>
        <w:spacing w:before="93" w:line="360" w:lineRule="auto"/>
        <w:ind w:left="1429" w:right="1427"/>
        <w:jc w:val="center"/>
        <w:rPr>
          <w:b/>
          <w:bCs/>
          <w:color w:val="000000"/>
        </w:rPr>
      </w:pPr>
    </w:p>
    <w:p w14:paraId="1B93DC5E">
      <w:pPr>
        <w:pBdr>
          <w:top w:val="none" w:color="auto" w:sz="0" w:space="0"/>
          <w:left w:val="none" w:color="auto" w:sz="0" w:space="0"/>
          <w:bottom w:val="none" w:color="auto" w:sz="0" w:space="0"/>
          <w:right w:val="none" w:color="auto" w:sz="0" w:space="0"/>
          <w:between w:val="none" w:color="auto" w:sz="0" w:space="0"/>
        </w:pBdr>
        <w:spacing w:before="93" w:line="360" w:lineRule="auto"/>
        <w:ind w:left="1429" w:right="1427"/>
        <w:jc w:val="center"/>
        <w:rPr>
          <w:b/>
          <w:bCs/>
          <w:color w:val="000000"/>
        </w:rPr>
      </w:pPr>
    </w:p>
    <w:p w14:paraId="65CBA3AB">
      <w:pPr>
        <w:pBdr>
          <w:top w:val="none" w:color="auto" w:sz="0" w:space="0"/>
          <w:left w:val="none" w:color="auto" w:sz="0" w:space="0"/>
          <w:bottom w:val="none" w:color="auto" w:sz="0" w:space="0"/>
          <w:right w:val="none" w:color="auto" w:sz="0" w:space="0"/>
          <w:between w:val="none" w:color="auto" w:sz="0" w:space="0"/>
        </w:pBdr>
        <w:spacing w:before="93" w:line="360" w:lineRule="auto"/>
        <w:ind w:left="1429" w:right="1427"/>
        <w:jc w:val="center"/>
        <w:rPr>
          <w:b/>
          <w:bCs/>
          <w:color w:val="000000"/>
        </w:rPr>
      </w:pPr>
    </w:p>
    <w:p w14:paraId="141E6835">
      <w:pPr>
        <w:pBdr>
          <w:top w:val="none" w:color="auto" w:sz="0" w:space="0"/>
          <w:left w:val="none" w:color="auto" w:sz="0" w:space="0"/>
          <w:bottom w:val="none" w:color="auto" w:sz="0" w:space="0"/>
          <w:right w:val="none" w:color="auto" w:sz="0" w:space="0"/>
          <w:between w:val="none" w:color="auto" w:sz="0" w:space="0"/>
        </w:pBdr>
        <w:spacing w:before="93" w:line="360" w:lineRule="auto"/>
        <w:ind w:left="1429" w:right="1427"/>
        <w:jc w:val="center"/>
        <w:rPr>
          <w:b/>
          <w:bCs/>
          <w:color w:val="000000"/>
        </w:rPr>
      </w:pPr>
    </w:p>
    <w:p w14:paraId="00000004">
      <w:pPr>
        <w:pBdr>
          <w:top w:val="none" w:color="auto" w:sz="0" w:space="0"/>
          <w:left w:val="none" w:color="auto" w:sz="0" w:space="0"/>
          <w:bottom w:val="none" w:color="auto" w:sz="0" w:space="0"/>
          <w:right w:val="none" w:color="auto" w:sz="0" w:space="0"/>
          <w:between w:val="none" w:color="auto" w:sz="0" w:space="0"/>
        </w:pBdr>
        <w:spacing w:before="93" w:line="360" w:lineRule="auto"/>
        <w:ind w:left="1429" w:right="1427"/>
        <w:jc w:val="center"/>
        <w:rPr>
          <w:b/>
          <w:bCs/>
          <w:color w:val="000000"/>
        </w:rPr>
      </w:pPr>
      <w:r>
        <w:rPr>
          <w:b/>
          <w:bCs/>
          <w:color w:val="000000"/>
        </w:rPr>
        <w:t>Replication of a Research Claim from Axt et al., (2018), from the Journal of Experimental Social Psychology</w:t>
      </w:r>
    </w:p>
    <w:p w14:paraId="7CF0D933">
      <w:pPr>
        <w:pBdr>
          <w:top w:val="none" w:color="auto" w:sz="0" w:space="0"/>
          <w:left w:val="none" w:color="auto" w:sz="0" w:space="0"/>
          <w:bottom w:val="none" w:color="auto" w:sz="0" w:space="0"/>
          <w:right w:val="none" w:color="auto" w:sz="0" w:space="0"/>
          <w:between w:val="none" w:color="auto" w:sz="0" w:space="0"/>
        </w:pBdr>
        <w:spacing w:line="360" w:lineRule="auto"/>
        <w:ind w:right="1871"/>
        <w:jc w:val="center"/>
        <w:rPr>
          <w:color w:val="000000"/>
        </w:rPr>
      </w:pPr>
      <w:r>
        <w:rPr>
          <w:color w:val="000000"/>
        </w:rPr>
        <w:t xml:space="preserve">                          </w:t>
      </w:r>
    </w:p>
    <w:p w14:paraId="4F788D79">
      <w:pPr>
        <w:pBdr>
          <w:top w:val="none" w:color="auto" w:sz="0" w:space="0"/>
          <w:left w:val="none" w:color="auto" w:sz="0" w:space="0"/>
          <w:bottom w:val="none" w:color="auto" w:sz="0" w:space="0"/>
          <w:right w:val="none" w:color="auto" w:sz="0" w:space="0"/>
          <w:between w:val="none" w:color="auto" w:sz="0" w:space="0"/>
        </w:pBdr>
        <w:spacing w:line="360" w:lineRule="auto"/>
        <w:ind w:right="1871"/>
        <w:jc w:val="center"/>
        <w:rPr>
          <w:color w:val="000000"/>
        </w:rPr>
      </w:pPr>
    </w:p>
    <w:p w14:paraId="52BF6775">
      <w:pPr>
        <w:pBdr>
          <w:top w:val="none" w:color="auto" w:sz="0" w:space="0"/>
          <w:left w:val="none" w:color="auto" w:sz="0" w:space="0"/>
          <w:bottom w:val="none" w:color="auto" w:sz="0" w:space="0"/>
          <w:right w:val="none" w:color="auto" w:sz="0" w:space="0"/>
          <w:between w:val="none" w:color="auto" w:sz="0" w:space="0"/>
        </w:pBdr>
        <w:spacing w:line="360" w:lineRule="auto"/>
        <w:ind w:right="1871"/>
        <w:jc w:val="center"/>
        <w:rPr>
          <w:color w:val="000000"/>
        </w:rPr>
      </w:pPr>
      <w:r>
        <w:rPr>
          <w:color w:val="000000"/>
        </w:rPr>
        <w:t xml:space="preserve">                             Replication Team: Victoria Colvin and Colin Tucker Smith</w:t>
      </w:r>
    </w:p>
    <w:p w14:paraId="00000007">
      <w:pPr>
        <w:pBdr>
          <w:top w:val="none" w:color="auto" w:sz="0" w:space="0"/>
          <w:left w:val="none" w:color="auto" w:sz="0" w:space="0"/>
          <w:bottom w:val="none" w:color="auto" w:sz="0" w:space="0"/>
          <w:right w:val="none" w:color="auto" w:sz="0" w:space="0"/>
          <w:between w:val="none" w:color="auto" w:sz="0" w:space="0"/>
        </w:pBdr>
        <w:spacing w:line="360" w:lineRule="auto"/>
        <w:ind w:left="1864" w:right="1871"/>
        <w:jc w:val="center"/>
        <w:rPr>
          <w:color w:val="000000"/>
        </w:rPr>
      </w:pPr>
      <w:r>
        <w:rPr>
          <w:color w:val="000000"/>
        </w:rPr>
        <w:t>University of Florida, Gainesville, FL</w:t>
      </w:r>
    </w:p>
    <w:p w14:paraId="682036D6">
      <w:pPr>
        <w:pBdr>
          <w:top w:val="none" w:color="auto" w:sz="0" w:space="0"/>
          <w:left w:val="none" w:color="auto" w:sz="0" w:space="0"/>
          <w:bottom w:val="none" w:color="auto" w:sz="0" w:space="0"/>
          <w:right w:val="none" w:color="auto" w:sz="0" w:space="0"/>
          <w:between w:val="none" w:color="auto" w:sz="0" w:space="0"/>
        </w:pBdr>
        <w:spacing w:line="360" w:lineRule="auto"/>
        <w:ind w:left="1864" w:right="1871"/>
        <w:jc w:val="center"/>
        <w:rPr>
          <w:color w:val="000000"/>
        </w:rPr>
      </w:pPr>
    </w:p>
    <w:p w14:paraId="7B562A14">
      <w:pPr>
        <w:pBdr>
          <w:top w:val="none" w:color="auto" w:sz="0" w:space="0"/>
          <w:left w:val="none" w:color="auto" w:sz="0" w:space="0"/>
          <w:bottom w:val="none" w:color="auto" w:sz="0" w:space="0"/>
          <w:right w:val="none" w:color="auto" w:sz="0" w:space="0"/>
          <w:between w:val="none" w:color="auto" w:sz="0" w:space="0"/>
        </w:pBdr>
        <w:spacing w:line="360" w:lineRule="auto"/>
        <w:ind w:left="1864" w:right="1871"/>
        <w:jc w:val="center"/>
        <w:rPr>
          <w:color w:val="000000"/>
        </w:rPr>
      </w:pPr>
    </w:p>
    <w:p w14:paraId="19754A82">
      <w:pPr>
        <w:pBdr>
          <w:top w:val="none" w:color="auto" w:sz="0" w:space="0"/>
          <w:left w:val="none" w:color="auto" w:sz="0" w:space="0"/>
          <w:bottom w:val="none" w:color="auto" w:sz="0" w:space="0"/>
          <w:right w:val="none" w:color="auto" w:sz="0" w:space="0"/>
          <w:between w:val="none" w:color="auto" w:sz="0" w:space="0"/>
        </w:pBdr>
        <w:spacing w:line="360" w:lineRule="auto"/>
        <w:ind w:left="1864" w:right="1871"/>
        <w:jc w:val="center"/>
        <w:rPr>
          <w:color w:val="000000"/>
        </w:rPr>
      </w:pPr>
    </w:p>
    <w:p w14:paraId="00000008">
      <w:pPr>
        <w:pBdr>
          <w:top w:val="none" w:color="auto" w:sz="0" w:space="0"/>
          <w:left w:val="none" w:color="auto" w:sz="0" w:space="0"/>
          <w:bottom w:val="none" w:color="auto" w:sz="0" w:space="0"/>
          <w:right w:val="none" w:color="auto" w:sz="0" w:space="0"/>
          <w:between w:val="none" w:color="auto" w:sz="0" w:space="0"/>
        </w:pBdr>
        <w:spacing w:line="360" w:lineRule="auto"/>
        <w:ind w:left="1864" w:right="1871"/>
        <w:jc w:val="center"/>
        <w:rPr>
          <w:color w:val="000000"/>
        </w:rPr>
      </w:pPr>
      <w:r>
        <w:rPr>
          <w:color w:val="000000"/>
        </w:rPr>
        <w:t>Research Scientist: Nick Fox</w:t>
      </w:r>
    </w:p>
    <w:p w14:paraId="7A759075">
      <w:pPr>
        <w:pBdr>
          <w:top w:val="none" w:color="auto" w:sz="0" w:space="0"/>
          <w:left w:val="none" w:color="auto" w:sz="0" w:space="0"/>
          <w:bottom w:val="none" w:color="auto" w:sz="0" w:space="0"/>
          <w:right w:val="none" w:color="auto" w:sz="0" w:space="0"/>
          <w:between w:val="none" w:color="auto" w:sz="0" w:space="0"/>
        </w:pBdr>
        <w:spacing w:before="2" w:line="360" w:lineRule="auto"/>
        <w:ind w:left="1424" w:right="1427"/>
        <w:jc w:val="center"/>
        <w:rPr>
          <w:color w:val="000000"/>
        </w:rPr>
      </w:pPr>
      <w:r>
        <w:rPr>
          <w:color w:val="000000"/>
        </w:rPr>
        <w:t>Action Editor: Richard Lucas</w:t>
      </w:r>
    </w:p>
    <w:p w14:paraId="00000009">
      <w:pPr>
        <w:pBdr>
          <w:top w:val="none" w:color="auto" w:sz="0" w:space="0"/>
          <w:left w:val="none" w:color="auto" w:sz="0" w:space="0"/>
          <w:bottom w:val="none" w:color="auto" w:sz="0" w:space="0"/>
          <w:right w:val="none" w:color="auto" w:sz="0" w:space="0"/>
          <w:between w:val="none" w:color="auto" w:sz="0" w:space="0"/>
        </w:pBdr>
        <w:spacing w:before="2" w:line="360" w:lineRule="auto"/>
        <w:ind w:left="1424" w:right="1427"/>
        <w:jc w:val="center"/>
        <w:rPr>
          <w:color w:val="000000"/>
        </w:rPr>
      </w:pPr>
    </w:p>
    <w:p w14:paraId="0000000A">
      <w:p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p>
    <w:p w14:paraId="0893C663">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rPr>
      </w:pPr>
    </w:p>
    <w:p w14:paraId="18D4454C">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rPr>
      </w:pPr>
    </w:p>
    <w:p w14:paraId="3679A9CE">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rPr>
      </w:pPr>
    </w:p>
    <w:p w14:paraId="078259C6">
      <w:p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b/>
          <w:bCs/>
          <w:color w:val="000000"/>
        </w:rPr>
        <w:t xml:space="preserve">Project ID: </w:t>
      </w:r>
      <w:r>
        <w:rPr>
          <w:color w:val="000000"/>
        </w:rPr>
        <w:t>Axt_JournExpSocPsych_2018_zK2 - Colvin_Smith - Direct Replication - m5g9</w:t>
      </w:r>
    </w:p>
    <w:p w14:paraId="2C4826D0">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rPr>
      </w:pPr>
      <w:r>
        <w:rPr>
          <w:b/>
          <w:bCs/>
          <w:color w:val="000000"/>
        </w:rPr>
        <w:t xml:space="preserve">OSF project: </w:t>
      </w:r>
      <w:r>
        <w:fldChar w:fldCharType="begin"/>
      </w:r>
      <w:r>
        <w:instrText xml:space="preserve"> HYPERLINK "https://osf.io/etfqz/" </w:instrText>
      </w:r>
      <w:r>
        <w:fldChar w:fldCharType="separate"/>
      </w:r>
      <w:r>
        <w:rPr>
          <w:rStyle w:val="22"/>
        </w:rPr>
        <w:t>https://osf.io/etfqz/</w:t>
      </w:r>
      <w:r>
        <w:rPr>
          <w:rStyle w:val="22"/>
        </w:rPr>
        <w:fldChar w:fldCharType="end"/>
      </w:r>
      <w:r>
        <w:rPr>
          <w:rStyle w:val="22"/>
        </w:rPr>
        <w:t xml:space="preserve">   </w:t>
      </w:r>
    </w:p>
    <w:p w14:paraId="0000000B">
      <w:p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b/>
          <w:bCs/>
          <w:color w:val="000000"/>
        </w:rPr>
        <w:t xml:space="preserve">Preregistration: </w:t>
      </w:r>
      <w:r>
        <w:rPr>
          <w:rStyle w:val="22"/>
        </w:rPr>
        <w:t>https://osf.io/wg5ny</w:t>
      </w:r>
      <w:bookmarkStart w:id="0" w:name="_GoBack"/>
      <w:bookmarkEnd w:id="0"/>
    </w:p>
    <w:p w14:paraId="0000000D">
      <w:pPr>
        <w:pBdr>
          <w:top w:val="none" w:color="auto" w:sz="0" w:space="0"/>
          <w:left w:val="none" w:color="auto" w:sz="0" w:space="0"/>
          <w:bottom w:val="none" w:color="auto" w:sz="0" w:space="0"/>
          <w:right w:val="none" w:color="auto" w:sz="0" w:space="0"/>
          <w:between w:val="none" w:color="auto" w:sz="0" w:space="0"/>
        </w:pBdr>
        <w:spacing w:before="11" w:line="360" w:lineRule="auto"/>
        <w:jc w:val="center"/>
        <w:rPr>
          <w:color w:val="000000"/>
        </w:rPr>
      </w:pPr>
    </w:p>
    <w:tbl>
      <w:tblPr>
        <w:tblW w:w="108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5606"/>
      </w:tblGrid>
      <w:tr w14:paraId="74599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0" w:hRule="atLeast"/>
        </w:trPr>
        <w:tc>
          <w:tcPr>
            <w:tcW w:w="1080" w:type="dxa"/>
            <w:tcBorders>
              <w:top w:val="nil"/>
              <w:left w:val="nil"/>
              <w:bottom w:val="nil"/>
              <w:right w:val="nil"/>
            </w:tcBorders>
            <w:shd w:val="clear" w:color="auto" w:fill="FFFF00"/>
            <w:noWrap/>
            <w:vAlign w:val="center"/>
          </w:tcPr>
          <w:p w14:paraId="532BDD49">
            <w:pPr>
              <w:keepNext w:val="0"/>
              <w:keepLines w:val="0"/>
              <w:widowControl/>
              <w:suppressLineNumbers w:val="0"/>
              <w:jc w:val="left"/>
              <w:textAlignment w:val="center"/>
              <w:rPr>
                <w:rFonts w:hint="eastAsia" w:ascii="宋体" w:hAnsi="宋体" w:eastAsia="宋体" w:cs="宋体"/>
                <w:i w:val="0"/>
                <w:iCs w:val="0"/>
                <w:color w:val="800080"/>
                <w:sz w:val="22"/>
                <w:szCs w:val="22"/>
                <w:u w:val="single"/>
              </w:rPr>
            </w:pPr>
            <w:r>
              <w:rPr>
                <w:rFonts w:hint="eastAsia" w:ascii="宋体" w:hAnsi="宋体" w:eastAsia="宋体" w:cs="宋体"/>
                <w:i w:val="0"/>
                <w:iCs w:val="0"/>
                <w:kern w:val="0"/>
                <w:sz w:val="22"/>
                <w:szCs w:val="22"/>
                <w:u w:val="single"/>
                <w:bdr w:val="none" w:color="auto" w:sz="0" w:space="0"/>
                <w:lang w:val="en-US" w:eastAsia="zh-CN" w:bidi="ar"/>
              </w:rPr>
              <w:fldChar w:fldCharType="begin"/>
            </w:r>
            <w:r>
              <w:rPr>
                <w:rFonts w:hint="eastAsia" w:ascii="宋体" w:hAnsi="宋体" w:eastAsia="宋体" w:cs="宋体"/>
                <w:i w:val="0"/>
                <w:iCs w:val="0"/>
                <w:kern w:val="0"/>
                <w:sz w:val="22"/>
                <w:szCs w:val="22"/>
                <w:u w:val="single"/>
                <w:bdr w:val="none" w:color="auto" w:sz="0" w:space="0"/>
                <w:lang w:val="en-US" w:eastAsia="zh-CN" w:bidi="ar"/>
              </w:rPr>
              <w:instrText xml:space="preserve"> HYPERLINK "https://docs.google.com/document/d/1BzaD4xWCG1JM-2X0QLdSCL16PMvRFXLp3l_p6bNzw1A/edit?usp=drivesdk" \o "https://docs.google.com/document/d/1BzaD4xWCG1JM-2X0QLdSCL16PMvRFXLp3l_p6bNzw1A/edit?usp=drivesdk" </w:instrText>
            </w:r>
            <w:r>
              <w:rPr>
                <w:rFonts w:hint="eastAsia" w:ascii="宋体" w:hAnsi="宋体" w:eastAsia="宋体" w:cs="宋体"/>
                <w:i w:val="0"/>
                <w:iCs w:val="0"/>
                <w:kern w:val="0"/>
                <w:sz w:val="22"/>
                <w:szCs w:val="22"/>
                <w:u w:val="single"/>
                <w:bdr w:val="none" w:color="auto" w:sz="0" w:space="0"/>
                <w:lang w:val="en-US" w:eastAsia="zh-CN" w:bidi="ar"/>
              </w:rPr>
              <w:fldChar w:fldCharType="separate"/>
            </w:r>
            <w:r>
              <w:rPr>
                <w:rStyle w:val="22"/>
                <w:rFonts w:hint="eastAsia" w:ascii="宋体" w:hAnsi="宋体" w:eastAsia="宋体" w:cs="宋体"/>
                <w:i w:val="0"/>
                <w:iCs w:val="0"/>
                <w:sz w:val="22"/>
                <w:szCs w:val="22"/>
                <w:u w:val="single"/>
                <w:bdr w:val="none" w:color="auto" w:sz="0" w:space="0"/>
              </w:rPr>
              <w:t>https://docs.google.com/document/d/1BzaD4xWCG1JM-2X0QLdSCL16PMvRFXLp3l_p6bNzw1A/edit?usp=drivesdk</w:t>
            </w:r>
            <w:r>
              <w:rPr>
                <w:rFonts w:hint="eastAsia" w:ascii="宋体" w:hAnsi="宋体" w:eastAsia="宋体" w:cs="宋体"/>
                <w:i w:val="0"/>
                <w:iCs w:val="0"/>
                <w:kern w:val="0"/>
                <w:sz w:val="22"/>
                <w:szCs w:val="22"/>
                <w:u w:val="single"/>
                <w:bdr w:val="none" w:color="auto" w:sz="0" w:space="0"/>
                <w:lang w:val="en-US" w:eastAsia="zh-CN" w:bidi="ar"/>
              </w:rPr>
              <w:fldChar w:fldCharType="end"/>
            </w:r>
          </w:p>
        </w:tc>
      </w:tr>
    </w:tbl>
    <w:p w14:paraId="0000000F">
      <w:p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p>
    <w:p w14:paraId="00000010">
      <w:p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p>
    <w:p w14:paraId="00000012">
      <w:pPr>
        <w:spacing w:line="360" w:lineRule="auto"/>
        <w:sectPr>
          <w:headerReference r:id="rId3" w:type="default"/>
          <w:footerReference r:id="rId5" w:type="default"/>
          <w:headerReference r:id="rId4" w:type="even"/>
          <w:pgSz w:w="12240" w:h="15840"/>
          <w:pgMar w:top="1500" w:right="1340" w:bottom="280" w:left="1340" w:header="720" w:footer="720" w:gutter="0"/>
          <w:pgNumType w:start="1"/>
          <w:cols w:equalWidth="0" w:num="1">
            <w:col w:w="9360"/>
          </w:cols>
        </w:sectPr>
      </w:pPr>
    </w:p>
    <w:p w14:paraId="444C0F31">
      <w:pPr>
        <w:pStyle w:val="3"/>
        <w:spacing w:line="480" w:lineRule="auto"/>
        <w:ind w:right="149"/>
        <w:jc w:val="center"/>
      </w:pPr>
      <w:r>
        <w:t>Replication of a research claim from Axt et al., (2018), from the Journal of Experimental Social Psychology</w:t>
      </w:r>
    </w:p>
    <w:p w14:paraId="062793CA">
      <w:pPr>
        <w:pStyle w:val="3"/>
        <w:spacing w:line="480" w:lineRule="auto"/>
        <w:ind w:right="149"/>
        <w:rPr>
          <w:i/>
          <w:iCs/>
        </w:rPr>
      </w:pPr>
      <w:r>
        <w:rPr>
          <w:i/>
          <w:iCs/>
        </w:rPr>
        <w:t>Claim Summary</w:t>
      </w:r>
    </w:p>
    <w:p w14:paraId="65980A73">
      <w:pPr>
        <w:pStyle w:val="3"/>
        <w:spacing w:line="480" w:lineRule="auto"/>
        <w:ind w:right="149"/>
        <w:rPr>
          <w:b w:val="0"/>
          <w:bCs w:val="0"/>
        </w:rPr>
      </w:pPr>
      <w:r>
        <w:t xml:space="preserve"> </w:t>
      </w:r>
      <w:r>
        <w:tab/>
      </w:r>
      <w:r>
        <w:rPr>
          <w:b w:val="0"/>
          <w:bCs w:val="0"/>
          <w:color w:val="000000"/>
        </w:rPr>
        <w:t xml:space="preserve">This replication tests the claim from Study 1 of Axt et al., (2018) that members of a nondominant racial group will show reliable implicit ingroup preference when presented with positively valanced information, and will show reliable implicit preference for the dominant group when presented with negative valanced information. We calculated </w:t>
      </w:r>
      <w:r>
        <w:rPr>
          <w:b w:val="0"/>
          <w:bCs w:val="0"/>
          <w:i/>
          <w:iCs/>
          <w:color w:val="000000"/>
        </w:rPr>
        <w:t xml:space="preserve">D </w:t>
      </w:r>
      <w:r>
        <w:rPr>
          <w:b w:val="0"/>
          <w:bCs w:val="0"/>
          <w:color w:val="000000"/>
        </w:rPr>
        <w:t xml:space="preserve">scores from the good focal Multiple Category – Implicit Association Test (MC-IAT) and bad MC-IAT output using the </w:t>
      </w:r>
      <w:r>
        <w:rPr>
          <w:b w:val="0"/>
          <w:bCs w:val="0"/>
          <w:i/>
          <w:iCs/>
          <w:color w:val="000000"/>
        </w:rPr>
        <w:t>D</w:t>
      </w:r>
      <w:r>
        <w:rPr>
          <w:b w:val="0"/>
          <w:bCs w:val="0"/>
          <w:color w:val="000000"/>
        </w:rPr>
        <w:t xml:space="preserve"> algorithm (Nosek et al., 2014). To test the central claim, we conducted an independent samples </w:t>
      </w:r>
      <w:r>
        <w:rPr>
          <w:b w:val="0"/>
          <w:bCs w:val="0"/>
          <w:i/>
          <w:iCs/>
          <w:color w:val="000000"/>
        </w:rPr>
        <w:t>t</w:t>
      </w:r>
      <w:r>
        <w:rPr>
          <w:b w:val="0"/>
          <w:bCs w:val="0"/>
          <w:color w:val="000000"/>
        </w:rPr>
        <w:t>-test to determine whether there was a significant difference in implicit ingroup preference between the good focal and bad focal conditions. We also performed one sample</w:t>
      </w:r>
      <w:r>
        <w:rPr>
          <w:b w:val="0"/>
          <w:bCs w:val="0"/>
          <w:i/>
          <w:iCs/>
          <w:color w:val="000000"/>
        </w:rPr>
        <w:t xml:space="preserve"> t</w:t>
      </w:r>
      <w:r>
        <w:rPr>
          <w:b w:val="0"/>
          <w:bCs w:val="0"/>
          <w:color w:val="000000"/>
        </w:rPr>
        <w:t xml:space="preserve">-tests for both the bad focal and good focal conditions to test if preference within condition differed from zero. Additionally, explicit preferences were tested against 0 (i.e., no preference) using one-sample </w:t>
      </w:r>
      <w:r>
        <w:rPr>
          <w:b w:val="0"/>
          <w:bCs w:val="0"/>
          <w:i/>
          <w:iCs/>
          <w:color w:val="000000"/>
        </w:rPr>
        <w:t>t</w:t>
      </w:r>
      <w:r>
        <w:rPr>
          <w:b w:val="0"/>
          <w:bCs w:val="0"/>
          <w:color w:val="000000"/>
        </w:rPr>
        <w:t xml:space="preserve">-tests. We also tested the relationship between implicit and explicit measures using correlations. Finally, we used Fisher’s </w:t>
      </w:r>
      <w:r>
        <w:rPr>
          <w:b w:val="0"/>
          <w:bCs w:val="0"/>
          <w:i/>
          <w:iCs/>
          <w:color w:val="000000"/>
        </w:rPr>
        <w:t>r</w:t>
      </w:r>
      <w:r>
        <w:rPr>
          <w:b w:val="0"/>
          <w:bCs w:val="0"/>
          <w:color w:val="000000"/>
        </w:rPr>
        <w:t xml:space="preserve"> to </w:t>
      </w:r>
      <w:r>
        <w:rPr>
          <w:b w:val="0"/>
          <w:bCs w:val="0"/>
          <w:i/>
          <w:iCs/>
          <w:color w:val="000000"/>
        </w:rPr>
        <w:t>z</w:t>
      </w:r>
      <w:r>
        <w:rPr>
          <w:b w:val="0"/>
          <w:bCs w:val="0"/>
          <w:color w:val="000000"/>
        </w:rPr>
        <w:t xml:space="preserve"> transformation to compare independent correlations in testing whether explicit preferences are more related to the good-focal MCIAT or the bad-focal MCIAT.</w:t>
      </w:r>
    </w:p>
    <w:p w14:paraId="0000001C">
      <w:pPr>
        <w:pBdr>
          <w:top w:val="none" w:color="auto" w:sz="0" w:space="0"/>
          <w:left w:val="none" w:color="auto" w:sz="0" w:space="0"/>
          <w:bottom w:val="none" w:color="auto" w:sz="0" w:space="0"/>
          <w:right w:val="none" w:color="auto" w:sz="0" w:space="0"/>
          <w:between w:val="none" w:color="auto" w:sz="0" w:space="0"/>
        </w:pBdr>
        <w:spacing w:line="480" w:lineRule="auto"/>
        <w:ind w:left="90"/>
        <w:rPr>
          <w:b/>
          <w:color w:val="000000"/>
        </w:rPr>
      </w:pPr>
      <w:r>
        <w:rPr>
          <w:b/>
          <w:color w:val="000000"/>
        </w:rPr>
        <w:t xml:space="preserve">Replication Criteria. </w:t>
      </w:r>
      <w:r>
        <w:rPr>
          <w:color w:val="000000"/>
        </w:rPr>
        <w:t xml:space="preserve">A successful replication of the Axt et al., (2018) results would be a statistically significant effect (alpha = .05, two tailed) in the same pattern as the original study. For the replication of the central claim, this criteria is met by a statistically significant difference between good-focal MC-IAT and bad-focal MC-IAT conditions, with bad-focal having a higher (more positive) </w:t>
      </w:r>
      <w:r>
        <w:rPr>
          <w:i/>
          <w:iCs/>
          <w:color w:val="000000"/>
        </w:rPr>
        <w:t>D</w:t>
      </w:r>
      <w:r>
        <w:rPr>
          <w:color w:val="000000"/>
        </w:rPr>
        <w:t xml:space="preserve"> score.</w:t>
      </w:r>
    </w:p>
    <w:p w14:paraId="33BFC66E">
      <w:pPr>
        <w:spacing w:line="480" w:lineRule="auto"/>
        <w:ind w:firstLine="90"/>
      </w:pPr>
      <w:r>
        <w:rPr>
          <w:b/>
        </w:rPr>
        <w:t xml:space="preserve">Replication Result. </w:t>
      </w:r>
      <w:r>
        <w:t xml:space="preserve">The replication included 372 participants in the analytic sample to reach the requirements for Stage 1 data collection. An independent samples </w:t>
      </w:r>
      <w:r>
        <w:rPr>
          <w:i/>
          <w:iCs/>
        </w:rPr>
        <w:t>t</w:t>
      </w:r>
      <w:r>
        <w:t xml:space="preserve">-test revealed that there is a significant difference in implicit ingroup preference between the good-focal MC-IAT </w:t>
      </w:r>
      <w:r>
        <w:rPr>
          <w:i/>
          <w:iCs/>
        </w:rPr>
        <w:t>D</w:t>
      </w:r>
      <w:r>
        <w:t xml:space="preserve"> score (</w:t>
      </w:r>
      <w:r>
        <w:rPr>
          <w:i/>
          <w:iCs/>
        </w:rPr>
        <w:t>M</w:t>
      </w:r>
      <w:r>
        <w:t xml:space="preserve"> = -0.25, </w:t>
      </w:r>
      <w:r>
        <w:rPr>
          <w:i/>
          <w:iCs/>
        </w:rPr>
        <w:t>SD</w:t>
      </w:r>
      <w:r>
        <w:t xml:space="preserve"> = 0.47) and bad-focal MC-IATs </w:t>
      </w:r>
      <w:r>
        <w:rPr>
          <w:i/>
          <w:iCs/>
        </w:rPr>
        <w:t>D</w:t>
      </w:r>
      <w:r>
        <w:t xml:space="preserve"> score (</w:t>
      </w:r>
      <w:r>
        <w:rPr>
          <w:i/>
          <w:iCs/>
        </w:rPr>
        <w:t>M</w:t>
      </w:r>
      <w:r>
        <w:t xml:space="preserve"> = 0.01, </w:t>
      </w:r>
      <w:r>
        <w:rPr>
          <w:i/>
          <w:iCs/>
        </w:rPr>
        <w:t>SD</w:t>
      </w:r>
      <w:r>
        <w:t xml:space="preserve"> = 0.56), </w:t>
      </w:r>
      <w:r>
        <w:rPr>
          <w:i/>
        </w:rPr>
        <w:t>t</w:t>
      </w:r>
      <w:r>
        <w:t xml:space="preserve"> (370) = 4.97,</w:t>
      </w:r>
      <w:r>
        <w:rPr>
          <w:i/>
        </w:rPr>
        <w:t xml:space="preserve"> p</w:t>
      </w:r>
      <w:r>
        <w:t xml:space="preserve"> = .0000010255, </w:t>
      </w:r>
      <w:r>
        <w:rPr>
          <w:i/>
          <w:iCs/>
        </w:rPr>
        <w:t xml:space="preserve">d </w:t>
      </w:r>
      <w:r>
        <w:t xml:space="preserve">= 0.51. Thus, the replication of the central claim was successful according to the SCORE criteria. The replication attempt was powered to test only the central claim, as such we only report the results of the other statistical tests and do not interpret them. </w:t>
      </w:r>
    </w:p>
    <w:p w14:paraId="20E1D0D9">
      <w:pPr>
        <w:spacing w:line="480" w:lineRule="auto"/>
        <w:ind w:firstLine="90"/>
        <w:rPr>
          <w:b/>
        </w:rPr>
      </w:pPr>
      <w:r>
        <w:tab/>
      </w:r>
      <w:r>
        <w:t xml:space="preserve">Specifically, we computed one-sample </w:t>
      </w:r>
      <w:r>
        <w:rPr>
          <w:i/>
          <w:iCs/>
        </w:rPr>
        <w:t>t</w:t>
      </w:r>
      <w:r>
        <w:t xml:space="preserve">-tests to assess whether implicit preferences differed from zero (i.e., no preference). In the bad-focal condition, implicit preference did not differ from zero, </w:t>
      </w:r>
      <w:r>
        <w:rPr>
          <w:i/>
        </w:rPr>
        <w:t>t</w:t>
      </w:r>
      <w:r>
        <w:t xml:space="preserve"> (175) = 0.28,</w:t>
      </w:r>
      <w:r>
        <w:rPr>
          <w:i/>
        </w:rPr>
        <w:t xml:space="preserve"> p</w:t>
      </w:r>
      <w:r>
        <w:t xml:space="preserve"> = .782, </w:t>
      </w:r>
      <w:r>
        <w:rPr>
          <w:i/>
          <w:iCs/>
        </w:rPr>
        <w:t xml:space="preserve">d = </w:t>
      </w:r>
      <w:r>
        <w:t xml:space="preserve">0.02. In contrast, implicit preference did differ from zero in the good-focal condition, </w:t>
      </w:r>
      <w:r>
        <w:rPr>
          <w:i/>
          <w:iCs/>
        </w:rPr>
        <w:t xml:space="preserve">t </w:t>
      </w:r>
      <w:r>
        <w:t>(195) = -7.56,</w:t>
      </w:r>
      <w:r>
        <w:rPr>
          <w:i/>
        </w:rPr>
        <w:t xml:space="preserve"> p</w:t>
      </w:r>
      <w:r>
        <w:t xml:space="preserve"> = .001 </w:t>
      </w:r>
      <w:r>
        <w:rPr>
          <w:i/>
          <w:iCs/>
        </w:rPr>
        <w:t xml:space="preserve">d </w:t>
      </w:r>
      <w:r>
        <w:t>= 0.53. To determine whether explicit beliefs (</w:t>
      </w:r>
      <w:r>
        <w:rPr>
          <w:i/>
          <w:iCs/>
        </w:rPr>
        <w:t>M</w:t>
      </w:r>
      <w:r>
        <w:t xml:space="preserve"> = 1.28, </w:t>
      </w:r>
      <w:r>
        <w:rPr>
          <w:i/>
          <w:iCs/>
        </w:rPr>
        <w:t>SD</w:t>
      </w:r>
      <w:r>
        <w:t xml:space="preserve"> = -1.23) significantly differed from zero we again ran a one-sample </w:t>
      </w:r>
      <w:r>
        <w:rPr>
          <w:i/>
          <w:iCs/>
        </w:rPr>
        <w:t>t-</w:t>
      </w:r>
      <w:r>
        <w:t xml:space="preserve">test, </w:t>
      </w:r>
      <w:r>
        <w:rPr>
          <w:i/>
        </w:rPr>
        <w:t>t</w:t>
      </w:r>
      <w:r>
        <w:t xml:space="preserve"> (370) = -20.10,</w:t>
      </w:r>
      <w:r>
        <w:rPr>
          <w:i/>
        </w:rPr>
        <w:t xml:space="preserve"> p</w:t>
      </w:r>
      <w:r>
        <w:t xml:space="preserve"> = .001 </w:t>
      </w:r>
      <w:r>
        <w:rPr>
          <w:i/>
          <w:iCs/>
        </w:rPr>
        <w:t xml:space="preserve">d </w:t>
      </w:r>
      <w:r>
        <w:t xml:space="preserve">= 1.04. Correlations between the explicit preference measures, bad-focal MC-IAT, and good-focal MC-IAT, as well as means and standard deviations for each measure are in the Appendix. Finally, the Fisher </w:t>
      </w:r>
      <w:r>
        <w:rPr>
          <w:i/>
          <w:iCs/>
        </w:rPr>
        <w:t>r</w:t>
      </w:r>
      <w:r>
        <w:t xml:space="preserve"> to </w:t>
      </w:r>
      <w:r>
        <w:rPr>
          <w:i/>
          <w:iCs/>
        </w:rPr>
        <w:t>z</w:t>
      </w:r>
      <w:r>
        <w:t xml:space="preserve"> transformation was conducted to test whether explicit preferences were more related to the good-focal MC-IAT or bad-focal MC-IAT. Using a two-tailed test of significance, the correlation between explicit preference and good-focal MC-IAT (</w:t>
      </w:r>
      <w:r>
        <w:rPr>
          <w:i/>
          <w:iCs/>
        </w:rPr>
        <w:t>r</w:t>
      </w:r>
      <w:r>
        <w:t xml:space="preserve"> = 0.13, </w:t>
      </w:r>
      <w:r>
        <w:rPr>
          <w:i/>
          <w:iCs/>
        </w:rPr>
        <w:t>p</w:t>
      </w:r>
      <w:r>
        <w:t xml:space="preserve"> = .06) did not differ from the correlation between explicit preference and bad-focal MC-IAT, (</w:t>
      </w:r>
      <w:r>
        <w:rPr>
          <w:i/>
          <w:iCs/>
        </w:rPr>
        <w:t>r</w:t>
      </w:r>
      <w:r>
        <w:t xml:space="preserve"> = 0.21, </w:t>
      </w:r>
      <w:r>
        <w:rPr>
          <w:i/>
          <w:iCs/>
        </w:rPr>
        <w:t>p</w:t>
      </w:r>
      <w:r>
        <w:t xml:space="preserve"> = .004), </w:t>
      </w:r>
      <w:r>
        <w:rPr>
          <w:i/>
          <w:iCs/>
        </w:rPr>
        <w:t xml:space="preserve">z </w:t>
      </w:r>
      <w:r>
        <w:t xml:space="preserve">= -0.79, </w:t>
      </w:r>
      <w:r>
        <w:rPr>
          <w:i/>
        </w:rPr>
        <w:t>p</w:t>
      </w:r>
      <w:r>
        <w:t xml:space="preserve"> = .429. </w:t>
      </w:r>
    </w:p>
    <w:p w14:paraId="284B4DD2">
      <w:pPr>
        <w:spacing w:line="480" w:lineRule="auto"/>
        <w:ind w:firstLine="90"/>
      </w:pPr>
    </w:p>
    <w:p w14:paraId="66B5539D">
      <w:pPr>
        <w:spacing w:line="480" w:lineRule="auto"/>
        <w:ind w:firstLine="90"/>
      </w:pPr>
    </w:p>
    <w:p w14:paraId="50D3E54F">
      <w:pPr>
        <w:spacing w:line="480" w:lineRule="auto"/>
        <w:ind w:firstLine="90"/>
      </w:pPr>
    </w:p>
    <w:p w14:paraId="5F8692D8">
      <w:pPr>
        <w:spacing w:line="480" w:lineRule="auto"/>
        <w:ind w:firstLine="90"/>
      </w:pPr>
    </w:p>
    <w:p w14:paraId="084D0680">
      <w:pPr>
        <w:spacing w:line="480" w:lineRule="auto"/>
        <w:ind w:firstLine="90"/>
      </w:pPr>
    </w:p>
    <w:p w14:paraId="6E7889D5">
      <w:r>
        <w:br w:type="page"/>
      </w:r>
    </w:p>
    <w:p w14:paraId="53CC4164">
      <w:pPr>
        <w:spacing w:line="480" w:lineRule="auto"/>
        <w:ind w:firstLine="90"/>
      </w:pPr>
    </w:p>
    <w:p w14:paraId="00000023">
      <w:pPr>
        <w:spacing w:line="480" w:lineRule="auto"/>
        <w:ind w:firstLine="90"/>
        <w:jc w:val="center"/>
        <w:rPr>
          <w:b/>
        </w:rPr>
      </w:pPr>
      <w:r>
        <w:rPr>
          <w:b/>
        </w:rPr>
        <w:t>Methods &amp; Materials</w:t>
      </w:r>
    </w:p>
    <w:p w14:paraId="00000024">
      <w:pPr>
        <w:spacing w:line="480" w:lineRule="auto"/>
        <w:ind w:firstLine="90"/>
      </w:pPr>
      <w:r>
        <w:t>The following materials are publicly available on the OSF site:</w:t>
      </w:r>
    </w:p>
    <w:p w14:paraId="2DDA4630">
      <w:pPr>
        <w:numPr>
          <w:ilvl w:val="0"/>
          <w:numId w:val="1"/>
        </w:numPr>
        <w:shd w:val="clear" w:color="auto" w:fill="FFFFFF"/>
        <w:spacing w:before="280" w:line="480" w:lineRule="auto"/>
        <w:rPr>
          <w:color w:val="201F1E"/>
        </w:rPr>
      </w:pPr>
      <w:r>
        <w:rPr>
          <w:color w:val="201F1E"/>
        </w:rPr>
        <w:t>A</w:t>
      </w:r>
      <w:r>
        <w:rPr>
          <w:b/>
          <w:bCs/>
          <w:color w:val="201F1E"/>
        </w:rPr>
        <w:t xml:space="preserve"> materials</w:t>
      </w:r>
      <w:r>
        <w:rPr>
          <w:color w:val="201F1E"/>
        </w:rPr>
        <w:t xml:space="preserve"> file that describes the components of the survey, with a link to a copy of the Project Implicit coding, provided as a WORD document and a PDF file. Filenames: </w:t>
      </w:r>
    </w:p>
    <w:p w14:paraId="13665EF9">
      <w:pPr>
        <w:numPr>
          <w:ilvl w:val="1"/>
          <w:numId w:val="1"/>
        </w:numPr>
        <w:shd w:val="clear" w:color="auto" w:fill="FFFFFF"/>
        <w:spacing w:line="480" w:lineRule="auto"/>
        <w:rPr>
          <w:color w:val="201F1E"/>
        </w:rPr>
      </w:pPr>
      <w:r>
        <w:rPr>
          <w:color w:val="201F1E"/>
        </w:rPr>
        <w:t xml:space="preserve">SCORE-Axt_JournExpSocPsych_2018_zK2 - Colvin_Smith- m5g9-materials.docx </w:t>
      </w:r>
    </w:p>
    <w:p w14:paraId="00000025">
      <w:pPr>
        <w:numPr>
          <w:ilvl w:val="1"/>
          <w:numId w:val="1"/>
        </w:numPr>
        <w:shd w:val="clear" w:color="auto" w:fill="FFFFFF"/>
        <w:spacing w:line="480" w:lineRule="auto"/>
        <w:rPr>
          <w:color w:val="201F1E"/>
        </w:rPr>
      </w:pPr>
      <w:r>
        <w:rPr>
          <w:color w:val="201F1E"/>
        </w:rPr>
        <w:t>SCORE-Axt_JournExpSocPsych_2018_zK2 - Colvin_Smith- m5g9-materials.pdf</w:t>
      </w:r>
    </w:p>
    <w:p w14:paraId="425A848C">
      <w:pPr>
        <w:numPr>
          <w:ilvl w:val="0"/>
          <w:numId w:val="1"/>
        </w:numPr>
        <w:shd w:val="clear" w:color="auto" w:fill="FFFFFF"/>
        <w:spacing w:line="480" w:lineRule="auto"/>
        <w:rPr>
          <w:color w:val="201F1E"/>
        </w:rPr>
      </w:pPr>
      <w:r>
        <w:rPr>
          <w:color w:val="201F1E"/>
        </w:rPr>
        <w:t xml:space="preserve">The </w:t>
      </w:r>
      <w:r>
        <w:rPr>
          <w:b/>
          <w:bCs/>
          <w:color w:val="201F1E"/>
        </w:rPr>
        <w:t>raw data</w:t>
      </w:r>
      <w:r>
        <w:rPr>
          <w:color w:val="201F1E"/>
        </w:rPr>
        <w:t xml:space="preserve"> files downloaded from Project Implicit are provided in two folders. One folder contains the .txt version of all the raw data files, and the other folder contains the .csv version of all the raw data files. Folder names: </w:t>
      </w:r>
    </w:p>
    <w:p w14:paraId="6555425A">
      <w:pPr>
        <w:numPr>
          <w:ilvl w:val="1"/>
          <w:numId w:val="1"/>
        </w:numPr>
        <w:shd w:val="clear" w:color="auto" w:fill="FFFFFF"/>
        <w:spacing w:line="480" w:lineRule="auto"/>
        <w:rPr>
          <w:color w:val="201F1E"/>
        </w:rPr>
      </w:pPr>
      <w:r>
        <w:rPr>
          <w:color w:val="201F1E"/>
        </w:rPr>
        <w:t xml:space="preserve">SCORE-Axt_JournExpSocPsych_2018_zK2 - Colvin_Smith- m5g9- RAW DATA.csv </w:t>
      </w:r>
    </w:p>
    <w:p w14:paraId="00000026">
      <w:pPr>
        <w:numPr>
          <w:ilvl w:val="1"/>
          <w:numId w:val="1"/>
        </w:numPr>
        <w:shd w:val="clear" w:color="auto" w:fill="FFFFFF"/>
        <w:spacing w:line="480" w:lineRule="auto"/>
        <w:rPr>
          <w:color w:val="201F1E"/>
        </w:rPr>
      </w:pPr>
      <w:r>
        <w:rPr>
          <w:color w:val="201F1E"/>
        </w:rPr>
        <w:t>SCORE-Axt_JournExpSocPsych_2018_zK2 - Colvin_Smith- m5g9-RAW DATA.txt</w:t>
      </w:r>
    </w:p>
    <w:p w14:paraId="693A8390">
      <w:pPr>
        <w:numPr>
          <w:ilvl w:val="0"/>
          <w:numId w:val="1"/>
        </w:numPr>
        <w:shd w:val="clear" w:color="auto" w:fill="FFFFFF"/>
        <w:spacing w:line="480" w:lineRule="auto"/>
        <w:rPr>
          <w:color w:val="201F1E"/>
        </w:rPr>
      </w:pPr>
      <w:r>
        <w:rPr>
          <w:color w:val="201F1E"/>
        </w:rPr>
        <w:t xml:space="preserve">The </w:t>
      </w:r>
      <w:r>
        <w:rPr>
          <w:b/>
          <w:bCs/>
          <w:color w:val="201F1E"/>
        </w:rPr>
        <w:t>analytic data</w:t>
      </w:r>
      <w:r>
        <w:rPr>
          <w:color w:val="201F1E"/>
        </w:rPr>
        <w:t xml:space="preserve"> file saved as a .csv file and as an .sav file. Filenames:</w:t>
      </w:r>
    </w:p>
    <w:p w14:paraId="2356A669">
      <w:pPr>
        <w:numPr>
          <w:ilvl w:val="1"/>
          <w:numId w:val="1"/>
        </w:numPr>
        <w:shd w:val="clear" w:color="auto" w:fill="FFFFFF"/>
        <w:spacing w:line="480" w:lineRule="auto"/>
        <w:rPr>
          <w:color w:val="201F1E"/>
        </w:rPr>
      </w:pPr>
      <w:r>
        <w:rPr>
          <w:color w:val="201F1E"/>
        </w:rPr>
        <w:t xml:space="preserve">SCORE-Axt_JournExpSocPsych_2018_zK2 - Colvin_Smith- m5g9-analytic dataset.csv </w:t>
      </w:r>
    </w:p>
    <w:p w14:paraId="00000027">
      <w:pPr>
        <w:numPr>
          <w:ilvl w:val="1"/>
          <w:numId w:val="1"/>
        </w:numPr>
        <w:shd w:val="clear" w:color="auto" w:fill="FFFFFF"/>
        <w:spacing w:line="480" w:lineRule="auto"/>
        <w:rPr>
          <w:color w:val="201F1E"/>
        </w:rPr>
      </w:pPr>
      <w:r>
        <w:rPr>
          <w:color w:val="201F1E"/>
        </w:rPr>
        <w:t>SCORE-Axt_JournExpSocPsych_2018_zK2 - Colvin_Smith- m5g9-analytic dataset.sas</w:t>
      </w:r>
    </w:p>
    <w:p w14:paraId="71425C74">
      <w:pPr>
        <w:numPr>
          <w:ilvl w:val="0"/>
          <w:numId w:val="1"/>
        </w:numPr>
        <w:shd w:val="clear" w:color="auto" w:fill="FFFFFF"/>
        <w:spacing w:line="480" w:lineRule="auto"/>
        <w:rPr>
          <w:color w:val="201F1E"/>
        </w:rPr>
      </w:pPr>
      <w:r>
        <w:rPr>
          <w:color w:val="201F1E"/>
        </w:rPr>
        <w:t xml:space="preserve">A </w:t>
      </w:r>
      <w:r>
        <w:rPr>
          <w:b/>
          <w:bCs/>
          <w:color w:val="201F1E"/>
        </w:rPr>
        <w:t>data dictionary</w:t>
      </w:r>
      <w:r>
        <w:rPr>
          <w:color w:val="201F1E"/>
        </w:rPr>
        <w:t xml:space="preserve"> for every variable in the analytic dataset, provided as a pdf file. Filename: </w:t>
      </w:r>
    </w:p>
    <w:p w14:paraId="00000028">
      <w:pPr>
        <w:numPr>
          <w:ilvl w:val="1"/>
          <w:numId w:val="1"/>
        </w:numPr>
        <w:shd w:val="clear" w:color="auto" w:fill="FFFFFF"/>
        <w:spacing w:line="480" w:lineRule="auto"/>
        <w:rPr>
          <w:color w:val="201F1E"/>
        </w:rPr>
      </w:pPr>
      <w:r>
        <w:rPr>
          <w:color w:val="201F1E"/>
        </w:rPr>
        <w:t>SCORE-Axt_JournExpSocPsych_2018_zK2 - Colvin_Smith- m5g9-data dictionary for analytic dataset.pdf</w:t>
      </w:r>
    </w:p>
    <w:p w14:paraId="239ED380">
      <w:pPr>
        <w:numPr>
          <w:ilvl w:val="0"/>
          <w:numId w:val="1"/>
        </w:numPr>
        <w:shd w:val="clear" w:color="auto" w:fill="FFFFFF"/>
        <w:spacing w:line="480" w:lineRule="auto"/>
        <w:rPr>
          <w:color w:val="201F1E"/>
        </w:rPr>
      </w:pPr>
      <w:r>
        <w:rPr>
          <w:color w:val="201F1E"/>
        </w:rPr>
        <w:t xml:space="preserve">The </w:t>
      </w:r>
      <w:r>
        <w:rPr>
          <w:b/>
          <w:bCs/>
          <w:color w:val="201F1E"/>
        </w:rPr>
        <w:t>data analysis script,</w:t>
      </w:r>
      <w:r>
        <w:rPr>
          <w:color w:val="201F1E"/>
        </w:rPr>
        <w:t xml:space="preserve"> provided as a WORD doc. This script transforms the raw data into the analysis data set and executes the analyses to get to the final results. Filename:</w:t>
      </w:r>
    </w:p>
    <w:p w14:paraId="4F27A010">
      <w:pPr>
        <w:numPr>
          <w:ilvl w:val="1"/>
          <w:numId w:val="1"/>
        </w:numPr>
        <w:shd w:val="clear" w:color="auto" w:fill="FFFFFF"/>
        <w:spacing w:line="480" w:lineRule="auto"/>
        <w:rPr>
          <w:color w:val="201F1E"/>
        </w:rPr>
      </w:pPr>
      <w:r>
        <w:rPr>
          <w:color w:val="201F1E"/>
        </w:rPr>
        <w:t xml:space="preserve">SCORE-Axt_JournExpSocPsych_2018_zK2 - Colvin_Smith- m5g9-script for producing key hypothesis test from raw data.docx </w:t>
      </w:r>
    </w:p>
    <w:p w14:paraId="74868466">
      <w:pPr>
        <w:numPr>
          <w:ilvl w:val="0"/>
          <w:numId w:val="1"/>
        </w:numPr>
        <w:shd w:val="clear" w:color="auto" w:fill="FFFFFF"/>
        <w:spacing w:line="480" w:lineRule="auto"/>
        <w:rPr>
          <w:color w:val="201F1E"/>
        </w:rPr>
      </w:pPr>
      <w:r>
        <w:rPr>
          <w:color w:val="201F1E"/>
        </w:rPr>
        <w:t xml:space="preserve">The </w:t>
      </w:r>
      <w:r>
        <w:rPr>
          <w:b/>
          <w:bCs/>
          <w:color w:val="201F1E"/>
        </w:rPr>
        <w:t xml:space="preserve">output </w:t>
      </w:r>
      <w:r>
        <w:rPr>
          <w:color w:val="201F1E"/>
        </w:rPr>
        <w:t>from the SAS analyses, available in a pdf file. Filename:</w:t>
      </w:r>
    </w:p>
    <w:p w14:paraId="55F0ACEF">
      <w:pPr>
        <w:numPr>
          <w:ilvl w:val="1"/>
          <w:numId w:val="1"/>
        </w:numPr>
        <w:shd w:val="clear" w:color="auto" w:fill="FFFFFF"/>
        <w:spacing w:line="480" w:lineRule="auto"/>
        <w:rPr>
          <w:color w:val="201F1E"/>
        </w:rPr>
      </w:pPr>
      <w:r>
        <w:rPr>
          <w:color w:val="201F1E"/>
        </w:rPr>
        <w:t>SCORE - Axt_JournExpSocPsych_2018_zk2 - Colvin_Smith-m5g9-Output.pdf</w:t>
      </w:r>
    </w:p>
    <w:p w14:paraId="37F061E3">
      <w:pPr>
        <w:shd w:val="clear" w:color="auto" w:fill="FFFFFF"/>
        <w:spacing w:line="480" w:lineRule="auto"/>
        <w:rPr>
          <w:color w:val="201F1E"/>
        </w:rPr>
      </w:pPr>
      <w:r>
        <w:rPr>
          <w:color w:val="201F1E"/>
        </w:rPr>
        <w:t>The entire data transformation and analysis can be replicated by running the data analysis script, pasted into the SAS Syntax window (SCORE-Axt_JournExpSocPsych_2018_zK2 - Colvin_Smith- m5g9-script for producing key hypothesis test from raw data.docx) on the raw data files (SCORE-Axt_JournExpSocPsych_2018_zK2 - Colvin_Smith- m5g9-RAW DATA.txt).</w:t>
      </w:r>
    </w:p>
    <w:p w14:paraId="00000038">
      <w:pPr>
        <w:shd w:val="clear" w:color="auto" w:fill="FFFFFF"/>
        <w:spacing w:line="480" w:lineRule="auto"/>
        <w:jc w:val="center"/>
        <w:rPr>
          <w:b/>
        </w:rPr>
      </w:pPr>
      <w:r>
        <w:rPr>
          <w:b/>
        </w:rPr>
        <w:t>Deviations from the Preregistration</w:t>
      </w:r>
    </w:p>
    <w:p w14:paraId="20E6B589">
      <w:pPr>
        <w:shd w:val="clear" w:color="auto" w:fill="FFFFFF"/>
        <w:spacing w:line="480" w:lineRule="auto"/>
        <w:rPr>
          <w:color w:val="201F1E"/>
        </w:rPr>
      </w:pPr>
      <w:r>
        <w:rPr>
          <w:color w:val="201F1E"/>
        </w:rPr>
        <w:tab/>
      </w:r>
      <w:r>
        <w:rPr>
          <w:color w:val="201F1E"/>
        </w:rPr>
        <w:t xml:space="preserve">In the preregistration we specify that only Black U.S. citizens would be allowed to take the study. Upon deployment of the study, a member of the Scientific Advisory Committee for Project Implicit expressed concerns that limiting the study to only Black participants would negatively impact the collection of Black participants for other studies in the research pool, therefore the study requirements were adjusted to allow U.S. citizens of any race to take the study. Importantly, only data from Black participants is analyzed for the purposes of this replication. </w:t>
      </w:r>
    </w:p>
    <w:p w14:paraId="56D04057">
      <w:pPr>
        <w:shd w:val="clear" w:color="auto" w:fill="FFFFFF"/>
        <w:spacing w:line="480" w:lineRule="auto"/>
        <w:rPr>
          <w:color w:val="201F1E"/>
        </w:rPr>
      </w:pPr>
    </w:p>
    <w:p w14:paraId="0000003E">
      <w:pPr>
        <w:spacing w:line="360" w:lineRule="auto"/>
      </w:pPr>
    </w:p>
    <w:p w14:paraId="3739DD3F">
      <w:pPr>
        <w:spacing w:line="480" w:lineRule="auto"/>
        <w:ind w:left="720" w:hanging="720"/>
        <w:rPr>
          <w:color w:val="333333"/>
          <w:shd w:val="clear" w:color="auto" w:fill="FFFFFF"/>
        </w:rPr>
      </w:pPr>
    </w:p>
    <w:p w14:paraId="14FD65BA">
      <w:pPr>
        <w:rPr>
          <w:color w:val="333333"/>
          <w:shd w:val="clear" w:color="auto" w:fill="FFFFFF"/>
        </w:rPr>
      </w:pPr>
      <w:r>
        <w:rPr>
          <w:color w:val="333333"/>
          <w:shd w:val="clear" w:color="auto" w:fill="FFFFFF"/>
        </w:rPr>
        <w:br w:type="page"/>
      </w:r>
    </w:p>
    <w:p w14:paraId="4A64AA24">
      <w:pPr>
        <w:spacing w:line="480" w:lineRule="auto"/>
        <w:ind w:left="720" w:hanging="720"/>
        <w:jc w:val="center"/>
        <w:rPr>
          <w:b/>
          <w:bCs/>
          <w:color w:val="333333"/>
          <w:shd w:val="clear" w:color="auto" w:fill="FFFFFF"/>
        </w:rPr>
      </w:pPr>
      <w:r>
        <w:rPr>
          <w:b/>
          <w:bCs/>
          <w:color w:val="333333"/>
          <w:shd w:val="clear" w:color="auto" w:fill="FFFFFF"/>
        </w:rPr>
        <w:t>References</w:t>
      </w:r>
    </w:p>
    <w:p w14:paraId="0E918209">
      <w:pPr>
        <w:spacing w:line="480" w:lineRule="auto"/>
        <w:ind w:left="720" w:hanging="720"/>
        <w:rPr>
          <w:color w:val="000000" w:themeColor="text1"/>
          <w14:textFill>
            <w14:solidFill>
              <w14:schemeClr w14:val="tx1"/>
            </w14:solidFill>
          </w14:textFill>
        </w:rPr>
      </w:pPr>
      <w:r>
        <w:rPr>
          <w:color w:val="000000" w:themeColor="text1"/>
          <w:shd w:val="clear" w:color="auto" w:fill="FFFFFF"/>
          <w14:textFill>
            <w14:solidFill>
              <w14:schemeClr w14:val="tx1"/>
            </w14:solidFill>
          </w14:textFill>
        </w:rPr>
        <w:t>Axt, J. R., Moran, T., &amp; Bar-Anan, Y. (2018). Simultaneous ingroup and outgroup favoritism in implicit social cognition. </w:t>
      </w:r>
      <w:r>
        <w:rPr>
          <w:i/>
          <w:iCs/>
          <w:color w:val="000000" w:themeColor="text1"/>
          <w14:textFill>
            <w14:solidFill>
              <w14:schemeClr w14:val="tx1"/>
            </w14:solidFill>
          </w14:textFill>
        </w:rPr>
        <w:t>Journal of Experimental Social Psychology, 79,</w:t>
      </w:r>
      <w:r>
        <w:rPr>
          <w:color w:val="000000" w:themeColor="text1"/>
          <w:shd w:val="clear" w:color="auto" w:fill="FFFFFF"/>
          <w14:textFill>
            <w14:solidFill>
              <w14:schemeClr w14:val="tx1"/>
            </w14:solidFill>
          </w14:textFill>
        </w:rPr>
        <w:t> 275–289. </w:t>
      </w:r>
      <w:r>
        <w:fldChar w:fldCharType="begin"/>
      </w:r>
      <w:r>
        <w:instrText xml:space="preserve"> HYPERLINK "https://psycnet.apa.org/doi/10.1016/j.jesp.2018.08.007" \t "_blank" </w:instrText>
      </w:r>
      <w:r>
        <w:fldChar w:fldCharType="separate"/>
      </w:r>
      <w:r>
        <w:rPr>
          <w:color w:val="000000" w:themeColor="text1"/>
          <w:u w:val="single"/>
          <w14:textFill>
            <w14:solidFill>
              <w14:schemeClr w14:val="tx1"/>
            </w14:solidFill>
          </w14:textFill>
        </w:rPr>
        <w:t>https://doi.org/10.1016/j.jesp.2018.08.007</w:t>
      </w:r>
      <w:r>
        <w:rPr>
          <w:color w:val="000000" w:themeColor="text1"/>
          <w:u w:val="single"/>
          <w14:textFill>
            <w14:solidFill>
              <w14:schemeClr w14:val="tx1"/>
            </w14:solidFill>
          </w14:textFill>
        </w:rPr>
        <w:fldChar w:fldCharType="end"/>
      </w:r>
    </w:p>
    <w:p w14:paraId="5F75E85E">
      <w:pPr>
        <w:spacing w:line="480" w:lineRule="auto"/>
        <w:ind w:left="720" w:hanging="720"/>
        <w:rPr>
          <w:color w:val="000000" w:themeColor="text1"/>
          <w14:textFill>
            <w14:solidFill>
              <w14:schemeClr w14:val="tx1"/>
            </w14:solidFill>
          </w14:textFill>
        </w:rPr>
      </w:pPr>
      <w:r>
        <w:rPr>
          <w:color w:val="000000" w:themeColor="text1"/>
          <w14:textFill>
            <w14:solidFill>
              <w14:schemeClr w14:val="tx1"/>
            </w14:solidFill>
          </w14:textFill>
        </w:rPr>
        <w:t xml:space="preserve">Nosek, B. A., Bar-Anan, Y., Sriram, N., Axt, J., &amp; Greenwald, A. G. (2014). Understanding and using the Brief Implicit Association Test: Recommended scoring procedures. </w:t>
      </w:r>
      <w:r>
        <w:rPr>
          <w:i/>
          <w:iCs/>
          <w:color w:val="000000" w:themeColor="text1"/>
          <w14:textFill>
            <w14:solidFill>
              <w14:schemeClr w14:val="tx1"/>
            </w14:solidFill>
          </w14:textFill>
        </w:rPr>
        <w:t>PLoS ONE</w:t>
      </w:r>
      <w:r>
        <w:rPr>
          <w:color w:val="000000" w:themeColor="text1"/>
          <w14:textFill>
            <w14:solidFill>
              <w14:schemeClr w14:val="tx1"/>
            </w14:solidFill>
          </w14:textFill>
        </w:rPr>
        <w:t xml:space="preserve">, </w:t>
      </w:r>
      <w:r>
        <w:rPr>
          <w:i/>
          <w:iCs/>
          <w:color w:val="000000" w:themeColor="text1"/>
          <w14:textFill>
            <w14:solidFill>
              <w14:schemeClr w14:val="tx1"/>
            </w14:solidFill>
          </w14:textFill>
        </w:rPr>
        <w:t>9</w:t>
      </w:r>
      <w:r>
        <w:rPr>
          <w:color w:val="000000" w:themeColor="text1"/>
          <w14:textFill>
            <w14:solidFill>
              <w14:schemeClr w14:val="tx1"/>
            </w14:solidFill>
          </w14:textFill>
        </w:rPr>
        <w:t xml:space="preserve">, </w:t>
      </w:r>
      <w:r>
        <w:t>e110938</w:t>
      </w:r>
      <w:r>
        <w:rPr>
          <w:color w:val="000000" w:themeColor="text1"/>
          <w14:textFill>
            <w14:solidFill>
              <w14:schemeClr w14:val="tx1"/>
            </w14:solidFill>
          </w14:textFill>
        </w:rPr>
        <w:t>. https://doi.org/10.1371/journal.pone.0110938</w:t>
      </w:r>
    </w:p>
    <w:p w14:paraId="0F7E067A">
      <w:pPr>
        <w:spacing w:line="360" w:lineRule="auto"/>
      </w:pPr>
    </w:p>
    <w:p w14:paraId="3D3786F9">
      <w:pPr>
        <w:spacing w:line="360" w:lineRule="auto"/>
      </w:pPr>
    </w:p>
    <w:p w14:paraId="741CCF6C">
      <w:pPr>
        <w:spacing w:line="360" w:lineRule="auto"/>
      </w:pPr>
    </w:p>
    <w:p w14:paraId="26631FA2">
      <w:pPr>
        <w:spacing w:line="360" w:lineRule="auto"/>
      </w:pPr>
    </w:p>
    <w:p w14:paraId="67A26DF4">
      <w:pPr>
        <w:spacing w:line="360" w:lineRule="auto"/>
      </w:pPr>
    </w:p>
    <w:p w14:paraId="6F8CE34F">
      <w:pPr>
        <w:spacing w:line="360" w:lineRule="auto"/>
      </w:pPr>
    </w:p>
    <w:p w14:paraId="155FF46F">
      <w:pPr>
        <w:spacing w:line="360" w:lineRule="auto"/>
      </w:pPr>
    </w:p>
    <w:p w14:paraId="7D3F045F">
      <w:pPr>
        <w:spacing w:line="360" w:lineRule="auto"/>
      </w:pPr>
    </w:p>
    <w:p w14:paraId="55F61E93">
      <w:pPr>
        <w:spacing w:line="360" w:lineRule="auto"/>
      </w:pPr>
    </w:p>
    <w:p w14:paraId="3C2EBD4B">
      <w:pPr>
        <w:spacing w:line="360" w:lineRule="auto"/>
      </w:pPr>
    </w:p>
    <w:p w14:paraId="4C841182">
      <w:pPr>
        <w:spacing w:line="360" w:lineRule="auto"/>
      </w:pPr>
    </w:p>
    <w:p w14:paraId="05099F18">
      <w:pPr>
        <w:spacing w:line="360" w:lineRule="auto"/>
      </w:pPr>
    </w:p>
    <w:p w14:paraId="0B3E8E14">
      <w:pPr>
        <w:spacing w:line="360" w:lineRule="auto"/>
      </w:pPr>
    </w:p>
    <w:p w14:paraId="38FD358B">
      <w:pPr>
        <w:spacing w:line="360" w:lineRule="auto"/>
      </w:pPr>
    </w:p>
    <w:p w14:paraId="3FE44785">
      <w:pPr>
        <w:spacing w:line="360" w:lineRule="auto"/>
      </w:pPr>
    </w:p>
    <w:p w14:paraId="7CE27343">
      <w:pPr>
        <w:spacing w:line="360" w:lineRule="auto"/>
      </w:pPr>
    </w:p>
    <w:p w14:paraId="69675F61">
      <w:pPr>
        <w:spacing w:line="360" w:lineRule="auto"/>
      </w:pPr>
    </w:p>
    <w:p w14:paraId="7C2EDA56">
      <w:pPr>
        <w:spacing w:line="360" w:lineRule="auto"/>
      </w:pPr>
    </w:p>
    <w:p w14:paraId="06940361">
      <w:pPr>
        <w:spacing w:line="360" w:lineRule="auto"/>
      </w:pPr>
    </w:p>
    <w:p w14:paraId="2C5F32DA">
      <w:r>
        <w:br w:type="page"/>
      </w:r>
    </w:p>
    <w:p w14:paraId="2487ABCF">
      <w:pPr>
        <w:spacing w:line="360" w:lineRule="auto"/>
        <w:jc w:val="center"/>
        <w:rPr>
          <w:b/>
          <w:bCs/>
        </w:rPr>
      </w:pPr>
      <w:r>
        <w:rPr>
          <w:b/>
          <w:bCs/>
        </w:rPr>
        <w:t>Appendix</w:t>
      </w:r>
    </w:p>
    <w:p w14:paraId="1B0D9C79">
      <w:pPr>
        <w:spacing w:line="360" w:lineRule="auto"/>
        <w:jc w:val="center"/>
        <w:rPr>
          <w:b/>
          <w:bCs/>
        </w:rPr>
      </w:pPr>
    </w:p>
    <w:p w14:paraId="1B96F414">
      <w:pPr>
        <w:spacing w:line="480" w:lineRule="auto"/>
        <w:ind w:left="90"/>
        <w:rPr>
          <w:b/>
          <w:bCs/>
        </w:rPr>
      </w:pPr>
      <w:r>
        <w:rPr>
          <w:b/>
          <w:bCs/>
        </w:rPr>
        <w:t>Table 1</w:t>
      </w:r>
    </w:p>
    <w:p w14:paraId="42DCD35B">
      <w:pPr>
        <w:rPr>
          <w:rFonts w:eastAsia="Calibri"/>
          <w:i/>
          <w:iCs/>
        </w:rPr>
      </w:pPr>
      <w:r>
        <w:rPr>
          <w:i/>
          <w:iCs/>
        </w:rPr>
        <w:t>Correlation matrix for implicit and explicit attitudes</w:t>
      </w:r>
    </w:p>
    <w:tbl>
      <w:tblPr>
        <w:tblStyle w:val="18"/>
        <w:tblpPr w:leftFromText="180" w:rightFromText="180" w:vertAnchor="page" w:horzAnchor="margin" w:tblpY="3179"/>
        <w:tblW w:w="10195" w:type="dxa"/>
        <w:tblInd w:w="0" w:type="dxa"/>
        <w:tblLayout w:type="fixed"/>
        <w:tblCellMar>
          <w:top w:w="0" w:type="dxa"/>
          <w:left w:w="0" w:type="dxa"/>
          <w:bottom w:w="0" w:type="dxa"/>
          <w:right w:w="0" w:type="dxa"/>
        </w:tblCellMar>
      </w:tblPr>
      <w:tblGrid>
        <w:gridCol w:w="5199"/>
        <w:gridCol w:w="1798"/>
        <w:gridCol w:w="1599"/>
        <w:gridCol w:w="1599"/>
      </w:tblGrid>
      <w:tr w14:paraId="35202988">
        <w:tblPrEx>
          <w:tblCellMar>
            <w:top w:w="0" w:type="dxa"/>
            <w:left w:w="0" w:type="dxa"/>
            <w:bottom w:w="0" w:type="dxa"/>
            <w:right w:w="0" w:type="dxa"/>
          </w:tblCellMar>
        </w:tblPrEx>
        <w:trPr>
          <w:trHeight w:val="319" w:hRule="atLeast"/>
        </w:trPr>
        <w:tc>
          <w:tcPr>
            <w:tcW w:w="5199" w:type="dxa"/>
            <w:tcBorders>
              <w:top w:val="single" w:color="000000" w:sz="8" w:space="0"/>
              <w:left w:val="nil"/>
              <w:bottom w:val="single" w:color="000000" w:sz="8" w:space="0"/>
            </w:tcBorders>
            <w:shd w:val="clear" w:color="auto" w:fill="auto"/>
            <w:tcMar>
              <w:top w:w="28" w:type="dxa"/>
              <w:left w:w="45" w:type="dxa"/>
              <w:bottom w:w="28" w:type="dxa"/>
              <w:right w:w="45" w:type="dxa"/>
            </w:tcMar>
          </w:tcPr>
          <w:p w14:paraId="73BD1BB3">
            <w:pPr>
              <w:spacing w:line="480" w:lineRule="auto"/>
            </w:pPr>
            <w:r>
              <w:t>Measure</w:t>
            </w:r>
          </w:p>
        </w:tc>
        <w:tc>
          <w:tcPr>
            <w:tcW w:w="1798" w:type="dxa"/>
            <w:tcBorders>
              <w:top w:val="single" w:color="000000" w:sz="8" w:space="0"/>
              <w:bottom w:val="single" w:color="000000" w:sz="8" w:space="0"/>
            </w:tcBorders>
            <w:shd w:val="clear" w:color="auto" w:fill="auto"/>
            <w:tcMar>
              <w:top w:w="28" w:type="dxa"/>
              <w:left w:w="45" w:type="dxa"/>
              <w:bottom w:w="28" w:type="dxa"/>
              <w:right w:w="45" w:type="dxa"/>
            </w:tcMar>
          </w:tcPr>
          <w:p w14:paraId="38DC8ADA">
            <w:pPr>
              <w:spacing w:line="480" w:lineRule="auto"/>
            </w:pPr>
            <w:r>
              <w:t>1</w:t>
            </w:r>
          </w:p>
        </w:tc>
        <w:tc>
          <w:tcPr>
            <w:tcW w:w="1599" w:type="dxa"/>
            <w:tcBorders>
              <w:top w:val="single" w:color="000000" w:sz="8" w:space="0"/>
              <w:bottom w:val="single" w:color="000000" w:sz="8" w:space="0"/>
            </w:tcBorders>
            <w:shd w:val="clear" w:color="auto" w:fill="auto"/>
            <w:tcMar>
              <w:top w:w="28" w:type="dxa"/>
              <w:left w:w="45" w:type="dxa"/>
              <w:bottom w:w="28" w:type="dxa"/>
              <w:right w:w="45" w:type="dxa"/>
            </w:tcMar>
          </w:tcPr>
          <w:p w14:paraId="7FC7AB87">
            <w:pPr>
              <w:spacing w:line="480" w:lineRule="auto"/>
            </w:pPr>
            <w:r>
              <w:t>2</w:t>
            </w:r>
          </w:p>
        </w:tc>
        <w:tc>
          <w:tcPr>
            <w:tcW w:w="1599" w:type="dxa"/>
            <w:tcBorders>
              <w:top w:val="single" w:color="000000" w:sz="8" w:space="0"/>
              <w:bottom w:val="single" w:color="000000" w:sz="8" w:space="0"/>
            </w:tcBorders>
            <w:shd w:val="clear" w:color="auto" w:fill="auto"/>
            <w:tcMar>
              <w:top w:w="28" w:type="dxa"/>
              <w:left w:w="45" w:type="dxa"/>
              <w:bottom w:w="28" w:type="dxa"/>
              <w:right w:w="45" w:type="dxa"/>
            </w:tcMar>
          </w:tcPr>
          <w:p w14:paraId="2A0C4E2F">
            <w:pPr>
              <w:spacing w:line="480" w:lineRule="auto"/>
            </w:pPr>
            <w:r>
              <w:t>3</w:t>
            </w:r>
          </w:p>
        </w:tc>
      </w:tr>
      <w:tr w14:paraId="0FD5B559">
        <w:tblPrEx>
          <w:tblCellMar>
            <w:top w:w="0" w:type="dxa"/>
            <w:left w:w="0" w:type="dxa"/>
            <w:bottom w:w="0" w:type="dxa"/>
            <w:right w:w="0" w:type="dxa"/>
          </w:tblCellMar>
        </w:tblPrEx>
        <w:trPr>
          <w:trHeight w:val="343" w:hRule="atLeast"/>
        </w:trPr>
        <w:tc>
          <w:tcPr>
            <w:tcW w:w="5199" w:type="dxa"/>
            <w:tcBorders>
              <w:top w:val="single" w:color="000000" w:sz="8" w:space="0"/>
              <w:left w:val="nil"/>
            </w:tcBorders>
            <w:shd w:val="clear" w:color="auto" w:fill="auto"/>
            <w:tcMar>
              <w:top w:w="28" w:type="dxa"/>
              <w:left w:w="45" w:type="dxa"/>
              <w:bottom w:w="28" w:type="dxa"/>
              <w:right w:w="45" w:type="dxa"/>
            </w:tcMar>
            <w:vAlign w:val="center"/>
          </w:tcPr>
          <w:p w14:paraId="2DE612AF">
            <w:pPr>
              <w:spacing w:line="480" w:lineRule="auto"/>
            </w:pPr>
            <w:r>
              <w:t>1.  Explicit beliefs</w:t>
            </w:r>
          </w:p>
        </w:tc>
        <w:tc>
          <w:tcPr>
            <w:tcW w:w="1798" w:type="dxa"/>
            <w:tcBorders>
              <w:top w:val="single" w:color="000000" w:sz="8" w:space="0"/>
            </w:tcBorders>
            <w:shd w:val="clear" w:color="auto" w:fill="auto"/>
            <w:tcMar>
              <w:top w:w="28" w:type="dxa"/>
              <w:left w:w="45" w:type="dxa"/>
              <w:bottom w:w="28" w:type="dxa"/>
              <w:right w:w="45" w:type="dxa"/>
            </w:tcMar>
          </w:tcPr>
          <w:p w14:paraId="6E6799F7">
            <w:pPr>
              <w:spacing w:line="480" w:lineRule="auto"/>
            </w:pPr>
            <w:r>
              <w:t>-</w:t>
            </w:r>
          </w:p>
        </w:tc>
        <w:tc>
          <w:tcPr>
            <w:tcW w:w="1599" w:type="dxa"/>
            <w:tcBorders>
              <w:top w:val="single" w:color="000000" w:sz="8" w:space="0"/>
            </w:tcBorders>
            <w:shd w:val="clear" w:color="auto" w:fill="auto"/>
            <w:tcMar>
              <w:top w:w="28" w:type="dxa"/>
              <w:left w:w="45" w:type="dxa"/>
              <w:bottom w:w="28" w:type="dxa"/>
              <w:right w:w="45" w:type="dxa"/>
            </w:tcMar>
          </w:tcPr>
          <w:p w14:paraId="178A8322">
            <w:pPr>
              <w:spacing w:line="480" w:lineRule="auto"/>
            </w:pPr>
            <w:r>
              <w:t> </w:t>
            </w:r>
          </w:p>
        </w:tc>
        <w:tc>
          <w:tcPr>
            <w:tcW w:w="1599" w:type="dxa"/>
            <w:tcBorders>
              <w:top w:val="single" w:color="000000" w:sz="8" w:space="0"/>
            </w:tcBorders>
            <w:shd w:val="clear" w:color="auto" w:fill="auto"/>
            <w:tcMar>
              <w:top w:w="28" w:type="dxa"/>
              <w:left w:w="45" w:type="dxa"/>
              <w:bottom w:w="28" w:type="dxa"/>
              <w:right w:w="45" w:type="dxa"/>
            </w:tcMar>
          </w:tcPr>
          <w:p w14:paraId="37D56021">
            <w:pPr>
              <w:spacing w:line="480" w:lineRule="auto"/>
            </w:pPr>
            <w:r>
              <w:t> </w:t>
            </w:r>
          </w:p>
        </w:tc>
      </w:tr>
      <w:tr w14:paraId="792EE963">
        <w:tblPrEx>
          <w:tblCellMar>
            <w:top w:w="0" w:type="dxa"/>
            <w:left w:w="0" w:type="dxa"/>
            <w:bottom w:w="0" w:type="dxa"/>
            <w:right w:w="0" w:type="dxa"/>
          </w:tblCellMar>
        </w:tblPrEx>
        <w:trPr>
          <w:trHeight w:val="432" w:hRule="atLeast"/>
        </w:trPr>
        <w:tc>
          <w:tcPr>
            <w:tcW w:w="5199" w:type="dxa"/>
            <w:tcBorders>
              <w:left w:val="nil"/>
            </w:tcBorders>
            <w:shd w:val="clear" w:color="auto" w:fill="auto"/>
            <w:tcMar>
              <w:top w:w="28" w:type="dxa"/>
              <w:left w:w="45" w:type="dxa"/>
              <w:bottom w:w="28" w:type="dxa"/>
              <w:right w:w="45" w:type="dxa"/>
            </w:tcMar>
            <w:vAlign w:val="center"/>
          </w:tcPr>
          <w:p w14:paraId="149AC544">
            <w:pPr>
              <w:spacing w:line="480" w:lineRule="auto"/>
            </w:pPr>
            <w:r>
              <w:t>2.  Good MC-IAT</w:t>
            </w:r>
          </w:p>
        </w:tc>
        <w:tc>
          <w:tcPr>
            <w:tcW w:w="1798" w:type="dxa"/>
            <w:shd w:val="clear" w:color="auto" w:fill="auto"/>
            <w:tcMar>
              <w:top w:w="28" w:type="dxa"/>
              <w:left w:w="45" w:type="dxa"/>
              <w:bottom w:w="28" w:type="dxa"/>
              <w:right w:w="45" w:type="dxa"/>
            </w:tcMar>
          </w:tcPr>
          <w:p w14:paraId="108E8272">
            <w:pPr>
              <w:spacing w:line="480" w:lineRule="auto"/>
            </w:pPr>
            <w:r>
              <w:t>.13</w:t>
            </w:r>
            <w:r>
              <w:rPr>
                <w:rFonts w:eastAsia="Calibri"/>
                <w:vertAlign w:val="superscript"/>
              </w:rPr>
              <w:t>+</w:t>
            </w:r>
          </w:p>
        </w:tc>
        <w:tc>
          <w:tcPr>
            <w:tcW w:w="1599" w:type="dxa"/>
            <w:shd w:val="clear" w:color="auto" w:fill="auto"/>
            <w:tcMar>
              <w:top w:w="28" w:type="dxa"/>
              <w:left w:w="45" w:type="dxa"/>
              <w:bottom w:w="28" w:type="dxa"/>
              <w:right w:w="45" w:type="dxa"/>
            </w:tcMar>
          </w:tcPr>
          <w:p w14:paraId="462F007E">
            <w:pPr>
              <w:spacing w:line="480" w:lineRule="auto"/>
            </w:pPr>
            <w:r>
              <w:t>-</w:t>
            </w:r>
          </w:p>
        </w:tc>
        <w:tc>
          <w:tcPr>
            <w:tcW w:w="1599" w:type="dxa"/>
            <w:shd w:val="clear" w:color="auto" w:fill="auto"/>
            <w:tcMar>
              <w:top w:w="28" w:type="dxa"/>
              <w:left w:w="45" w:type="dxa"/>
              <w:bottom w:w="28" w:type="dxa"/>
              <w:right w:w="45" w:type="dxa"/>
            </w:tcMar>
          </w:tcPr>
          <w:p w14:paraId="1432BAA4">
            <w:pPr>
              <w:spacing w:line="480" w:lineRule="auto"/>
            </w:pPr>
            <w:r>
              <w:t> </w:t>
            </w:r>
          </w:p>
        </w:tc>
      </w:tr>
      <w:tr w14:paraId="31BA2892">
        <w:tblPrEx>
          <w:tblCellMar>
            <w:top w:w="0" w:type="dxa"/>
            <w:left w:w="0" w:type="dxa"/>
            <w:bottom w:w="0" w:type="dxa"/>
            <w:right w:w="0" w:type="dxa"/>
          </w:tblCellMar>
        </w:tblPrEx>
        <w:trPr>
          <w:trHeight w:val="281" w:hRule="atLeast"/>
        </w:trPr>
        <w:tc>
          <w:tcPr>
            <w:tcW w:w="5199" w:type="dxa"/>
            <w:tcBorders>
              <w:left w:val="nil"/>
              <w:bottom w:val="single" w:color="auto" w:sz="4" w:space="0"/>
            </w:tcBorders>
            <w:shd w:val="clear" w:color="auto" w:fill="auto"/>
            <w:tcMar>
              <w:top w:w="28" w:type="dxa"/>
              <w:left w:w="45" w:type="dxa"/>
              <w:bottom w:w="28" w:type="dxa"/>
              <w:right w:w="45" w:type="dxa"/>
            </w:tcMar>
            <w:vAlign w:val="center"/>
          </w:tcPr>
          <w:p w14:paraId="17BC6391">
            <w:pPr>
              <w:spacing w:line="480" w:lineRule="auto"/>
            </w:pPr>
            <w:r>
              <w:t>3.  Bad MC-IAT</w:t>
            </w:r>
          </w:p>
        </w:tc>
        <w:tc>
          <w:tcPr>
            <w:tcW w:w="1798" w:type="dxa"/>
            <w:tcBorders>
              <w:bottom w:val="single" w:color="auto" w:sz="4" w:space="0"/>
            </w:tcBorders>
            <w:shd w:val="clear" w:color="auto" w:fill="auto"/>
            <w:tcMar>
              <w:top w:w="28" w:type="dxa"/>
              <w:left w:w="45" w:type="dxa"/>
              <w:bottom w:w="28" w:type="dxa"/>
              <w:right w:w="45" w:type="dxa"/>
            </w:tcMar>
          </w:tcPr>
          <w:p w14:paraId="31447B08">
            <w:pPr>
              <w:spacing w:line="480" w:lineRule="auto"/>
            </w:pPr>
            <w:r>
              <w:t>.21**</w:t>
            </w:r>
          </w:p>
        </w:tc>
        <w:tc>
          <w:tcPr>
            <w:tcW w:w="1599" w:type="dxa"/>
            <w:tcBorders>
              <w:bottom w:val="single" w:color="auto" w:sz="4" w:space="0"/>
            </w:tcBorders>
            <w:shd w:val="clear" w:color="auto" w:fill="auto"/>
            <w:tcMar>
              <w:top w:w="28" w:type="dxa"/>
              <w:left w:w="45" w:type="dxa"/>
              <w:bottom w:w="28" w:type="dxa"/>
              <w:right w:w="45" w:type="dxa"/>
            </w:tcMar>
          </w:tcPr>
          <w:p w14:paraId="2B30B514">
            <w:pPr>
              <w:spacing w:line="480" w:lineRule="auto"/>
            </w:pPr>
            <w:r>
              <w:t>-</w:t>
            </w:r>
          </w:p>
        </w:tc>
        <w:tc>
          <w:tcPr>
            <w:tcW w:w="1599" w:type="dxa"/>
            <w:tcBorders>
              <w:bottom w:val="single" w:color="auto" w:sz="4" w:space="0"/>
            </w:tcBorders>
            <w:shd w:val="clear" w:color="auto" w:fill="auto"/>
            <w:tcMar>
              <w:top w:w="28" w:type="dxa"/>
              <w:left w:w="45" w:type="dxa"/>
              <w:bottom w:w="28" w:type="dxa"/>
              <w:right w:w="45" w:type="dxa"/>
            </w:tcMar>
          </w:tcPr>
          <w:p w14:paraId="069F8B93">
            <w:pPr>
              <w:spacing w:line="480" w:lineRule="auto"/>
            </w:pPr>
            <w:r>
              <w:t>-</w:t>
            </w:r>
          </w:p>
        </w:tc>
      </w:tr>
    </w:tbl>
    <w:p w14:paraId="701C8ECA">
      <w:pPr>
        <w:rPr>
          <w:rFonts w:eastAsia="Calibri"/>
        </w:rPr>
      </w:pPr>
      <w:r>
        <w:rPr>
          <w:rFonts w:eastAsia="Calibri"/>
        </w:rPr>
        <w:t xml:space="preserve">Note: </w:t>
      </w:r>
      <w:r>
        <w:rPr>
          <w:rFonts w:eastAsia="Calibri"/>
          <w:vertAlign w:val="superscript"/>
        </w:rPr>
        <w:t>+</w:t>
      </w:r>
      <w:r>
        <w:rPr>
          <w:rFonts w:eastAsia="Calibri"/>
          <w:i/>
        </w:rPr>
        <w:t>p</w:t>
      </w:r>
      <w:r>
        <w:rPr>
          <w:rFonts w:eastAsia="Calibri"/>
        </w:rPr>
        <w:t xml:space="preserve"> &lt; .10, </w:t>
      </w:r>
      <w:r>
        <w:rPr>
          <w:rFonts w:eastAsia="Calibri"/>
          <w:vertAlign w:val="superscript"/>
        </w:rPr>
        <w:t>*</w:t>
      </w:r>
      <w:r>
        <w:rPr>
          <w:rFonts w:eastAsia="Calibri"/>
          <w:i/>
        </w:rPr>
        <w:t>p</w:t>
      </w:r>
      <w:r>
        <w:rPr>
          <w:rFonts w:eastAsia="Calibri"/>
        </w:rPr>
        <w:t xml:space="preserve"> &lt; .05, </w:t>
      </w:r>
      <w:r>
        <w:rPr>
          <w:rFonts w:eastAsia="Calibri"/>
          <w:vertAlign w:val="superscript"/>
        </w:rPr>
        <w:t>**</w:t>
      </w:r>
      <w:r>
        <w:rPr>
          <w:rFonts w:eastAsia="Calibri"/>
          <w:i/>
        </w:rPr>
        <w:t xml:space="preserve">p </w:t>
      </w:r>
      <w:r>
        <w:rPr>
          <w:rFonts w:eastAsia="Calibri"/>
        </w:rPr>
        <w:t xml:space="preserve">&lt; .01, </w:t>
      </w:r>
      <w:r>
        <w:rPr>
          <w:rFonts w:eastAsia="Calibri"/>
          <w:vertAlign w:val="superscript"/>
        </w:rPr>
        <w:t>***</w:t>
      </w:r>
      <w:r>
        <w:rPr>
          <w:rFonts w:eastAsia="Calibri"/>
          <w:i/>
        </w:rPr>
        <w:t>p</w:t>
      </w:r>
      <w:r>
        <w:rPr>
          <w:rFonts w:eastAsia="Calibri"/>
        </w:rPr>
        <w:t xml:space="preserve"> &lt; .001</w:t>
      </w:r>
    </w:p>
    <w:p w14:paraId="02F00188">
      <w:pPr>
        <w:spacing w:line="480" w:lineRule="auto"/>
        <w:ind w:left="90"/>
        <w:rPr>
          <w:b/>
          <w:bCs/>
        </w:rPr>
      </w:pPr>
    </w:p>
    <w:p w14:paraId="1E44722C">
      <w:pPr>
        <w:spacing w:line="480" w:lineRule="auto"/>
        <w:ind w:left="90"/>
        <w:rPr>
          <w:b/>
          <w:bCs/>
        </w:rPr>
      </w:pPr>
    </w:p>
    <w:p w14:paraId="5FA40D64">
      <w:pPr>
        <w:spacing w:line="480" w:lineRule="auto"/>
        <w:ind w:left="90"/>
        <w:rPr>
          <w:b/>
          <w:bCs/>
        </w:rPr>
      </w:pPr>
      <w:r>
        <w:rPr>
          <w:b/>
          <w:bCs/>
        </w:rPr>
        <w:t>Table 2</w:t>
      </w:r>
    </w:p>
    <w:tbl>
      <w:tblPr>
        <w:tblStyle w:val="37"/>
        <w:tblpPr w:leftFromText="180" w:rightFromText="180" w:vertAnchor="text" w:horzAnchor="margin" w:tblpY="33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72" w:type="dxa"/>
          <w:left w:w="115" w:type="dxa"/>
          <w:bottom w:w="72" w:type="dxa"/>
          <w:right w:w="115" w:type="dxa"/>
        </w:tblCellMar>
      </w:tblPr>
      <w:tblGrid>
        <w:gridCol w:w="4196"/>
        <w:gridCol w:w="2699"/>
        <w:gridCol w:w="2695"/>
      </w:tblGrid>
      <w:tr w14:paraId="024F12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2" w:type="dxa"/>
            <w:left w:w="115" w:type="dxa"/>
            <w:bottom w:w="72" w:type="dxa"/>
            <w:right w:w="115" w:type="dxa"/>
          </w:tblCellMar>
        </w:tblPrEx>
        <w:trPr>
          <w:trHeight w:val="462" w:hRule="atLeast"/>
        </w:trPr>
        <w:tc>
          <w:tcPr>
            <w:tcW w:w="2188" w:type="pct"/>
            <w:tcBorders>
              <w:top w:val="single" w:color="auto" w:sz="4" w:space="0"/>
              <w:left w:val="nil"/>
              <w:bottom w:val="single" w:color="auto" w:sz="4" w:space="0"/>
              <w:right w:val="nil"/>
              <w:insideV w:val="nil"/>
              <w:tl2br w:val="nil"/>
              <w:tr2bl w:val="nil"/>
            </w:tcBorders>
          </w:tcPr>
          <w:p w14:paraId="49461083">
            <w:pPr>
              <w:rPr>
                <w:rFonts w:eastAsia="宋体" w:asciiTheme="minorHAnsi" w:hAnsiTheme="minorHAnsi" w:cstheme="minorBidi"/>
                <w:lang w:eastAsia="ja-JP"/>
              </w:rPr>
            </w:pPr>
          </w:p>
        </w:tc>
        <w:tc>
          <w:tcPr>
            <w:tcW w:w="1407" w:type="pct"/>
            <w:tcBorders>
              <w:top w:val="single" w:color="auto" w:sz="4" w:space="0"/>
              <w:bottom w:val="single" w:color="auto" w:sz="4" w:space="0"/>
              <w:right w:val="nil"/>
              <w:insideV w:val="nil"/>
              <w:tl2br w:val="nil"/>
              <w:tr2bl w:val="nil"/>
            </w:tcBorders>
          </w:tcPr>
          <w:p w14:paraId="1FF444D6">
            <w:pPr>
              <w:jc w:val="center"/>
              <w:rPr>
                <w:rFonts w:eastAsia="宋体" w:asciiTheme="minorHAnsi" w:hAnsiTheme="minorHAnsi" w:cstheme="minorBidi"/>
                <w:lang w:eastAsia="ja-JP"/>
              </w:rPr>
            </w:pPr>
          </w:p>
        </w:tc>
        <w:tc>
          <w:tcPr>
            <w:tcW w:w="1405" w:type="pct"/>
            <w:tcBorders>
              <w:top w:val="single" w:color="auto" w:sz="4" w:space="0"/>
              <w:bottom w:val="single" w:color="auto" w:sz="4" w:space="0"/>
              <w:right w:val="nil"/>
              <w:insideV w:val="nil"/>
              <w:tl2br w:val="nil"/>
              <w:tr2bl w:val="nil"/>
            </w:tcBorders>
            <w:vAlign w:val="center"/>
          </w:tcPr>
          <w:p w14:paraId="79019803">
            <w:pPr>
              <w:jc w:val="center"/>
              <w:rPr>
                <w:rFonts w:eastAsia="宋体" w:asciiTheme="minorHAnsi" w:hAnsiTheme="minorHAnsi" w:cstheme="minorBidi"/>
                <w:lang w:eastAsia="ja-JP"/>
              </w:rPr>
            </w:pPr>
          </w:p>
          <w:p w14:paraId="4D3195DD">
            <w:pPr>
              <w:jc w:val="center"/>
              <w:rPr>
                <w:rFonts w:eastAsia="宋体" w:asciiTheme="minorHAnsi" w:hAnsiTheme="minorHAnsi" w:cstheme="minorBidi"/>
                <w:i/>
                <w:lang w:eastAsia="ja-JP"/>
              </w:rPr>
            </w:pPr>
          </w:p>
        </w:tc>
      </w:tr>
      <w:tr w14:paraId="6DF12D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2" w:type="dxa"/>
            <w:left w:w="115" w:type="dxa"/>
            <w:bottom w:w="72" w:type="dxa"/>
            <w:right w:w="115" w:type="dxa"/>
          </w:tblCellMar>
        </w:tblPrEx>
        <w:trPr>
          <w:trHeight w:val="171" w:hRule="atLeast"/>
        </w:trPr>
        <w:tc>
          <w:tcPr>
            <w:tcW w:w="2188" w:type="pct"/>
            <w:tcBorders>
              <w:top w:val="single" w:color="auto" w:sz="4" w:space="0"/>
              <w:left w:val="nil"/>
              <w:bottom w:val="single" w:color="auto" w:sz="4" w:space="0"/>
              <w:right w:val="nil"/>
            </w:tcBorders>
            <w:vAlign w:val="center"/>
          </w:tcPr>
          <w:p w14:paraId="2E97FCE7">
            <w:pPr>
              <w:rPr>
                <w:rFonts w:ascii="Times New Roman" w:hAnsi="Times New Roman" w:eastAsia="宋体" w:cs="Times New Roman"/>
                <w:lang w:eastAsia="ja-JP"/>
              </w:rPr>
            </w:pPr>
            <w:r>
              <w:rPr>
                <w:rFonts w:ascii="Times New Roman" w:hAnsi="Times New Roman" w:eastAsia="宋体" w:cs="Times New Roman"/>
                <w:lang w:eastAsia="ja-JP"/>
              </w:rPr>
              <w:t>Measure</w:t>
            </w:r>
          </w:p>
        </w:tc>
        <w:tc>
          <w:tcPr>
            <w:tcW w:w="1407" w:type="pct"/>
            <w:tcBorders>
              <w:top w:val="single" w:color="auto" w:sz="4" w:space="0"/>
              <w:left w:val="nil"/>
              <w:bottom w:val="single" w:color="auto" w:sz="4" w:space="0"/>
              <w:right w:val="nil"/>
            </w:tcBorders>
          </w:tcPr>
          <w:p w14:paraId="17CDFBF8">
            <w:pPr>
              <w:jc w:val="center"/>
              <w:rPr>
                <w:rFonts w:ascii="Times New Roman" w:hAnsi="Times New Roman" w:eastAsia="宋体" w:cs="Times New Roman"/>
                <w:i/>
                <w:lang w:eastAsia="ja-JP"/>
              </w:rPr>
            </w:pPr>
            <w:r>
              <w:rPr>
                <w:rFonts w:ascii="Times New Roman" w:hAnsi="Times New Roman" w:eastAsia="宋体" w:cs="Times New Roman"/>
                <w:i/>
                <w:lang w:eastAsia="ja-JP"/>
              </w:rPr>
              <w:t>N</w:t>
            </w:r>
          </w:p>
        </w:tc>
        <w:tc>
          <w:tcPr>
            <w:tcW w:w="1405" w:type="pct"/>
            <w:tcBorders>
              <w:top w:val="single" w:color="auto" w:sz="4" w:space="0"/>
              <w:left w:val="nil"/>
              <w:bottom w:val="single" w:color="auto" w:sz="4" w:space="0"/>
              <w:right w:val="nil"/>
            </w:tcBorders>
            <w:vAlign w:val="center"/>
          </w:tcPr>
          <w:p w14:paraId="54481F9A">
            <w:pPr>
              <w:jc w:val="center"/>
              <w:rPr>
                <w:rFonts w:ascii="Times New Roman" w:hAnsi="Times New Roman" w:eastAsia="宋体" w:cs="Times New Roman"/>
                <w:lang w:eastAsia="ja-JP"/>
              </w:rPr>
            </w:pPr>
            <w:r>
              <w:rPr>
                <w:rFonts w:ascii="Times New Roman" w:hAnsi="Times New Roman" w:eastAsia="宋体" w:cs="Times New Roman"/>
                <w:i/>
                <w:lang w:eastAsia="ja-JP"/>
              </w:rPr>
              <w:t>M(SD)</w:t>
            </w:r>
          </w:p>
        </w:tc>
      </w:tr>
      <w:tr w14:paraId="2E439C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2" w:type="dxa"/>
            <w:left w:w="115" w:type="dxa"/>
            <w:bottom w:w="72" w:type="dxa"/>
            <w:right w:w="115" w:type="dxa"/>
          </w:tblCellMar>
        </w:tblPrEx>
        <w:trPr>
          <w:trHeight w:val="259" w:hRule="atLeast"/>
        </w:trPr>
        <w:tc>
          <w:tcPr>
            <w:tcW w:w="2188" w:type="pct"/>
            <w:tcBorders>
              <w:top w:val="nil"/>
              <w:left w:val="nil"/>
              <w:bottom w:val="nil"/>
              <w:right w:val="nil"/>
            </w:tcBorders>
            <w:vAlign w:val="center"/>
          </w:tcPr>
          <w:p w14:paraId="587945BC">
            <w:pPr>
              <w:rPr>
                <w:rFonts w:ascii="Times New Roman" w:hAnsi="Times New Roman" w:eastAsia="宋体" w:cs="Times New Roman"/>
                <w:lang w:eastAsia="ja-JP"/>
              </w:rPr>
            </w:pPr>
            <w:r>
              <w:rPr>
                <w:rFonts w:ascii="Times New Roman" w:hAnsi="Times New Roman" w:eastAsia="宋体" w:cs="Times New Roman"/>
                <w:lang w:eastAsia="ja-JP"/>
              </w:rPr>
              <w:t>Good MC-IAT</w:t>
            </w:r>
          </w:p>
        </w:tc>
        <w:tc>
          <w:tcPr>
            <w:tcW w:w="1407" w:type="pct"/>
            <w:tcBorders>
              <w:top w:val="nil"/>
              <w:left w:val="nil"/>
              <w:bottom w:val="nil"/>
              <w:right w:val="nil"/>
            </w:tcBorders>
          </w:tcPr>
          <w:p w14:paraId="3F751E08">
            <w:pPr>
              <w:jc w:val="center"/>
              <w:rPr>
                <w:rFonts w:ascii="Times New Roman" w:hAnsi="Times New Roman" w:eastAsia="宋体" w:cs="Times New Roman"/>
                <w:lang w:eastAsia="ja-JP"/>
              </w:rPr>
            </w:pPr>
            <w:r>
              <w:rPr>
                <w:rFonts w:ascii="Times New Roman" w:hAnsi="Times New Roman" w:eastAsia="宋体" w:cs="Times New Roman"/>
                <w:lang w:eastAsia="ja-JP"/>
              </w:rPr>
              <w:t>176</w:t>
            </w:r>
          </w:p>
        </w:tc>
        <w:tc>
          <w:tcPr>
            <w:tcW w:w="1405" w:type="pct"/>
            <w:tcBorders>
              <w:top w:val="nil"/>
              <w:left w:val="nil"/>
              <w:bottom w:val="nil"/>
              <w:right w:val="nil"/>
            </w:tcBorders>
            <w:vAlign w:val="center"/>
          </w:tcPr>
          <w:p w14:paraId="0B0DDF7E">
            <w:pPr>
              <w:jc w:val="center"/>
              <w:rPr>
                <w:rFonts w:ascii="Times New Roman" w:hAnsi="Times New Roman" w:eastAsia="宋体" w:cs="Times New Roman"/>
                <w:lang w:eastAsia="ja-JP"/>
              </w:rPr>
            </w:pPr>
            <w:r>
              <w:rPr>
                <w:rFonts w:ascii="Times New Roman" w:hAnsi="Times New Roman" w:eastAsia="宋体" w:cs="Times New Roman"/>
                <w:lang w:eastAsia="ja-JP"/>
              </w:rPr>
              <w:t>-0.25 (0.47)</w:t>
            </w:r>
          </w:p>
        </w:tc>
      </w:tr>
      <w:tr w14:paraId="25B5A8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2" w:type="dxa"/>
            <w:left w:w="115" w:type="dxa"/>
            <w:bottom w:w="72" w:type="dxa"/>
            <w:right w:w="115" w:type="dxa"/>
          </w:tblCellMar>
        </w:tblPrEx>
        <w:trPr>
          <w:trHeight w:val="259" w:hRule="atLeast"/>
        </w:trPr>
        <w:tc>
          <w:tcPr>
            <w:tcW w:w="2188" w:type="pct"/>
            <w:tcBorders>
              <w:top w:val="nil"/>
              <w:left w:val="nil"/>
              <w:bottom w:val="nil"/>
              <w:right w:val="nil"/>
            </w:tcBorders>
            <w:vAlign w:val="center"/>
          </w:tcPr>
          <w:p w14:paraId="72CFD9EF">
            <w:pPr>
              <w:rPr>
                <w:rFonts w:ascii="Times New Roman" w:hAnsi="Times New Roman" w:eastAsia="Calibri" w:cs="Times New Roman"/>
                <w:lang w:eastAsia="ja-JP"/>
              </w:rPr>
            </w:pPr>
            <w:r>
              <w:rPr>
                <w:rFonts w:ascii="Times New Roman" w:hAnsi="Times New Roman" w:eastAsia="Calibri" w:cs="Times New Roman"/>
                <w:lang w:eastAsia="ja-JP"/>
              </w:rPr>
              <w:t>Bad MC-IAT</w:t>
            </w:r>
          </w:p>
        </w:tc>
        <w:tc>
          <w:tcPr>
            <w:tcW w:w="1407" w:type="pct"/>
            <w:tcBorders>
              <w:top w:val="nil"/>
              <w:left w:val="nil"/>
              <w:bottom w:val="nil"/>
              <w:right w:val="nil"/>
            </w:tcBorders>
          </w:tcPr>
          <w:p w14:paraId="2AE8AD39">
            <w:pPr>
              <w:jc w:val="center"/>
              <w:rPr>
                <w:rFonts w:ascii="Times New Roman" w:hAnsi="Times New Roman" w:eastAsia="宋体" w:cs="Times New Roman"/>
                <w:lang w:eastAsia="ja-JP"/>
              </w:rPr>
            </w:pPr>
            <w:r>
              <w:rPr>
                <w:rFonts w:ascii="Times New Roman" w:hAnsi="Times New Roman" w:eastAsia="宋体" w:cs="Times New Roman"/>
                <w:lang w:eastAsia="ja-JP"/>
              </w:rPr>
              <w:t>196</w:t>
            </w:r>
          </w:p>
        </w:tc>
        <w:tc>
          <w:tcPr>
            <w:tcW w:w="1405" w:type="pct"/>
            <w:tcBorders>
              <w:top w:val="nil"/>
              <w:left w:val="nil"/>
              <w:bottom w:val="nil"/>
              <w:right w:val="nil"/>
            </w:tcBorders>
            <w:vAlign w:val="center"/>
          </w:tcPr>
          <w:p w14:paraId="3B4A1FE0">
            <w:pPr>
              <w:jc w:val="center"/>
              <w:rPr>
                <w:rFonts w:ascii="Times New Roman" w:hAnsi="Times New Roman" w:eastAsia="宋体" w:cs="Times New Roman"/>
                <w:lang w:eastAsia="ja-JP"/>
              </w:rPr>
            </w:pPr>
            <w:r>
              <w:rPr>
                <w:rFonts w:ascii="Times New Roman" w:hAnsi="Times New Roman" w:eastAsia="宋体" w:cs="Times New Roman"/>
                <w:lang w:eastAsia="ja-JP"/>
              </w:rPr>
              <w:t>0.01 (0.56)</w:t>
            </w:r>
          </w:p>
        </w:tc>
      </w:tr>
      <w:tr w14:paraId="294240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2" w:type="dxa"/>
            <w:left w:w="115" w:type="dxa"/>
            <w:bottom w:w="72" w:type="dxa"/>
            <w:right w:w="115" w:type="dxa"/>
          </w:tblCellMar>
        </w:tblPrEx>
        <w:trPr>
          <w:trHeight w:val="259" w:hRule="atLeast"/>
        </w:trPr>
        <w:tc>
          <w:tcPr>
            <w:tcW w:w="2188" w:type="pct"/>
            <w:tcBorders>
              <w:top w:val="nil"/>
              <w:left w:val="nil"/>
              <w:bottom w:val="nil"/>
              <w:right w:val="nil"/>
            </w:tcBorders>
          </w:tcPr>
          <w:p w14:paraId="45176F18">
            <w:pPr>
              <w:rPr>
                <w:rFonts w:ascii="Times New Roman" w:hAnsi="Times New Roman" w:eastAsia="Calibri" w:cs="Times New Roman"/>
                <w:lang w:eastAsia="ja-JP"/>
              </w:rPr>
            </w:pPr>
            <w:r>
              <w:rPr>
                <w:rFonts w:ascii="Times New Roman" w:hAnsi="Times New Roman" w:eastAsia="Calibri" w:cs="Times New Roman"/>
                <w:lang w:eastAsia="ja-JP"/>
              </w:rPr>
              <w:t>Explicit beliefs</w:t>
            </w:r>
          </w:p>
        </w:tc>
        <w:tc>
          <w:tcPr>
            <w:tcW w:w="1407" w:type="pct"/>
            <w:tcBorders>
              <w:top w:val="nil"/>
              <w:left w:val="nil"/>
              <w:bottom w:val="nil"/>
              <w:right w:val="nil"/>
            </w:tcBorders>
          </w:tcPr>
          <w:p w14:paraId="2F0DBF0A">
            <w:pPr>
              <w:jc w:val="center"/>
              <w:rPr>
                <w:rFonts w:ascii="Times New Roman" w:hAnsi="Times New Roman" w:eastAsia="宋体" w:cs="Times New Roman"/>
                <w:highlight w:val="yellow"/>
                <w:lang w:eastAsia="ja-JP"/>
              </w:rPr>
            </w:pPr>
            <w:r>
              <w:rPr>
                <w:rFonts w:ascii="Times New Roman" w:hAnsi="Times New Roman" w:eastAsia="宋体" w:cs="Times New Roman"/>
                <w:lang w:eastAsia="ja-JP"/>
              </w:rPr>
              <w:t>371</w:t>
            </w:r>
          </w:p>
        </w:tc>
        <w:tc>
          <w:tcPr>
            <w:tcW w:w="1405" w:type="pct"/>
            <w:tcBorders>
              <w:top w:val="nil"/>
              <w:left w:val="nil"/>
              <w:bottom w:val="nil"/>
              <w:right w:val="nil"/>
            </w:tcBorders>
          </w:tcPr>
          <w:p w14:paraId="3D66BBDF">
            <w:pPr>
              <w:jc w:val="center"/>
              <w:rPr>
                <w:rFonts w:ascii="Times New Roman" w:hAnsi="Times New Roman" w:eastAsia="宋体" w:cs="Times New Roman"/>
                <w:highlight w:val="yellow"/>
                <w:lang w:eastAsia="ja-JP"/>
              </w:rPr>
            </w:pPr>
            <w:r>
              <w:rPr>
                <w:rFonts w:ascii="Times New Roman" w:hAnsi="Times New Roman" w:eastAsia="宋体" w:cs="Times New Roman"/>
                <w:lang w:eastAsia="ja-JP"/>
              </w:rPr>
              <w:t>-1.28 (1.23)</w:t>
            </w:r>
          </w:p>
        </w:tc>
      </w:tr>
    </w:tbl>
    <w:p w14:paraId="437A1504">
      <w:pPr>
        <w:spacing w:line="480" w:lineRule="auto"/>
        <w:ind w:left="90"/>
        <w:rPr>
          <w:i/>
          <w:iCs/>
        </w:rPr>
      </w:pPr>
      <w:r>
        <w:rPr>
          <w:i/>
          <w:iCs/>
        </w:rPr>
        <w:t>Means and standard deviations for implicit and explicit attitudes</w:t>
      </w:r>
    </w:p>
    <w:p w14:paraId="06509A2C">
      <w:pPr>
        <w:rPr>
          <w:rFonts w:eastAsia="Calibri"/>
        </w:rPr>
      </w:pPr>
    </w:p>
    <w:p w14:paraId="3A22EA75">
      <w:pPr>
        <w:spacing w:line="360" w:lineRule="auto"/>
        <w:rPr>
          <w:b/>
          <w:bCs/>
        </w:rPr>
      </w:pPr>
    </w:p>
    <w:p w14:paraId="79B8D730">
      <w:pPr>
        <w:spacing w:line="360" w:lineRule="auto"/>
        <w:jc w:val="center"/>
      </w:pPr>
    </w:p>
    <w:p w14:paraId="26FE14F7">
      <w:pPr>
        <w:spacing w:line="360" w:lineRule="auto"/>
      </w:pPr>
    </w:p>
    <w:p w14:paraId="7C30EAAE">
      <w:pPr>
        <w:spacing w:line="360" w:lineRule="auto"/>
        <w:jc w:val="center"/>
        <w:rPr>
          <w:b/>
          <w:bCs/>
        </w:rPr>
      </w:pPr>
    </w:p>
    <w:p w14:paraId="793935A7">
      <w:pPr>
        <w:spacing w:line="360" w:lineRule="auto"/>
        <w:rPr>
          <w:b/>
          <w:bCs/>
        </w:rPr>
      </w:pPr>
    </w:p>
    <w:sectPr>
      <w:pgSz w:w="12240" w:h="15840"/>
      <w:pgMar w:top="1500" w:right="1340" w:bottom="280" w:left="1440" w:header="720" w:footer="720" w:gutter="0"/>
      <w:cols w:equalWidth="0" w:num="1">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Georgia">
    <w:panose1 w:val="02040502050405020303"/>
    <w:charset w:val="00"/>
    <w:family w:val="roman"/>
    <w:pitch w:val="default"/>
    <w:sig w:usb0="00000287" w:usb1="00000000" w:usb2="00000000" w:usb3="00000000" w:csb0="2000009F" w:csb1="00000000"/>
  </w:font>
  <w:font w:name="Noto Sans Symbols">
    <w:altName w:val="Calibri"/>
    <w:panose1 w:val="020B0604020202020204"/>
    <w:charset w:val="00"/>
    <w:family w:val="auto"/>
    <w:pitch w:val="default"/>
    <w:sig w:usb0="00000000" w:usb1="00000000" w:usb2="00000000" w:usb3="00000000" w:csb0="00000000" w:csb1="00000000"/>
  </w:font>
  <w:font w:name="Courier New">
    <w:panose1 w:val="02070309020205020404"/>
    <w:charset w:val="00"/>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046D5">
    <w:pPr>
      <w:pStyle w:val="11"/>
      <w:tabs>
        <w:tab w:val="clear" w:pos="4680"/>
        <w:tab w:val="clear" w:pos="9360"/>
      </w:tabs>
      <w:jc w:val="center"/>
      <w:rPr>
        <w:caps/>
        <w:color w:val="4F81BD" w:themeColor="accent1"/>
        <w14:textFill>
          <w14:solidFill>
            <w14:schemeClr w14:val="accent1"/>
          </w14:solidFill>
        </w14:textFill>
      </w:rPr>
    </w:pPr>
  </w:p>
  <w:p w14:paraId="60DBAC4D">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0"/>
      </w:rPr>
      <w:id w:val="-334613201"/>
      <w:docPartObj>
        <w:docPartGallery w:val="AutoText"/>
      </w:docPartObj>
    </w:sdtPr>
    <w:sdtEndPr>
      <w:rPr>
        <w:rStyle w:val="20"/>
      </w:rPr>
    </w:sdtEndPr>
    <w:sdtContent>
      <w:p w14:paraId="7CA1B56D">
        <w:pPr>
          <w:pStyle w:val="12"/>
          <w:framePr w:wrap="auto" w:vAnchor="text" w:hAnchor="margin" w:xAlign="right" w:y="1"/>
          <w:rPr>
            <w:rStyle w:val="20"/>
          </w:rPr>
        </w:pPr>
        <w:r>
          <w:rPr>
            <w:rStyle w:val="20"/>
          </w:rPr>
          <w:fldChar w:fldCharType="begin"/>
        </w:r>
        <w:r>
          <w:rPr>
            <w:rStyle w:val="20"/>
          </w:rPr>
          <w:instrText xml:space="preserve"> PAGE </w:instrText>
        </w:r>
        <w:r>
          <w:rPr>
            <w:rStyle w:val="20"/>
          </w:rPr>
          <w:fldChar w:fldCharType="separate"/>
        </w:r>
        <w:r>
          <w:rPr>
            <w:rStyle w:val="20"/>
          </w:rPr>
          <w:t>1</w:t>
        </w:r>
        <w:r>
          <w:rPr>
            <w:rStyle w:val="20"/>
          </w:rPr>
          <w:fldChar w:fldCharType="end"/>
        </w:r>
      </w:p>
    </w:sdtContent>
  </w:sdt>
  <w:p w14:paraId="139E6111">
    <w:pPr>
      <w:pStyle w:val="12"/>
      <w:ind w:right="360"/>
    </w:pPr>
  </w:p>
  <w:p w14:paraId="78551EB5">
    <w:pPr>
      <w:pStyle w:val="12"/>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0"/>
      </w:rPr>
      <w:id w:val="108175443"/>
      <w:docPartObj>
        <w:docPartGallery w:val="AutoText"/>
      </w:docPartObj>
    </w:sdtPr>
    <w:sdtEndPr>
      <w:rPr>
        <w:rStyle w:val="20"/>
      </w:rPr>
    </w:sdtEndPr>
    <w:sdtContent>
      <w:p w14:paraId="2094FFF8">
        <w:pPr>
          <w:pStyle w:val="12"/>
          <w:framePr w:wrap="auto" w:vAnchor="text" w:hAnchor="margin" w:xAlign="right" w:y="1"/>
          <w:rPr>
            <w:rStyle w:val="20"/>
          </w:rPr>
        </w:pPr>
        <w:r>
          <w:rPr>
            <w:rStyle w:val="20"/>
          </w:rPr>
          <w:fldChar w:fldCharType="begin"/>
        </w:r>
        <w:r>
          <w:rPr>
            <w:rStyle w:val="20"/>
          </w:rPr>
          <w:instrText xml:space="preserve"> PAGE </w:instrText>
        </w:r>
        <w:r>
          <w:rPr>
            <w:rStyle w:val="20"/>
          </w:rPr>
          <w:fldChar w:fldCharType="end"/>
        </w:r>
      </w:p>
    </w:sdtContent>
  </w:sdt>
  <w:p w14:paraId="74EF365A">
    <w:pPr>
      <w:pStyle w:val="12"/>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7E6F33"/>
    <w:multiLevelType w:val="multilevel"/>
    <w:tmpl w:val="1F7E6F3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5710"/>
    <w:rsid w:val="00017CA2"/>
    <w:rsid w:val="0003126B"/>
    <w:rsid w:val="00036784"/>
    <w:rsid w:val="00043B1B"/>
    <w:rsid w:val="00045F79"/>
    <w:rsid w:val="00064A2E"/>
    <w:rsid w:val="00064C90"/>
    <w:rsid w:val="00066219"/>
    <w:rsid w:val="00080FA9"/>
    <w:rsid w:val="00097AAA"/>
    <w:rsid w:val="000A03DE"/>
    <w:rsid w:val="000B580F"/>
    <w:rsid w:val="000C2AC9"/>
    <w:rsid w:val="000C69A6"/>
    <w:rsid w:val="000D1D25"/>
    <w:rsid w:val="000E125B"/>
    <w:rsid w:val="000F1699"/>
    <w:rsid w:val="000F7CE6"/>
    <w:rsid w:val="00121CEE"/>
    <w:rsid w:val="00134C66"/>
    <w:rsid w:val="00142E90"/>
    <w:rsid w:val="00147E2B"/>
    <w:rsid w:val="00167A74"/>
    <w:rsid w:val="0017214E"/>
    <w:rsid w:val="001A1EFB"/>
    <w:rsid w:val="001C4D2B"/>
    <w:rsid w:val="00205D69"/>
    <w:rsid w:val="00205F83"/>
    <w:rsid w:val="00211A35"/>
    <w:rsid w:val="0022493B"/>
    <w:rsid w:val="00231B8F"/>
    <w:rsid w:val="00252790"/>
    <w:rsid w:val="0026317D"/>
    <w:rsid w:val="002654AF"/>
    <w:rsid w:val="00267BA6"/>
    <w:rsid w:val="00290058"/>
    <w:rsid w:val="00297C6B"/>
    <w:rsid w:val="002A7BB5"/>
    <w:rsid w:val="002B34DA"/>
    <w:rsid w:val="002C1327"/>
    <w:rsid w:val="002C1F4B"/>
    <w:rsid w:val="002D6D68"/>
    <w:rsid w:val="002D70A7"/>
    <w:rsid w:val="00306294"/>
    <w:rsid w:val="0031731F"/>
    <w:rsid w:val="003207D4"/>
    <w:rsid w:val="00327528"/>
    <w:rsid w:val="00367FE4"/>
    <w:rsid w:val="00371CC8"/>
    <w:rsid w:val="00390446"/>
    <w:rsid w:val="003B7665"/>
    <w:rsid w:val="003C2BD8"/>
    <w:rsid w:val="003D7B4E"/>
    <w:rsid w:val="003E5101"/>
    <w:rsid w:val="00423DAE"/>
    <w:rsid w:val="004320C8"/>
    <w:rsid w:val="004726E8"/>
    <w:rsid w:val="00492694"/>
    <w:rsid w:val="004A3CBB"/>
    <w:rsid w:val="004A6682"/>
    <w:rsid w:val="004C01EF"/>
    <w:rsid w:val="004F5095"/>
    <w:rsid w:val="00562D0E"/>
    <w:rsid w:val="005A61C1"/>
    <w:rsid w:val="005E1201"/>
    <w:rsid w:val="005E679D"/>
    <w:rsid w:val="006104A3"/>
    <w:rsid w:val="006216FC"/>
    <w:rsid w:val="00622D2D"/>
    <w:rsid w:val="006349B4"/>
    <w:rsid w:val="00644649"/>
    <w:rsid w:val="006535B4"/>
    <w:rsid w:val="0066502F"/>
    <w:rsid w:val="00685BA1"/>
    <w:rsid w:val="0068765F"/>
    <w:rsid w:val="006A3131"/>
    <w:rsid w:val="006A52EE"/>
    <w:rsid w:val="006B7896"/>
    <w:rsid w:val="006C2304"/>
    <w:rsid w:val="006D50FF"/>
    <w:rsid w:val="006E2754"/>
    <w:rsid w:val="006E3286"/>
    <w:rsid w:val="006E7D1D"/>
    <w:rsid w:val="0073093F"/>
    <w:rsid w:val="007478E8"/>
    <w:rsid w:val="007641BE"/>
    <w:rsid w:val="007713F9"/>
    <w:rsid w:val="00776907"/>
    <w:rsid w:val="00783D2F"/>
    <w:rsid w:val="007B6F62"/>
    <w:rsid w:val="007C567C"/>
    <w:rsid w:val="007D0F8C"/>
    <w:rsid w:val="0081448A"/>
    <w:rsid w:val="008248E4"/>
    <w:rsid w:val="008411E1"/>
    <w:rsid w:val="00843C93"/>
    <w:rsid w:val="008512CC"/>
    <w:rsid w:val="00872AE2"/>
    <w:rsid w:val="0087546C"/>
    <w:rsid w:val="00883344"/>
    <w:rsid w:val="008834CE"/>
    <w:rsid w:val="0089498E"/>
    <w:rsid w:val="00897AF4"/>
    <w:rsid w:val="008D089D"/>
    <w:rsid w:val="008D5334"/>
    <w:rsid w:val="008F226D"/>
    <w:rsid w:val="00907A49"/>
    <w:rsid w:val="00911755"/>
    <w:rsid w:val="00925A5F"/>
    <w:rsid w:val="00926659"/>
    <w:rsid w:val="00934D45"/>
    <w:rsid w:val="00936870"/>
    <w:rsid w:val="00937892"/>
    <w:rsid w:val="009442EF"/>
    <w:rsid w:val="0095404F"/>
    <w:rsid w:val="00960BD1"/>
    <w:rsid w:val="009614E9"/>
    <w:rsid w:val="0096432D"/>
    <w:rsid w:val="009745CD"/>
    <w:rsid w:val="00977E18"/>
    <w:rsid w:val="009874E7"/>
    <w:rsid w:val="00994089"/>
    <w:rsid w:val="00997597"/>
    <w:rsid w:val="009A0292"/>
    <w:rsid w:val="009A2202"/>
    <w:rsid w:val="009A2FA1"/>
    <w:rsid w:val="009A5907"/>
    <w:rsid w:val="009B3186"/>
    <w:rsid w:val="009F6D15"/>
    <w:rsid w:val="00A313AA"/>
    <w:rsid w:val="00A344C3"/>
    <w:rsid w:val="00A36C27"/>
    <w:rsid w:val="00A3702D"/>
    <w:rsid w:val="00A40414"/>
    <w:rsid w:val="00A7637E"/>
    <w:rsid w:val="00A76F04"/>
    <w:rsid w:val="00AA05EB"/>
    <w:rsid w:val="00AA16C4"/>
    <w:rsid w:val="00AA2BD8"/>
    <w:rsid w:val="00AF41B4"/>
    <w:rsid w:val="00B009C2"/>
    <w:rsid w:val="00B11DEF"/>
    <w:rsid w:val="00B31386"/>
    <w:rsid w:val="00B33B88"/>
    <w:rsid w:val="00B5567D"/>
    <w:rsid w:val="00B56F13"/>
    <w:rsid w:val="00B57385"/>
    <w:rsid w:val="00B94E9B"/>
    <w:rsid w:val="00BB4B24"/>
    <w:rsid w:val="00BB509B"/>
    <w:rsid w:val="00BB55BB"/>
    <w:rsid w:val="00BB56C5"/>
    <w:rsid w:val="00BE6F73"/>
    <w:rsid w:val="00BF0E10"/>
    <w:rsid w:val="00BF46B1"/>
    <w:rsid w:val="00C07121"/>
    <w:rsid w:val="00C152EA"/>
    <w:rsid w:val="00C22C43"/>
    <w:rsid w:val="00C608F8"/>
    <w:rsid w:val="00C62391"/>
    <w:rsid w:val="00C74E13"/>
    <w:rsid w:val="00C82274"/>
    <w:rsid w:val="00CA7ED3"/>
    <w:rsid w:val="00CC3818"/>
    <w:rsid w:val="00CD6011"/>
    <w:rsid w:val="00CE430D"/>
    <w:rsid w:val="00CE66DC"/>
    <w:rsid w:val="00CF0DB4"/>
    <w:rsid w:val="00CF53C7"/>
    <w:rsid w:val="00D1412E"/>
    <w:rsid w:val="00D1419D"/>
    <w:rsid w:val="00D47C50"/>
    <w:rsid w:val="00D56BC0"/>
    <w:rsid w:val="00D647FA"/>
    <w:rsid w:val="00D80CDB"/>
    <w:rsid w:val="00D84933"/>
    <w:rsid w:val="00DA4667"/>
    <w:rsid w:val="00DA531A"/>
    <w:rsid w:val="00DC79E2"/>
    <w:rsid w:val="00DF1CCF"/>
    <w:rsid w:val="00E300CC"/>
    <w:rsid w:val="00E47AF5"/>
    <w:rsid w:val="00E546DA"/>
    <w:rsid w:val="00E85710"/>
    <w:rsid w:val="00E90FFC"/>
    <w:rsid w:val="00ED0B89"/>
    <w:rsid w:val="00F10222"/>
    <w:rsid w:val="00F14259"/>
    <w:rsid w:val="00F379E2"/>
    <w:rsid w:val="00F40A8D"/>
    <w:rsid w:val="00F41C76"/>
    <w:rsid w:val="00F42DAF"/>
    <w:rsid w:val="00F44D5B"/>
    <w:rsid w:val="00F543B0"/>
    <w:rsid w:val="00F71702"/>
    <w:rsid w:val="00F85F02"/>
    <w:rsid w:val="00F872E5"/>
    <w:rsid w:val="00F91383"/>
    <w:rsid w:val="00FB6F93"/>
    <w:rsid w:val="00FB7E56"/>
    <w:rsid w:val="00FC639F"/>
    <w:rsid w:val="00FC6D1E"/>
    <w:rsid w:val="00FD2C6D"/>
    <w:rsid w:val="00FD63DF"/>
    <w:rsid w:val="04891048"/>
    <w:rsid w:val="0D7D62E4"/>
    <w:rsid w:val="13070B2A"/>
    <w:rsid w:val="15D73DB2"/>
    <w:rsid w:val="29E277A3"/>
    <w:rsid w:val="3C6109FB"/>
    <w:rsid w:val="4AAF5028"/>
    <w:rsid w:val="690A7BA1"/>
    <w:rsid w:val="6AA876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qFormat/>
    <w:uiPriority w:val="9"/>
    <w:pPr>
      <w:spacing w:before="91"/>
      <w:ind w:left="100"/>
      <w:outlineLvl w:val="0"/>
    </w:pPr>
    <w:rPr>
      <w:sz w:val="28"/>
      <w:szCs w:val="28"/>
    </w:rPr>
  </w:style>
  <w:style w:type="paragraph" w:styleId="3">
    <w:name w:val="heading 2"/>
    <w:basedOn w:val="1"/>
    <w:unhideWhenUsed/>
    <w:qFormat/>
    <w:uiPriority w:val="9"/>
    <w:pPr>
      <w:ind w:left="100"/>
      <w:outlineLvl w:val="1"/>
    </w:pPr>
    <w:rPr>
      <w:b/>
      <w:bCs/>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link w:val="27"/>
    <w:semiHidden/>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19">
    <w:name w:val="Default Paragraph Font"/>
    <w:semiHidden/>
    <w:unhideWhenUsed/>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link w:val="28"/>
    <w:unhideWhenUsed/>
    <w:uiPriority w:val="99"/>
    <w:rPr>
      <w:sz w:val="20"/>
      <w:szCs w:val="20"/>
    </w:rPr>
  </w:style>
  <w:style w:type="paragraph" w:styleId="9">
    <w:name w:val="Body Text"/>
    <w:basedOn w:val="1"/>
    <w:qFormat/>
    <w:uiPriority w:val="1"/>
  </w:style>
  <w:style w:type="paragraph" w:styleId="10">
    <w:name w:val="Balloon Text"/>
    <w:basedOn w:val="1"/>
    <w:link w:val="30"/>
    <w:semiHidden/>
    <w:unhideWhenUsed/>
    <w:uiPriority w:val="99"/>
    <w:rPr>
      <w:sz w:val="18"/>
      <w:szCs w:val="18"/>
    </w:rPr>
  </w:style>
  <w:style w:type="paragraph" w:styleId="11">
    <w:name w:val="footer"/>
    <w:basedOn w:val="1"/>
    <w:link w:val="33"/>
    <w:unhideWhenUsed/>
    <w:uiPriority w:val="99"/>
    <w:pPr>
      <w:tabs>
        <w:tab w:val="center" w:pos="4680"/>
        <w:tab w:val="right" w:pos="9360"/>
      </w:tabs>
    </w:pPr>
  </w:style>
  <w:style w:type="paragraph" w:styleId="12">
    <w:name w:val="header"/>
    <w:basedOn w:val="1"/>
    <w:link w:val="32"/>
    <w:unhideWhenUsed/>
    <w:uiPriority w:val="99"/>
    <w:pPr>
      <w:tabs>
        <w:tab w:val="center" w:pos="4680"/>
        <w:tab w:val="right" w:pos="9360"/>
      </w:tabs>
    </w:pPr>
  </w:style>
  <w:style w:type="paragraph" w:styleId="13">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4">
    <w:name w:val="footnote text"/>
    <w:basedOn w:val="1"/>
    <w:link w:val="34"/>
    <w:semiHidden/>
    <w:unhideWhenUsed/>
    <w:uiPriority w:val="99"/>
    <w:rPr>
      <w:sz w:val="20"/>
      <w:szCs w:val="20"/>
    </w:rPr>
  </w:style>
  <w:style w:type="paragraph" w:styleId="15">
    <w:name w:val="Normal (Web)"/>
    <w:basedOn w:val="1"/>
    <w:semiHidden/>
    <w:unhideWhenUsed/>
    <w:qFormat/>
    <w:uiPriority w:val="99"/>
    <w:pPr>
      <w:spacing w:before="100" w:beforeAutospacing="1" w:after="100" w:afterAutospacing="1"/>
    </w:pPr>
  </w:style>
  <w:style w:type="paragraph" w:styleId="16">
    <w:name w:val="Title"/>
    <w:basedOn w:val="1"/>
    <w:next w:val="1"/>
    <w:qFormat/>
    <w:uiPriority w:val="10"/>
    <w:pPr>
      <w:keepNext/>
      <w:keepLines/>
      <w:spacing w:before="480" w:after="120"/>
    </w:pPr>
    <w:rPr>
      <w:b/>
      <w:sz w:val="72"/>
      <w:szCs w:val="72"/>
    </w:rPr>
  </w:style>
  <w:style w:type="paragraph" w:styleId="17">
    <w:name w:val="annotation subject"/>
    <w:basedOn w:val="8"/>
    <w:next w:val="8"/>
    <w:link w:val="29"/>
    <w:semiHidden/>
    <w:unhideWhenUsed/>
    <w:uiPriority w:val="99"/>
    <w:rPr>
      <w:b/>
      <w:bCs/>
    </w:rPr>
  </w:style>
  <w:style w:type="character" w:styleId="20">
    <w:name w:val="page number"/>
    <w:basedOn w:val="19"/>
    <w:semiHidden/>
    <w:unhideWhenUsed/>
    <w:uiPriority w:val="99"/>
  </w:style>
  <w:style w:type="character" w:styleId="21">
    <w:name w:val="Emphasis"/>
    <w:basedOn w:val="19"/>
    <w:qFormat/>
    <w:uiPriority w:val="20"/>
    <w:rPr>
      <w:i/>
      <w:iCs/>
    </w:rPr>
  </w:style>
  <w:style w:type="character" w:styleId="22">
    <w:name w:val="Hyperlink"/>
    <w:basedOn w:val="19"/>
    <w:unhideWhenUsed/>
    <w:uiPriority w:val="99"/>
    <w:rPr>
      <w:color w:val="0000FF" w:themeColor="hyperlink"/>
      <w:u w:val="single"/>
      <w14:textFill>
        <w14:solidFill>
          <w14:schemeClr w14:val="hlink"/>
        </w14:solidFill>
      </w14:textFill>
    </w:rPr>
  </w:style>
  <w:style w:type="character" w:styleId="23">
    <w:name w:val="annotation reference"/>
    <w:basedOn w:val="19"/>
    <w:semiHidden/>
    <w:unhideWhenUsed/>
    <w:uiPriority w:val="99"/>
    <w:rPr>
      <w:sz w:val="16"/>
      <w:szCs w:val="16"/>
    </w:rPr>
  </w:style>
  <w:style w:type="character" w:styleId="24">
    <w:name w:val="footnote reference"/>
    <w:basedOn w:val="19"/>
    <w:semiHidden/>
    <w:unhideWhenUsed/>
    <w:uiPriority w:val="99"/>
    <w:rPr>
      <w:vertAlign w:val="superscript"/>
    </w:rPr>
  </w:style>
  <w:style w:type="paragraph" w:styleId="25">
    <w:name w:val="List Paragraph"/>
    <w:basedOn w:val="1"/>
    <w:qFormat/>
    <w:uiPriority w:val="1"/>
    <w:pPr>
      <w:spacing w:before="17"/>
      <w:ind w:left="2260" w:hanging="360"/>
    </w:pPr>
  </w:style>
  <w:style w:type="paragraph" w:customStyle="1" w:styleId="26">
    <w:name w:val="Table Paragraph"/>
    <w:basedOn w:val="1"/>
    <w:qFormat/>
    <w:uiPriority w:val="1"/>
  </w:style>
  <w:style w:type="character" w:customStyle="1" w:styleId="27">
    <w:name w:val="Heading 4 Char"/>
    <w:basedOn w:val="19"/>
    <w:link w:val="5"/>
    <w:semiHidden/>
    <w:qFormat/>
    <w:uiPriority w:val="9"/>
    <w:rPr>
      <w:rFonts w:asciiTheme="majorHAnsi" w:hAnsiTheme="majorHAnsi" w:eastAsiaTheme="majorEastAsia" w:cstheme="majorBidi"/>
      <w:i/>
      <w:iCs/>
      <w:color w:val="376092" w:themeColor="accent1" w:themeShade="BF"/>
    </w:rPr>
  </w:style>
  <w:style w:type="character" w:customStyle="1" w:styleId="28">
    <w:name w:val="Comment Text Char"/>
    <w:basedOn w:val="19"/>
    <w:link w:val="8"/>
    <w:qFormat/>
    <w:uiPriority w:val="99"/>
    <w:rPr>
      <w:rFonts w:ascii="Times New Roman" w:hAnsi="Times New Roman" w:eastAsia="Times New Roman" w:cs="Times New Roman"/>
      <w:sz w:val="20"/>
      <w:szCs w:val="20"/>
    </w:rPr>
  </w:style>
  <w:style w:type="character" w:customStyle="1" w:styleId="29">
    <w:name w:val="Comment Subject Char"/>
    <w:basedOn w:val="28"/>
    <w:link w:val="17"/>
    <w:semiHidden/>
    <w:uiPriority w:val="99"/>
    <w:rPr>
      <w:rFonts w:ascii="Times New Roman" w:hAnsi="Times New Roman" w:eastAsia="Times New Roman" w:cs="Times New Roman"/>
      <w:b/>
      <w:bCs/>
      <w:sz w:val="20"/>
      <w:szCs w:val="20"/>
    </w:rPr>
  </w:style>
  <w:style w:type="character" w:customStyle="1" w:styleId="30">
    <w:name w:val="Balloon Text Char"/>
    <w:basedOn w:val="19"/>
    <w:link w:val="10"/>
    <w:semiHidden/>
    <w:uiPriority w:val="99"/>
    <w:rPr>
      <w:rFonts w:ascii="Times New Roman" w:hAnsi="Times New Roman" w:eastAsia="Times New Roman" w:cs="Times New Roman"/>
      <w:sz w:val="18"/>
      <w:szCs w:val="18"/>
    </w:rPr>
  </w:style>
  <w:style w:type="character" w:customStyle="1" w:styleId="31">
    <w:name w:val="marknnaua84rg"/>
    <w:basedOn w:val="19"/>
    <w:uiPriority w:val="0"/>
  </w:style>
  <w:style w:type="character" w:customStyle="1" w:styleId="32">
    <w:name w:val="Header Char"/>
    <w:basedOn w:val="19"/>
    <w:link w:val="12"/>
    <w:uiPriority w:val="99"/>
  </w:style>
  <w:style w:type="character" w:customStyle="1" w:styleId="33">
    <w:name w:val="Footer Char"/>
    <w:basedOn w:val="19"/>
    <w:link w:val="11"/>
    <w:qFormat/>
    <w:uiPriority w:val="99"/>
  </w:style>
  <w:style w:type="character" w:customStyle="1" w:styleId="34">
    <w:name w:val="Footnote Text Char"/>
    <w:basedOn w:val="19"/>
    <w:link w:val="14"/>
    <w:semiHidden/>
    <w:uiPriority w:val="99"/>
    <w:rPr>
      <w:sz w:val="20"/>
      <w:szCs w:val="20"/>
    </w:rPr>
  </w:style>
  <w:style w:type="character" w:customStyle="1" w:styleId="35">
    <w:name w:val="Unresolved Mention"/>
    <w:basedOn w:val="19"/>
    <w:semiHidden/>
    <w:unhideWhenUsed/>
    <w:qFormat/>
    <w:uiPriority w:val="99"/>
    <w:rPr>
      <w:color w:val="605E5C"/>
      <w:shd w:val="clear" w:color="auto" w:fill="E1DFDD"/>
    </w:rPr>
  </w:style>
  <w:style w:type="character" w:customStyle="1" w:styleId="36">
    <w:name w:val="apple-converted-space"/>
    <w:basedOn w:val="19"/>
    <w:qFormat/>
    <w:uiPriority w:val="0"/>
  </w:style>
  <w:style w:type="table" w:customStyle="1" w:styleId="37">
    <w:name w:val="APA Report"/>
    <w:basedOn w:val="18"/>
    <w:qFormat/>
    <w:uiPriority w:val="99"/>
    <w:rPr>
      <w:rFonts w:eastAsia="宋体" w:asciiTheme="minorHAnsi" w:hAnsiTheme="minorHAnsi" w:cstheme="minorBidi"/>
      <w:lang w:eastAsia="ja-JP"/>
    </w:rPr>
    <w:tblPr>
      <w:tblBorders>
        <w:top w:val="single" w:color="auto" w:sz="12" w:space="0"/>
        <w:bottom w:val="single" w:color="auto" w:sz="12" w:space="0"/>
      </w:tblBorders>
    </w:tblPr>
    <w:tblStylePr w:type="firstRow">
      <w:tcPr>
        <w:tcBorders>
          <w:top w:val="single" w:color="auto" w:sz="12" w:space="0"/>
          <w:left w:val="nil"/>
          <w:bottom w:val="single" w:color="auto" w:sz="12" w:space="0"/>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PAIqfQmCStL1gPNN23R4MGMWQ==">AMUW2mWR1MpfIGb7JdyCaJ0FNScmYAkROHlwcXxmYEdP6z0tSRlcwrfS8lI45sZIrzq1uRN+OVQElEi/igDFf56Z5F7U40xwAl4lWcdFScKsOmkYoQjhx0E=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datastoreItem>
</file>

<file path=customXml/itemProps2.xml><?xml version="1.0" encoding="utf-8"?>
<ds:datastoreItem xmlns:ds="http://schemas.openxmlformats.org/officeDocument/2006/customXml" ds:itemID="{EF6B55B2-F8D6-43B2-BEC0-9635D17C31CF}">
  <ds:schemaRefs/>
</ds:datastoreItem>
</file>

<file path=docProps/app.xml><?xml version="1.0" encoding="utf-8"?>
<Properties xmlns="http://schemas.openxmlformats.org/officeDocument/2006/extended-properties" xmlns:vt="http://schemas.openxmlformats.org/officeDocument/2006/docPropsVTypes">
  <Template>Normal.dotm</Template>
  <Pages>7</Pages>
  <Words>1087</Words>
  <Characters>6293</Characters>
  <Lines>54</Lines>
  <Paragraphs>15</Paragraphs>
  <TotalTime>20</TotalTime>
  <ScaleCrop>false</ScaleCrop>
  <LinksUpToDate>false</LinksUpToDate>
  <CharactersWithSpaces>7390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2020-09-15T13:38:00Z</dcterms:created>
  <dc:creator>Leigh Ann Vaughn</dc:creator>
  <cp:lastModifiedBy>张铭钰</cp:lastModifiedBy>
  <dcterms:modified xsi:type="dcterms:W3CDTF">2026-05-08T05:18:46Z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eyJoZGlkIjoiYjk5ODM0YmMxOWJiYWQyNDU4MGIzYWRmYTA0ZmI5NDciLCJ1c2VySWQiOiI3MTkwODY3NjQifQ==</vt:lpwstr>
  </property>
  <property fmtid="{D5CDD505-2E9C-101B-9397-08002B2CF9AE}" pid="3" name="KSOProductBuildVer">
    <vt:lpwstr>2052-12.1.0.25865</vt:lpwstr>
  </property>
  <property fmtid="{D5CDD505-2E9C-101B-9397-08002B2CF9AE}" pid="4" name="ICV">
    <vt:lpwstr>E31343BE48D44DC4948ACC57CF1EDE12_12</vt:lpwstr>
  </property>
</Properties>
</file>