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2.模型评估与选择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>1.过拟合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过拟合症状：将非一般性特征也当做特征了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原因：学的太深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解决方法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欠拟合：例如在决策树学习中扩展分支、在神经网络学习中增加训练轮数等，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过拟合：证明NP=P，比如剪枝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>2.评估方法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留出法：直接将数据集 划分为两个互斥的集合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交叉验证法：数据 分为n个大小相似的互斥子集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3415" cy="275653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Kenshin/AppData/Roaming/JisuOffice/ETemp/3552_14101576/fImage81643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7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自助法: 从样本集合中采取一部分然后在放入样本中重复n次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>3.调参与最终模型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>4.性能度量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在预测任务中?给定样例集 = {(X1 , Y1) , (X2 的)， . . . , (Xm, Ym)} 其中饥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是示例 Xi 的真实标记.要评估学习器 的性能，就要把学习器预测结果 I(x)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与真实标记 进行比较.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回归任务最常用的性能度量是"均方误差"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735705" cy="115443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Kenshin/AppData/Roaming/JisuOffice/ETemp/3552_14101576/fImage7373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155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更一般的，对于数据分布 和概率密度函数 p(.) 均方误差可描述为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439920" cy="116332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Kenshin/AppData/Roaming/JisuOffice/ETemp/3552_14101576/fImage822812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163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>5.错误率与精度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错误率是分类错误的样本数占样本总数的比例，精度则是分类正确的样本数占样本总</w:t>
      </w: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数的比例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误率定义为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067810" cy="85788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Kenshin/AppData/Roaming/JisuOffice/ETemp/3552_14101576/fImage749913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858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精度则定义为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496435" cy="147701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Kenshin/AppData/Roaming/JisuOffice/ETemp/3552_14101576/fImage1018014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1477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>6.查准率、查全率与Fl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934585" cy="1943735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Kenshin/AppData/Roaming/JisuOffice/ETemp/3552_14101576/fImage26157156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1944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查准率 与查全率 分别定义为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67635" cy="168656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Kenshin/AppData/Roaming/JisuOffice/ETemp/3552_14101576/fImage81931765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687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1643941.png"></Relationship><Relationship Id="rId6" Type="http://schemas.openxmlformats.org/officeDocument/2006/relationships/image" Target="media/fImage7373118467.png"></Relationship><Relationship Id="rId7" Type="http://schemas.openxmlformats.org/officeDocument/2006/relationships/image" Target="media/fImage82281241.png"></Relationship><Relationship Id="rId8" Type="http://schemas.openxmlformats.org/officeDocument/2006/relationships/image" Target="media/fImage74991341.png"></Relationship><Relationship Id="rId9" Type="http://schemas.openxmlformats.org/officeDocument/2006/relationships/image" Target="media/fImage10180148467.png"></Relationship><Relationship Id="rId10" Type="http://schemas.openxmlformats.org/officeDocument/2006/relationships/image" Target="media/fImage26157156334.png"></Relationship><Relationship Id="rId11" Type="http://schemas.openxmlformats.org/officeDocument/2006/relationships/image" Target="media/fImage8193176500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