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2.模型评估与选择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4"/>
          <w:szCs w:val="24"/>
          <w:rFonts w:ascii="Calibri" w:eastAsia="宋体" w:hAnsi="宋体" w:hint="default"/>
        </w:rPr>
        <w:t>1.过拟合和欠拟合：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4"/>
          <w:szCs w:val="24"/>
          <w:rFonts w:ascii="Calibri" w:eastAsia="宋体" w:hAnsi="宋体" w:hint="default"/>
        </w:rPr>
        <w:t>过拟合症状：将非一般性特征也当做特征了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4"/>
          <w:szCs w:val="24"/>
          <w:rFonts w:ascii="Calibri" w:eastAsia="宋体" w:hAnsi="宋体" w:hint="default"/>
        </w:rPr>
        <w:t>原因：学的太深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4"/>
          <w:szCs w:val="24"/>
          <w:rFonts w:ascii="Calibri" w:eastAsia="宋体" w:hAnsi="宋体" w:hint="default"/>
        </w:rPr>
        <w:t>解决方法：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doNotExpandShiftReturn w:val="1"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