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color w:val="181E33"/>
          <w:sz w:val="21"/>
          <w:szCs w:val="21"/>
        </w:rPr>
      </w:pPr>
      <w:r>
        <w:rPr>
          <w:rFonts w:ascii="微软雅黑" w:eastAsia="微软雅黑" w:hAnsi="微软雅黑" w:hint="eastAsia"/>
          <w:color w:val="181E33"/>
          <w:sz w:val="21"/>
          <w:szCs w:val="21"/>
        </w:rPr>
        <w:t>考察国内国外服务外包领域的领先企业，选取一个进行详细说明：</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1）概要：可以描述所在国、规格、行业地位、发展历程等。如果是中国企业，属于哪一类？跨国公司设立的软件研发机构、跨国软件公司设立的市场开拓机构、纯粹承接软件外包的企业、研发型的软件外包企业。</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2）在服务外包领域所取得的成就</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3）优势领域</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供挑选的企业可以是（不限于此）：</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欧美：IBM、惠普、埃森哲、SAP</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印度：塔塔咨询、Infosys、Wipro、HCL</w:t>
      </w:r>
    </w:p>
    <w:p w:rsidR="00F1374F" w:rsidRDefault="00F1374F" w:rsidP="00F1374F">
      <w:pPr>
        <w:pStyle w:val="a3"/>
        <w:shd w:val="clear" w:color="auto" w:fill="FFFFFF"/>
        <w:spacing w:before="0" w:beforeAutospacing="0" w:after="0" w:afterAutospacing="0" w:line="300" w:lineRule="atLeast"/>
        <w:ind w:right="300"/>
        <w:outlineLvl w:val="3"/>
        <w:rPr>
          <w:rFonts w:ascii="微软雅黑" w:eastAsia="微软雅黑" w:hAnsi="微软雅黑" w:hint="eastAsia"/>
          <w:color w:val="181E33"/>
          <w:sz w:val="21"/>
          <w:szCs w:val="21"/>
        </w:rPr>
      </w:pPr>
      <w:r>
        <w:rPr>
          <w:rFonts w:ascii="微软雅黑" w:eastAsia="微软雅黑" w:hAnsi="微软雅黑" w:hint="eastAsia"/>
          <w:color w:val="181E33"/>
          <w:sz w:val="21"/>
          <w:szCs w:val="21"/>
        </w:rPr>
        <w:t>中国：</w:t>
      </w:r>
      <w:proofErr w:type="gramStart"/>
      <w:r>
        <w:rPr>
          <w:rFonts w:ascii="微软雅黑" w:eastAsia="微软雅黑" w:hAnsi="微软雅黑" w:hint="eastAsia"/>
          <w:color w:val="181E33"/>
          <w:sz w:val="21"/>
          <w:szCs w:val="21"/>
        </w:rPr>
        <w:t>文思海</w:t>
      </w:r>
      <w:proofErr w:type="gramEnd"/>
      <w:r>
        <w:rPr>
          <w:rFonts w:ascii="微软雅黑" w:eastAsia="微软雅黑" w:hAnsi="微软雅黑" w:hint="eastAsia"/>
          <w:color w:val="181E33"/>
          <w:sz w:val="21"/>
          <w:szCs w:val="21"/>
        </w:rPr>
        <w:t>辉、大连华信、</w:t>
      </w:r>
      <w:proofErr w:type="gramStart"/>
      <w:r>
        <w:rPr>
          <w:rFonts w:ascii="微软雅黑" w:eastAsia="微软雅黑" w:hAnsi="微软雅黑" w:hint="eastAsia"/>
          <w:color w:val="181E33"/>
          <w:sz w:val="21"/>
          <w:szCs w:val="21"/>
        </w:rPr>
        <w:t>软通动力</w:t>
      </w:r>
      <w:proofErr w:type="gramEnd"/>
      <w:r>
        <w:rPr>
          <w:rFonts w:ascii="微软雅黑" w:eastAsia="微软雅黑" w:hAnsi="微软雅黑" w:hint="eastAsia"/>
          <w:color w:val="181E33"/>
          <w:sz w:val="21"/>
          <w:szCs w:val="21"/>
        </w:rPr>
        <w:t>、东软、浙大网新、中软国际、上海海隆、山东浪潮、东忠集团</w:t>
      </w:r>
    </w:p>
    <w:p w:rsidR="00257E9F" w:rsidRDefault="00257E9F">
      <w:pPr>
        <w:rPr>
          <w:rFonts w:hint="eastAsia"/>
        </w:rPr>
      </w:pPr>
    </w:p>
    <w:p w:rsidR="00F1374F" w:rsidRDefault="00FE7B72" w:rsidP="005C7193">
      <w:pPr>
        <w:jc w:val="center"/>
        <w:rPr>
          <w:rFonts w:ascii="黑体" w:eastAsia="黑体" w:hAnsi="黑体" w:hint="eastAsia"/>
          <w:sz w:val="32"/>
          <w:szCs w:val="32"/>
        </w:rPr>
      </w:pPr>
      <w:r w:rsidRPr="007F6E5E">
        <w:rPr>
          <w:rFonts w:ascii="黑体" w:eastAsia="黑体" w:hAnsi="黑体" w:hint="eastAsia"/>
          <w:sz w:val="32"/>
          <w:szCs w:val="32"/>
        </w:rPr>
        <w:t>东软</w:t>
      </w:r>
    </w:p>
    <w:p w:rsidR="007F6E5E" w:rsidRPr="007F6E5E" w:rsidRDefault="007F6E5E" w:rsidP="005C7193">
      <w:pPr>
        <w:jc w:val="center"/>
        <w:rPr>
          <w:rFonts w:ascii="黑体" w:eastAsia="黑体" w:hAnsi="黑体" w:hint="eastAsia"/>
          <w:szCs w:val="21"/>
        </w:rPr>
      </w:pPr>
    </w:p>
    <w:p w:rsidR="007F6E5E" w:rsidRPr="007F6E5E" w:rsidRDefault="007F6E5E" w:rsidP="007F6E5E">
      <w:pPr>
        <w:wordWrap w:val="0"/>
        <w:jc w:val="right"/>
        <w:rPr>
          <w:rFonts w:ascii="黑体" w:eastAsia="黑体" w:hAnsi="黑体" w:hint="eastAsia"/>
          <w:szCs w:val="21"/>
        </w:rPr>
      </w:pPr>
      <w:r w:rsidRPr="007F6E5E">
        <w:rPr>
          <w:rFonts w:ascii="黑体" w:eastAsia="黑体" w:hAnsi="黑体" w:hint="eastAsia"/>
          <w:szCs w:val="21"/>
        </w:rPr>
        <w:t>赵诺怡 19电信实验班（1）</w:t>
      </w:r>
      <w:r w:rsidRPr="007F6E5E">
        <w:rPr>
          <w:rFonts w:ascii="黑体" w:eastAsia="黑体" w:hAnsi="黑体" w:hint="eastAsia"/>
          <w:szCs w:val="21"/>
        </w:rPr>
        <w:t>2019339964011</w:t>
      </w:r>
    </w:p>
    <w:p w:rsidR="007F6E5E" w:rsidRPr="00170520" w:rsidRDefault="007F6E5E" w:rsidP="007F6E5E">
      <w:pPr>
        <w:rPr>
          <w:rFonts w:ascii="仿宋" w:eastAsia="仿宋" w:hAnsi="仿宋" w:hint="eastAsia"/>
          <w:szCs w:val="21"/>
        </w:rPr>
      </w:pPr>
      <w:r w:rsidRPr="007F6E5E">
        <w:rPr>
          <w:rFonts w:ascii="黑体" w:eastAsia="黑体" w:hAnsi="黑体" w:hint="eastAsia"/>
          <w:szCs w:val="21"/>
        </w:rPr>
        <w:t>摘要：</w:t>
      </w:r>
      <w:r w:rsidRPr="007F6E5E">
        <w:rPr>
          <w:rFonts w:ascii="楷体" w:eastAsia="楷体" w:hAnsi="楷体" w:hint="eastAsia"/>
          <w:szCs w:val="21"/>
        </w:rPr>
        <w:t>东软集团是中国领先的IT解决方案与服务供应商，是中国第一个上市的软件公司。</w:t>
      </w:r>
      <w:proofErr w:type="gramStart"/>
      <w:r w:rsidR="00170520" w:rsidRPr="00170520">
        <w:rPr>
          <w:rFonts w:ascii="楷体" w:eastAsia="楷体" w:hAnsi="楷体" w:hint="eastAsia"/>
          <w:szCs w:val="21"/>
        </w:rPr>
        <w:t>东软将“超越技术”</w:t>
      </w:r>
      <w:proofErr w:type="gramEnd"/>
      <w:r w:rsidR="00170520" w:rsidRPr="00170520">
        <w:rPr>
          <w:rFonts w:ascii="楷体" w:eastAsia="楷体" w:hAnsi="楷体" w:hint="eastAsia"/>
          <w:szCs w:val="21"/>
        </w:rPr>
        <w:t>作为公司的经营思想和品牌承诺。作为一家以软件技术为核心的公司，东</w:t>
      </w:r>
      <w:proofErr w:type="gramStart"/>
      <w:r w:rsidR="00170520" w:rsidRPr="00170520">
        <w:rPr>
          <w:rFonts w:ascii="楷体" w:eastAsia="楷体" w:hAnsi="楷体" w:hint="eastAsia"/>
          <w:szCs w:val="21"/>
        </w:rPr>
        <w:t>软通过</w:t>
      </w:r>
      <w:proofErr w:type="gramEnd"/>
      <w:r w:rsidR="00170520" w:rsidRPr="00170520">
        <w:rPr>
          <w:rFonts w:ascii="楷体" w:eastAsia="楷体" w:hAnsi="楷体" w:hint="eastAsia"/>
          <w:szCs w:val="21"/>
        </w:rPr>
        <w:t>开放式创新、卓越运营管理、人力资源发展等战略的实施，全面构造公司的核心竞争力，创造客户和社会的价值，从而实现技术的价值。公司开发的各种软件已被广泛运用于工程、电力、电信、房地产、工厂设计等行业，软件的商品化率是国内最高的。</w:t>
      </w:r>
      <w:bookmarkStart w:id="0" w:name="_GoBack"/>
      <w:bookmarkEnd w:id="0"/>
    </w:p>
    <w:p w:rsidR="007F6E5E" w:rsidRPr="007F6E5E" w:rsidRDefault="007F6E5E" w:rsidP="007F6E5E">
      <w:pPr>
        <w:rPr>
          <w:rFonts w:ascii="黑体" w:eastAsia="黑体" w:hAnsi="黑体" w:hint="eastAsia"/>
          <w:szCs w:val="21"/>
        </w:rPr>
      </w:pPr>
      <w:r w:rsidRPr="007F6E5E">
        <w:rPr>
          <w:rFonts w:ascii="黑体" w:eastAsia="黑体" w:hAnsi="黑体" w:hint="eastAsia"/>
          <w:szCs w:val="21"/>
        </w:rPr>
        <w:t>关键词：</w:t>
      </w:r>
      <w:r w:rsidR="00170520" w:rsidRPr="00170520">
        <w:rPr>
          <w:rFonts w:ascii="楷体" w:eastAsia="楷体" w:hAnsi="楷体" w:hint="eastAsia"/>
          <w:szCs w:val="21"/>
        </w:rPr>
        <w:t>东软集团</w:t>
      </w:r>
      <w:r w:rsidR="00170520">
        <w:rPr>
          <w:rFonts w:ascii="楷体" w:eastAsia="楷体" w:hAnsi="楷体" w:hint="eastAsia"/>
          <w:szCs w:val="21"/>
        </w:rPr>
        <w:t xml:space="preserve"> 服务外包 </w:t>
      </w:r>
    </w:p>
    <w:p w:rsidR="00CA0605" w:rsidRPr="007F6E5E" w:rsidRDefault="00CA0605" w:rsidP="007F6E5E">
      <w:pPr>
        <w:ind w:firstLineChars="200" w:firstLine="420"/>
        <w:rPr>
          <w:rFonts w:asciiTheme="minorEastAsia" w:hAnsiTheme="minorEastAsia" w:hint="eastAsia"/>
        </w:rPr>
      </w:pPr>
      <w:r w:rsidRPr="007F6E5E">
        <w:rPr>
          <w:rFonts w:asciiTheme="minorEastAsia" w:hAnsiTheme="minorEastAsia" w:hint="eastAsia"/>
        </w:rPr>
        <w:t>东软集团是中国领先的IT</w:t>
      </w:r>
      <w:r w:rsidR="007F6E5E" w:rsidRPr="007F6E5E">
        <w:rPr>
          <w:rFonts w:asciiTheme="minorEastAsia" w:hAnsiTheme="minorEastAsia" w:hint="eastAsia"/>
        </w:rPr>
        <w:t>解决方案与服务供应商</w:t>
      </w:r>
      <w:r w:rsidR="007F6E5E">
        <w:rPr>
          <w:rFonts w:asciiTheme="minorEastAsia" w:hAnsiTheme="minorEastAsia" w:hint="eastAsia"/>
        </w:rPr>
        <w:t>，</w:t>
      </w:r>
      <w:r w:rsidR="00B45DE7">
        <w:rPr>
          <w:rFonts w:asciiTheme="minorEastAsia" w:hAnsiTheme="minorEastAsia" w:hint="eastAsia"/>
        </w:rPr>
        <w:t>属于</w:t>
      </w:r>
      <w:r w:rsidR="00B45DE7" w:rsidRPr="00B45DE7">
        <w:rPr>
          <w:rFonts w:asciiTheme="minorEastAsia" w:hAnsiTheme="minorEastAsia" w:hint="eastAsia"/>
        </w:rPr>
        <w:t>研发型的软件外包企业</w:t>
      </w:r>
      <w:r w:rsidR="00B45DE7">
        <w:rPr>
          <w:rFonts w:asciiTheme="minorEastAsia" w:hAnsiTheme="minorEastAsia" w:hint="eastAsia"/>
        </w:rPr>
        <w:t>，</w:t>
      </w:r>
      <w:r w:rsidR="007F6E5E" w:rsidRPr="007F6E5E">
        <w:rPr>
          <w:rFonts w:asciiTheme="minorEastAsia" w:hAnsiTheme="minorEastAsia" w:hint="eastAsia"/>
        </w:rPr>
        <w:t>是中国第一个上市的软件公司。</w:t>
      </w:r>
      <w:r w:rsidRPr="007F6E5E">
        <w:rPr>
          <w:rFonts w:asciiTheme="minorEastAsia" w:hAnsiTheme="minorEastAsia" w:hint="eastAsia"/>
        </w:rPr>
        <w:t>公司成立于1991年，前身为东北大学下属的沈阳东大开发软件系统股份有限公司和沈阳东大阿尔派软件有限公司。</w:t>
      </w:r>
      <w:r w:rsidR="007F6E5E" w:rsidRPr="007F6E5E">
        <w:rPr>
          <w:rFonts w:asciiTheme="minorEastAsia" w:hAnsiTheme="minorEastAsia" w:hint="eastAsia"/>
        </w:rPr>
        <w:t>1991年，年轻的东北大学教授刘积仁在中国东北大学创立了东软。公司现拥有2万余名员工，在中国建立了8个区域总部，10个软件研发基地， 16个软件开发与技术支持中心，在60多个城市建立营销与服务网络；在美国、日本、欧洲、中东、南美设有子公司。</w:t>
      </w:r>
    </w:p>
    <w:p w:rsidR="007F6E5E" w:rsidRPr="007F6E5E" w:rsidRDefault="007F6E5E" w:rsidP="007F6E5E">
      <w:pPr>
        <w:rPr>
          <w:rFonts w:ascii="黑体" w:eastAsia="黑体" w:hAnsi="黑体" w:cs="Arial Unicode MS" w:hint="eastAsia"/>
          <w:sz w:val="24"/>
          <w:szCs w:val="24"/>
        </w:rPr>
      </w:pPr>
      <w:r w:rsidRPr="007F6E5E">
        <w:rPr>
          <w:rFonts w:ascii="黑体" w:eastAsia="黑体" w:hAnsi="黑体" w:cs="Arial Unicode MS" w:hint="eastAsia"/>
          <w:sz w:val="24"/>
          <w:szCs w:val="24"/>
        </w:rPr>
        <w:t>一、</w:t>
      </w:r>
      <w:r w:rsidRPr="007F6E5E">
        <w:rPr>
          <w:rFonts w:ascii="黑体" w:eastAsia="黑体" w:hAnsi="黑体" w:cs="Arial Unicode MS" w:hint="eastAsia"/>
          <w:sz w:val="24"/>
          <w:szCs w:val="24"/>
        </w:rPr>
        <w:t>产品服务</w:t>
      </w:r>
    </w:p>
    <w:p w:rsidR="007F6E5E" w:rsidRPr="007F6E5E" w:rsidRDefault="007F6E5E" w:rsidP="007F6E5E">
      <w:pPr>
        <w:ind w:firstLineChars="200" w:firstLine="420"/>
        <w:rPr>
          <w:rFonts w:asciiTheme="minorEastAsia" w:hAnsiTheme="minorEastAsia" w:hint="eastAsia"/>
        </w:rPr>
      </w:pPr>
      <w:r w:rsidRPr="007F6E5E">
        <w:rPr>
          <w:rFonts w:asciiTheme="minorEastAsia" w:hAnsiTheme="minorEastAsia" w:hint="eastAsia"/>
        </w:rPr>
        <w:t>面向行业客户，</w:t>
      </w:r>
      <w:r w:rsidRPr="007F6E5E">
        <w:rPr>
          <w:rFonts w:asciiTheme="minorEastAsia" w:hAnsiTheme="minorEastAsia" w:hint="eastAsia"/>
        </w:rPr>
        <w:t>东</w:t>
      </w:r>
      <w:proofErr w:type="gramStart"/>
      <w:r w:rsidRPr="007F6E5E">
        <w:rPr>
          <w:rFonts w:asciiTheme="minorEastAsia" w:hAnsiTheme="minorEastAsia" w:hint="eastAsia"/>
        </w:rPr>
        <w:t>软</w:t>
      </w:r>
      <w:r w:rsidRPr="007F6E5E">
        <w:rPr>
          <w:rFonts w:asciiTheme="minorEastAsia" w:hAnsiTheme="minorEastAsia" w:hint="eastAsia"/>
        </w:rPr>
        <w:t>提供</w:t>
      </w:r>
      <w:proofErr w:type="gramEnd"/>
      <w:r w:rsidRPr="007F6E5E">
        <w:rPr>
          <w:rFonts w:asciiTheme="minorEastAsia" w:hAnsiTheme="minorEastAsia" w:hint="eastAsia"/>
        </w:rPr>
        <w:t>安全、可靠、高质量、易扩展的行业解决方案，帮助客户实现信息化管理最佳实践，以满足客户业务快速发展的不同需求。行业解决方案涵盖的领域包括：电信、电力、金融、政府（社会保障、财政、税务、公共安全、国土资源、海洋、质量监督检验检疫、工商、知识产权等）以及制造业与商贸流通业、医疗卫生、教育、交通等行业。</w:t>
      </w:r>
    </w:p>
    <w:p w:rsidR="007F6E5E" w:rsidRPr="007F6E5E" w:rsidRDefault="007F6E5E" w:rsidP="007F6E5E">
      <w:pPr>
        <w:ind w:firstLineChars="200" w:firstLine="420"/>
        <w:rPr>
          <w:rFonts w:asciiTheme="minorEastAsia" w:hAnsiTheme="minorEastAsia" w:hint="eastAsia"/>
        </w:rPr>
      </w:pPr>
      <w:r w:rsidRPr="007F6E5E">
        <w:rPr>
          <w:rFonts w:asciiTheme="minorEastAsia" w:hAnsiTheme="minorEastAsia" w:hint="eastAsia"/>
        </w:rPr>
        <w:lastRenderedPageBreak/>
        <w:t>在产品工程解决方案领域，</w:t>
      </w:r>
      <w:proofErr w:type="gramStart"/>
      <w:r w:rsidRPr="007F6E5E">
        <w:rPr>
          <w:rFonts w:asciiTheme="minorEastAsia" w:hAnsiTheme="minorEastAsia" w:hint="eastAsia"/>
        </w:rPr>
        <w:t>东软与世界</w:t>
      </w:r>
      <w:proofErr w:type="gramEnd"/>
      <w:r w:rsidRPr="007F6E5E">
        <w:rPr>
          <w:rFonts w:asciiTheme="minorEastAsia" w:hAnsiTheme="minorEastAsia" w:hint="eastAsia"/>
        </w:rPr>
        <w:t>一流的跨国公司开展合作，提供车载信息产品、数字家庭产品、移动终端和IT产品等嵌入式软件开发和服务。</w:t>
      </w:r>
    </w:p>
    <w:p w:rsidR="007F6E5E" w:rsidRPr="007F6E5E" w:rsidRDefault="007F6E5E" w:rsidP="007F6E5E">
      <w:pPr>
        <w:ind w:firstLineChars="200" w:firstLine="420"/>
        <w:rPr>
          <w:rFonts w:asciiTheme="minorEastAsia" w:hAnsiTheme="minorEastAsia" w:hint="eastAsia"/>
        </w:rPr>
      </w:pPr>
      <w:r w:rsidRPr="007F6E5E">
        <w:rPr>
          <w:rFonts w:asciiTheme="minorEastAsia" w:hAnsiTheme="minorEastAsia" w:hint="eastAsia"/>
        </w:rPr>
        <w:t>在自有品牌的产品工程方面，在医疗领域，我们开发并提供具有中国自主知识产权的CT、磁共振、数字X线机、彩超、全自动生化分析仪、多参数监护仪、放射治疗设备、核医学成像设备等11大系列50余种医疗产品，其中CT机填补了中国在该领域的空白，使得中国成为全球第四个能够生产CT的国家。我们不仅通过了ISO9001国际质量体系认证，同时其主要产品CT、MRI、X-ray、超声及多参数监护仪等产品系列相继通过了美国FDA和欧洲CE认证。产品销往国内32个省、市、自治区，同时在美国、意大利、俄罗斯、巴西、沙特阿拉伯、巴基斯坦以及非洲等全球40余个国家和地区实现了设备安装，拥有客户5000余家。</w:t>
      </w:r>
    </w:p>
    <w:p w:rsidR="007F6E5E" w:rsidRPr="007F6E5E" w:rsidRDefault="007F6E5E" w:rsidP="007F6E5E">
      <w:pPr>
        <w:ind w:firstLineChars="200" w:firstLine="420"/>
        <w:rPr>
          <w:rFonts w:asciiTheme="minorEastAsia" w:hAnsiTheme="minorEastAsia" w:hint="eastAsia"/>
        </w:rPr>
      </w:pPr>
      <w:r w:rsidRPr="007F6E5E">
        <w:rPr>
          <w:rFonts w:asciiTheme="minorEastAsia" w:hAnsiTheme="minorEastAsia" w:hint="eastAsia"/>
        </w:rPr>
        <w:t>在服务领域，东</w:t>
      </w:r>
      <w:proofErr w:type="gramStart"/>
      <w:r w:rsidRPr="007F6E5E">
        <w:rPr>
          <w:rFonts w:asciiTheme="minorEastAsia" w:hAnsiTheme="minorEastAsia" w:hint="eastAsia"/>
        </w:rPr>
        <w:t>软提供</w:t>
      </w:r>
      <w:proofErr w:type="gramEnd"/>
      <w:r w:rsidRPr="007F6E5E">
        <w:rPr>
          <w:rFonts w:asciiTheme="minorEastAsia" w:hAnsiTheme="minorEastAsia" w:hint="eastAsia"/>
        </w:rPr>
        <w:t>包括IT咨询服务、应用开发和维护、套装应用软件服务、专业测试及性能工程服务与本地化服务、IT基础设施服务、IT教育与培训、业务流程外包（BPO）等服务业务。</w:t>
      </w:r>
    </w:p>
    <w:p w:rsidR="007F6E5E" w:rsidRPr="007F6E5E" w:rsidRDefault="007F6E5E" w:rsidP="007F6E5E">
      <w:pPr>
        <w:ind w:firstLineChars="200" w:firstLine="420"/>
        <w:rPr>
          <w:rFonts w:asciiTheme="minorEastAsia" w:hAnsiTheme="minorEastAsia" w:hint="eastAsia"/>
        </w:rPr>
      </w:pPr>
      <w:r w:rsidRPr="007F6E5E">
        <w:rPr>
          <w:rFonts w:asciiTheme="minorEastAsia" w:hAnsiTheme="minorEastAsia" w:hint="eastAsia"/>
        </w:rPr>
        <w:t>其中，在业务流程外包（BPO）方面， 东软面向日本、韩国、欧美等国际市场和国内市场提供Call Center、IT Help Desk、Application Support以及HR outsourcing、Web contents management等Back-office外包服务。涉及IT、教育、政府、通信、互联网、制造、个人消费品等众多行业领域。</w:t>
      </w:r>
    </w:p>
    <w:p w:rsidR="007F6E5E" w:rsidRDefault="007F6E5E" w:rsidP="007F6E5E">
      <w:pPr>
        <w:rPr>
          <w:rFonts w:ascii="黑体" w:eastAsia="黑体" w:hAnsi="黑体" w:hint="eastAsia"/>
          <w:sz w:val="24"/>
          <w:szCs w:val="24"/>
        </w:rPr>
      </w:pPr>
      <w:r w:rsidRPr="007F6E5E">
        <w:rPr>
          <w:rFonts w:ascii="黑体" w:eastAsia="黑体" w:hAnsi="黑体" w:hint="eastAsia"/>
          <w:sz w:val="24"/>
          <w:szCs w:val="24"/>
        </w:rPr>
        <w:t>二、企业理念</w:t>
      </w:r>
    </w:p>
    <w:p w:rsidR="007F6E5E" w:rsidRPr="007F6E5E" w:rsidRDefault="007F6E5E" w:rsidP="007F6E5E">
      <w:pPr>
        <w:ind w:firstLineChars="200" w:firstLine="420"/>
        <w:rPr>
          <w:rFonts w:asciiTheme="minorEastAsia" w:hAnsiTheme="minorEastAsia" w:hint="eastAsia"/>
        </w:rPr>
      </w:pPr>
      <w:r>
        <w:rPr>
          <w:rFonts w:asciiTheme="minorEastAsia" w:hAnsiTheme="minorEastAsia" w:hint="eastAsia"/>
          <w:szCs w:val="21"/>
        </w:rPr>
        <w:t xml:space="preserve">   </w:t>
      </w:r>
      <w:r w:rsidRPr="007F6E5E">
        <w:rPr>
          <w:rFonts w:asciiTheme="minorEastAsia" w:hAnsiTheme="minorEastAsia" w:hint="eastAsia"/>
          <w:szCs w:val="21"/>
        </w:rPr>
        <w:t>东软致力于成为最受社会、客户、投资者和员工尊敬的公司，并通过组织与过程的持续改进，领导力与员工竞争力的发展，联盟与开放式创新，使东</w:t>
      </w:r>
      <w:proofErr w:type="gramStart"/>
      <w:r w:rsidRPr="007F6E5E">
        <w:rPr>
          <w:rFonts w:asciiTheme="minorEastAsia" w:hAnsiTheme="minorEastAsia" w:hint="eastAsia"/>
          <w:szCs w:val="21"/>
        </w:rPr>
        <w:t>软成为</w:t>
      </w:r>
      <w:proofErr w:type="gramEnd"/>
      <w:r w:rsidRPr="007F6E5E">
        <w:rPr>
          <w:rFonts w:asciiTheme="minorEastAsia" w:hAnsiTheme="minorEastAsia" w:hint="eastAsia"/>
          <w:szCs w:val="21"/>
        </w:rPr>
        <w:t>全球优秀的IT解决方案和服务供应商。</w:t>
      </w:r>
      <w:proofErr w:type="gramStart"/>
      <w:r w:rsidRPr="007F6E5E">
        <w:rPr>
          <w:rFonts w:asciiTheme="minorEastAsia" w:hAnsiTheme="minorEastAsia" w:hint="eastAsia"/>
        </w:rPr>
        <w:t>东软将“超越技术”</w:t>
      </w:r>
      <w:proofErr w:type="gramEnd"/>
      <w:r w:rsidRPr="007F6E5E">
        <w:rPr>
          <w:rFonts w:asciiTheme="minorEastAsia" w:hAnsiTheme="minorEastAsia" w:hint="eastAsia"/>
        </w:rPr>
        <w:t>作为公司的经营思想和品牌承诺。作为一家以软件技术为核心的公司，东</w:t>
      </w:r>
      <w:proofErr w:type="gramStart"/>
      <w:r w:rsidRPr="007F6E5E">
        <w:rPr>
          <w:rFonts w:asciiTheme="minorEastAsia" w:hAnsiTheme="minorEastAsia" w:hint="eastAsia"/>
        </w:rPr>
        <w:t>软通过</w:t>
      </w:r>
      <w:proofErr w:type="gramEnd"/>
      <w:r w:rsidRPr="007F6E5E">
        <w:rPr>
          <w:rFonts w:asciiTheme="minorEastAsia" w:hAnsiTheme="minorEastAsia" w:hint="eastAsia"/>
        </w:rPr>
        <w:t>开放式创新、卓越运营管理、人力资源发展等战略的实施，全面构造公司的核心竞争力，创造客户和社会的价值，从而实现技术的价值。公司开发的各种软件已被广泛运用于工程、电力、电信、房地产、工厂设计等行业，软件的商品化率是国内最高的。</w:t>
      </w:r>
      <w:proofErr w:type="gramStart"/>
      <w:r w:rsidRPr="007F6E5E">
        <w:rPr>
          <w:rFonts w:asciiTheme="minorEastAsia" w:hAnsiTheme="minorEastAsia" w:hint="eastAsia"/>
        </w:rPr>
        <w:t>东软以软件</w:t>
      </w:r>
      <w:proofErr w:type="gramEnd"/>
      <w:r w:rsidRPr="007F6E5E">
        <w:rPr>
          <w:rFonts w:asciiTheme="minorEastAsia" w:hAnsiTheme="minorEastAsia" w:hint="eastAsia"/>
        </w:rPr>
        <w:t>技术为核心，提供行业解决方案和产品工程解决方案以及相关产品与服务。</w:t>
      </w:r>
    </w:p>
    <w:p w:rsidR="007F6E5E" w:rsidRDefault="00B45DE7" w:rsidP="007F6E5E">
      <w:pPr>
        <w:rPr>
          <w:rFonts w:ascii="黑体" w:eastAsia="黑体" w:hAnsi="黑体" w:hint="eastAsia"/>
          <w:sz w:val="24"/>
          <w:szCs w:val="24"/>
        </w:rPr>
      </w:pPr>
      <w:r w:rsidRPr="00B45DE7">
        <w:rPr>
          <w:rFonts w:ascii="黑体" w:eastAsia="黑体" w:hAnsi="黑体"/>
          <w:sz w:val="24"/>
          <w:szCs w:val="24"/>
        </w:rPr>
        <w:t>三</w:t>
      </w:r>
      <w:r w:rsidRPr="00B45DE7">
        <w:rPr>
          <w:rFonts w:ascii="黑体" w:eastAsia="黑体" w:hAnsi="黑体" w:hint="eastAsia"/>
          <w:sz w:val="24"/>
          <w:szCs w:val="24"/>
        </w:rPr>
        <w:t>、发展创造</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（一）</w:t>
      </w:r>
      <w:r w:rsidRPr="00B45DE7">
        <w:rPr>
          <w:rFonts w:ascii="黑体" w:eastAsia="黑体" w:hAnsi="黑体" w:hint="eastAsia"/>
          <w:szCs w:val="21"/>
        </w:rPr>
        <w:t>开放式创新</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对于东软而言，开放式创新代表了不断寻找东</w:t>
      </w:r>
      <w:proofErr w:type="gramStart"/>
      <w:r w:rsidRPr="00B45DE7">
        <w:rPr>
          <w:rFonts w:asciiTheme="minorEastAsia" w:hAnsiTheme="minorEastAsia" w:hint="eastAsia"/>
          <w:szCs w:val="21"/>
        </w:rPr>
        <w:t>软持续</w:t>
      </w:r>
      <w:proofErr w:type="gramEnd"/>
      <w:r w:rsidRPr="00B45DE7">
        <w:rPr>
          <w:rFonts w:asciiTheme="minorEastAsia" w:hAnsiTheme="minorEastAsia" w:hint="eastAsia"/>
          <w:szCs w:val="21"/>
        </w:rPr>
        <w:t>高速发展的技术与商业模式，以寻求业务创新；代表了通过联盟与合作的创新来获得更多的资源和更快的成长，以参与到全球产业分工和</w:t>
      </w:r>
      <w:proofErr w:type="gramStart"/>
      <w:r w:rsidRPr="00B45DE7">
        <w:rPr>
          <w:rFonts w:asciiTheme="minorEastAsia" w:hAnsiTheme="minorEastAsia" w:hint="eastAsia"/>
          <w:szCs w:val="21"/>
        </w:rPr>
        <w:t>竞合</w:t>
      </w:r>
      <w:proofErr w:type="gramEnd"/>
      <w:r w:rsidRPr="00B45DE7">
        <w:rPr>
          <w:rFonts w:asciiTheme="minorEastAsia" w:hAnsiTheme="minorEastAsia" w:hint="eastAsia"/>
          <w:szCs w:val="21"/>
        </w:rPr>
        <w:t>中。为此，我们对内建立公司级、事业部级的两级研发体系，对外与合作伙伴共建能力中心。我们实施解决方案高效性策略</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™，重点关注系统化的复用、知识的分享与经验的传承以及员工技能的不断提升，通过TCOE计划来推动持续改进，不断提升东软的核心竞争能力。</w:t>
      </w:r>
    </w:p>
    <w:p w:rsidR="00B45DE7" w:rsidRPr="00B45DE7" w:rsidRDefault="00B45DE7" w:rsidP="00B45DE7">
      <w:pPr>
        <w:ind w:firstLineChars="200" w:firstLine="420"/>
        <w:rPr>
          <w:rFonts w:asciiTheme="minorEastAsia" w:hAnsiTheme="minorEastAsia" w:hint="eastAsia"/>
          <w:szCs w:val="21"/>
        </w:rPr>
      </w:pP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w:t>
      </w:r>
      <w:proofErr w:type="spellStart"/>
      <w:r w:rsidRPr="00B45DE7">
        <w:rPr>
          <w:rFonts w:asciiTheme="minorEastAsia" w:hAnsiTheme="minorEastAsia" w:hint="eastAsia"/>
          <w:szCs w:val="21"/>
        </w:rPr>
        <w:t>Neusoft</w:t>
      </w:r>
      <w:proofErr w:type="spellEnd"/>
      <w:r w:rsidRPr="00B45DE7">
        <w:rPr>
          <w:rFonts w:asciiTheme="minorEastAsia" w:hAnsiTheme="minorEastAsia" w:hint="eastAsia"/>
          <w:szCs w:val="21"/>
        </w:rPr>
        <w:t xml:space="preserve"> Solution Architecture，是东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方案高效性策略的实施框架(Framework for Solution Effectiveness)，是东</w:t>
      </w:r>
      <w:proofErr w:type="gramStart"/>
      <w:r w:rsidRPr="00B45DE7">
        <w:rPr>
          <w:rFonts w:asciiTheme="minorEastAsia" w:hAnsiTheme="minorEastAsia" w:hint="eastAsia"/>
          <w:szCs w:val="21"/>
        </w:rPr>
        <w:t>软开放</w:t>
      </w:r>
      <w:proofErr w:type="gramEnd"/>
      <w:r w:rsidRPr="00B45DE7">
        <w:rPr>
          <w:rFonts w:asciiTheme="minorEastAsia" w:hAnsiTheme="minorEastAsia" w:hint="eastAsia"/>
          <w:szCs w:val="21"/>
        </w:rPr>
        <w:t>与协作式创新的具体实践，我们通过系统化复用、知识分享与经验传承以及员工能力的提升，不断提高公司的综合竞争能力，高质量、高速度、高效率地创新与交付有竞争力的解决方案。</w:t>
      </w:r>
    </w:p>
    <w:p w:rsidR="00B45DE7" w:rsidRPr="00B45DE7" w:rsidRDefault="00B45DE7" w:rsidP="00B45DE7">
      <w:pPr>
        <w:ind w:firstLineChars="200" w:firstLine="420"/>
        <w:rPr>
          <w:rFonts w:asciiTheme="minorEastAsia" w:hAnsiTheme="minorEastAsia" w:hint="eastAsia"/>
          <w:szCs w:val="21"/>
        </w:rPr>
      </w:pP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™由相互关联和作用的六个域构成，包含五个实践域和一个支持域。五个实践</w:t>
      </w:r>
      <w:proofErr w:type="gramStart"/>
      <w:r w:rsidRPr="00B45DE7">
        <w:rPr>
          <w:rFonts w:asciiTheme="minorEastAsia" w:hAnsiTheme="minorEastAsia" w:hint="eastAsia"/>
          <w:szCs w:val="21"/>
        </w:rPr>
        <w:t>域分别</w:t>
      </w:r>
      <w:proofErr w:type="gramEnd"/>
      <w:r w:rsidRPr="00B45DE7">
        <w:rPr>
          <w:rFonts w:asciiTheme="minorEastAsia" w:hAnsiTheme="minorEastAsia" w:hint="eastAsia"/>
          <w:szCs w:val="21"/>
        </w:rPr>
        <w:t>是产品与技术、过程方法与工具、能力发展、知识管理、卓越中心；一个支持域是组织与执行。</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（二）</w:t>
      </w:r>
      <w:r w:rsidRPr="00B45DE7">
        <w:rPr>
          <w:rFonts w:ascii="黑体" w:eastAsia="黑体" w:hAnsi="黑体" w:hint="eastAsia"/>
          <w:szCs w:val="21"/>
        </w:rPr>
        <w:t>产品与技术</w:t>
      </w:r>
    </w:p>
    <w:p w:rsidR="00B45DE7" w:rsidRPr="00B45DE7" w:rsidRDefault="00B45DE7" w:rsidP="00B45DE7">
      <w:pPr>
        <w:ind w:firstLineChars="200" w:firstLine="420"/>
        <w:rPr>
          <w:rFonts w:asciiTheme="minorEastAsia" w:hAnsiTheme="minorEastAsia" w:hint="eastAsia"/>
          <w:szCs w:val="21"/>
        </w:rPr>
      </w:pPr>
      <w:r>
        <w:rPr>
          <w:rFonts w:asciiTheme="minorEastAsia" w:hAnsiTheme="minorEastAsia" w:hint="eastAsia"/>
          <w:szCs w:val="21"/>
        </w:rPr>
        <w:t>东</w:t>
      </w:r>
      <w:proofErr w:type="gramStart"/>
      <w:r>
        <w:rPr>
          <w:rFonts w:asciiTheme="minorEastAsia" w:hAnsiTheme="minorEastAsia" w:hint="eastAsia"/>
          <w:szCs w:val="21"/>
        </w:rPr>
        <w:t>软</w:t>
      </w:r>
      <w:r w:rsidRPr="00B45DE7">
        <w:rPr>
          <w:rFonts w:asciiTheme="minorEastAsia" w:hAnsiTheme="minorEastAsia" w:hint="eastAsia"/>
          <w:szCs w:val="21"/>
        </w:rPr>
        <w:t>采用</w:t>
      </w:r>
      <w:proofErr w:type="gramEnd"/>
      <w:r w:rsidRPr="00B45DE7">
        <w:rPr>
          <w:rFonts w:asciiTheme="minorEastAsia" w:hAnsiTheme="minorEastAsia" w:hint="eastAsia"/>
          <w:szCs w:val="21"/>
        </w:rPr>
        <w:t>系统化复用的技术策略构建应用解决方案，基于开放的、标准化的技术路线，通过建立统一技术架构规范、面向领域的参考架构、可复用资产库、应用解决方案统一架构平台，构建公司</w:t>
      </w:r>
      <w:proofErr w:type="gramStart"/>
      <w:r w:rsidRPr="00B45DE7">
        <w:rPr>
          <w:rFonts w:asciiTheme="minorEastAsia" w:hAnsiTheme="minorEastAsia" w:hint="eastAsia"/>
          <w:szCs w:val="21"/>
        </w:rPr>
        <w:t>级支持</w:t>
      </w:r>
      <w:proofErr w:type="gramEnd"/>
      <w:r w:rsidRPr="00B45DE7">
        <w:rPr>
          <w:rFonts w:asciiTheme="minorEastAsia" w:hAnsiTheme="minorEastAsia" w:hint="eastAsia"/>
          <w:szCs w:val="21"/>
        </w:rPr>
        <w:t>解决方案快速构造的复用平台，形成了面向行业解决方案的</w:t>
      </w:r>
      <w:proofErr w:type="gramStart"/>
      <w:r w:rsidRPr="00B45DE7">
        <w:rPr>
          <w:rFonts w:asciiTheme="minorEastAsia" w:hAnsiTheme="minorEastAsia" w:hint="eastAsia"/>
          <w:szCs w:val="21"/>
        </w:rPr>
        <w:t>主技术</w:t>
      </w:r>
      <w:proofErr w:type="gramEnd"/>
      <w:r w:rsidRPr="00B45DE7">
        <w:rPr>
          <w:rFonts w:asciiTheme="minorEastAsia" w:hAnsiTheme="minorEastAsia" w:hint="eastAsia"/>
          <w:szCs w:val="21"/>
        </w:rPr>
        <w:t>架</w:t>
      </w:r>
      <w:r w:rsidRPr="00B45DE7">
        <w:rPr>
          <w:rFonts w:asciiTheme="minorEastAsia" w:hAnsiTheme="minorEastAsia" w:hint="eastAsia"/>
          <w:szCs w:val="21"/>
        </w:rPr>
        <w:lastRenderedPageBreak/>
        <w:t>构ITA（Information Technology Architecture）、面向产品工程解决方案的</w:t>
      </w:r>
      <w:proofErr w:type="gramStart"/>
      <w:r w:rsidRPr="00B45DE7">
        <w:rPr>
          <w:rFonts w:asciiTheme="minorEastAsia" w:hAnsiTheme="minorEastAsia" w:hint="eastAsia"/>
          <w:szCs w:val="21"/>
        </w:rPr>
        <w:t>主技术</w:t>
      </w:r>
      <w:proofErr w:type="gramEnd"/>
      <w:r w:rsidRPr="00B45DE7">
        <w:rPr>
          <w:rFonts w:asciiTheme="minorEastAsia" w:hAnsiTheme="minorEastAsia" w:hint="eastAsia"/>
          <w:szCs w:val="21"/>
        </w:rPr>
        <w:t>架构ETA（Embedded Technology Architecture）、RAB（Reusable Asset Base）中心、</w:t>
      </w:r>
      <w:proofErr w:type="spellStart"/>
      <w:r w:rsidRPr="00B45DE7">
        <w:rPr>
          <w:rFonts w:asciiTheme="minorEastAsia" w:hAnsiTheme="minorEastAsia" w:hint="eastAsia"/>
          <w:szCs w:val="21"/>
        </w:rPr>
        <w:t>UniEAP</w:t>
      </w:r>
      <w:proofErr w:type="spellEnd"/>
      <w:r w:rsidRPr="00B45DE7">
        <w:rPr>
          <w:rFonts w:asciiTheme="minorEastAsia" w:hAnsiTheme="minorEastAsia" w:hint="eastAsia"/>
          <w:szCs w:val="21"/>
        </w:rPr>
        <w:t>(Unified Enterprise Application Practices)等一系列可复用资产，并以此为基础建立细分行业核心业务平台和领域加速器，形成东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方案地图，加强并规范化与第三方产品的集成。</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（三）</w:t>
      </w:r>
      <w:r w:rsidRPr="00B45DE7">
        <w:rPr>
          <w:rFonts w:ascii="黑体" w:eastAsia="黑体" w:hAnsi="黑体" w:hint="eastAsia"/>
          <w:szCs w:val="21"/>
        </w:rPr>
        <w:t>过程方法与工具</w:t>
      </w:r>
    </w:p>
    <w:p w:rsidR="00B45DE7" w:rsidRPr="00B45DE7" w:rsidRDefault="00B45DE7" w:rsidP="00B45DE7">
      <w:pPr>
        <w:ind w:firstLineChars="200" w:firstLine="420"/>
        <w:rPr>
          <w:rFonts w:asciiTheme="minorEastAsia" w:hAnsiTheme="minorEastAsia" w:hint="eastAsia"/>
          <w:szCs w:val="21"/>
        </w:rPr>
      </w:pPr>
      <w:r>
        <w:rPr>
          <w:rFonts w:asciiTheme="minorEastAsia" w:hAnsiTheme="minorEastAsia" w:hint="eastAsia"/>
          <w:szCs w:val="21"/>
        </w:rPr>
        <w:t>东软</w:t>
      </w:r>
      <w:r w:rsidRPr="00B45DE7">
        <w:rPr>
          <w:rFonts w:asciiTheme="minorEastAsia" w:hAnsiTheme="minorEastAsia" w:hint="eastAsia"/>
          <w:szCs w:val="21"/>
        </w:rPr>
        <w:t>基于以复用为导向、以风险控制为驱动的基本原则，在借鉴行业最佳实践、总结自身经验的基础上，构建了东</w:t>
      </w:r>
      <w:proofErr w:type="gramStart"/>
      <w:r w:rsidRPr="00B45DE7">
        <w:rPr>
          <w:rFonts w:asciiTheme="minorEastAsia" w:hAnsiTheme="minorEastAsia" w:hint="eastAsia"/>
          <w:szCs w:val="21"/>
        </w:rPr>
        <w:t>软统一</w:t>
      </w:r>
      <w:proofErr w:type="gramEnd"/>
      <w:r w:rsidRPr="00B45DE7">
        <w:rPr>
          <w:rFonts w:asciiTheme="minorEastAsia" w:hAnsiTheme="minorEastAsia" w:hint="eastAsia"/>
          <w:szCs w:val="21"/>
        </w:rPr>
        <w:t>过程NUP（</w:t>
      </w:r>
      <w:proofErr w:type="spellStart"/>
      <w:r w:rsidRPr="00B45DE7">
        <w:rPr>
          <w:rFonts w:asciiTheme="minorEastAsia" w:hAnsiTheme="minorEastAsia" w:hint="eastAsia"/>
          <w:szCs w:val="21"/>
        </w:rPr>
        <w:t>Neusoft</w:t>
      </w:r>
      <w:proofErr w:type="spellEnd"/>
      <w:r w:rsidRPr="00B45DE7">
        <w:rPr>
          <w:rFonts w:asciiTheme="minorEastAsia" w:hAnsiTheme="minorEastAsia" w:hint="eastAsia"/>
          <w:szCs w:val="21"/>
        </w:rPr>
        <w:t xml:space="preserve"> Unified Process）。NUP由一个通用的过程框架和方法库构成，通过一系列的过程文件、指南、规范和模板为软件开发过程提供过程、方法和最佳实践的指导；</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通过基础扩展和特性化扩展，实现对SOA、项目群管理、企业架构规划、软件产品线工程的支持，形成适用于各种项目应用场景的方法论簇，分别支持产品</w:t>
      </w:r>
      <w:proofErr w:type="gramStart"/>
      <w:r w:rsidRPr="00B45DE7">
        <w:rPr>
          <w:rFonts w:asciiTheme="minorEastAsia" w:hAnsiTheme="minorEastAsia" w:hint="eastAsia"/>
          <w:szCs w:val="21"/>
        </w:rPr>
        <w:t>线核心</w:t>
      </w:r>
      <w:proofErr w:type="gramEnd"/>
      <w:r w:rsidRPr="00B45DE7">
        <w:rPr>
          <w:rFonts w:asciiTheme="minorEastAsia" w:hAnsiTheme="minorEastAsia" w:hint="eastAsia"/>
          <w:szCs w:val="21"/>
        </w:rPr>
        <w:t>资产开发、基于产品线的项目实施、非产品线的项目实施、企业架构规划项目实施、ICDC(Information Centric Data Center)领域项目实施。并通过软件全生命周期工具的规范和定制，强化过程执行、固化最佳实践。</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（四）</w:t>
      </w:r>
      <w:r w:rsidRPr="00B45DE7">
        <w:rPr>
          <w:rFonts w:ascii="黑体" w:eastAsia="黑体" w:hAnsi="黑体" w:hint="eastAsia"/>
          <w:szCs w:val="21"/>
        </w:rPr>
        <w:t>能力发展</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根据东</w:t>
      </w:r>
      <w:proofErr w:type="gramStart"/>
      <w:r w:rsidRPr="00B45DE7">
        <w:rPr>
          <w:rFonts w:asciiTheme="minorEastAsia" w:hAnsiTheme="minorEastAsia" w:hint="eastAsia"/>
          <w:szCs w:val="21"/>
        </w:rPr>
        <w:t>软主技术</w:t>
      </w:r>
      <w:proofErr w:type="gramEnd"/>
      <w:r w:rsidRPr="00B45DE7">
        <w:rPr>
          <w:rFonts w:asciiTheme="minorEastAsia" w:hAnsiTheme="minorEastAsia" w:hint="eastAsia"/>
          <w:szCs w:val="21"/>
        </w:rPr>
        <w:t>架构、方法学以及业务发展的需要，基于东</w:t>
      </w:r>
      <w:proofErr w:type="gramStart"/>
      <w:r w:rsidRPr="00B45DE7">
        <w:rPr>
          <w:rFonts w:asciiTheme="minorEastAsia" w:hAnsiTheme="minorEastAsia" w:hint="eastAsia"/>
          <w:szCs w:val="21"/>
        </w:rPr>
        <w:t>软核心</w:t>
      </w:r>
      <w:proofErr w:type="gramEnd"/>
      <w:r w:rsidRPr="00B45DE7">
        <w:rPr>
          <w:rFonts w:asciiTheme="minorEastAsia" w:hAnsiTheme="minorEastAsia" w:hint="eastAsia"/>
          <w:szCs w:val="21"/>
        </w:rPr>
        <w:t>价值与文化，从领导力、领域知识、技术、方法学和沟通五个维</w:t>
      </w:r>
      <w:proofErr w:type="gramStart"/>
      <w:r w:rsidRPr="00B45DE7">
        <w:rPr>
          <w:rFonts w:asciiTheme="minorEastAsia" w:hAnsiTheme="minorEastAsia" w:hint="eastAsia"/>
          <w:szCs w:val="21"/>
        </w:rPr>
        <w:t>度建立</w:t>
      </w:r>
      <w:proofErr w:type="gramEnd"/>
      <w:r w:rsidRPr="00B45DE7">
        <w:rPr>
          <w:rFonts w:asciiTheme="minorEastAsia" w:hAnsiTheme="minorEastAsia" w:hint="eastAsia"/>
          <w:szCs w:val="21"/>
        </w:rPr>
        <w:t>面向个人的能力模型，从方向、深度、广度、领域</w:t>
      </w:r>
      <w:proofErr w:type="gramStart"/>
      <w:r w:rsidRPr="00B45DE7">
        <w:rPr>
          <w:rFonts w:asciiTheme="minorEastAsia" w:hAnsiTheme="minorEastAsia" w:hint="eastAsia"/>
          <w:szCs w:val="21"/>
        </w:rPr>
        <w:t>及愿景五个</w:t>
      </w:r>
      <w:proofErr w:type="gramEnd"/>
      <w:r w:rsidRPr="00B45DE7">
        <w:rPr>
          <w:rFonts w:asciiTheme="minorEastAsia" w:hAnsiTheme="minorEastAsia" w:hint="eastAsia"/>
          <w:szCs w:val="21"/>
        </w:rPr>
        <w:t>层次，为员工规划从能够</w:t>
      </w:r>
      <w:proofErr w:type="gramStart"/>
      <w:r w:rsidRPr="00B45DE7">
        <w:rPr>
          <w:rFonts w:asciiTheme="minorEastAsia" w:hAnsiTheme="minorEastAsia" w:hint="eastAsia"/>
          <w:szCs w:val="21"/>
        </w:rPr>
        <w:t>做项目</w:t>
      </w:r>
      <w:proofErr w:type="gramEnd"/>
      <w:r w:rsidRPr="00B45DE7">
        <w:rPr>
          <w:rFonts w:asciiTheme="minorEastAsia" w:hAnsiTheme="minorEastAsia" w:hint="eastAsia"/>
          <w:szCs w:val="21"/>
        </w:rPr>
        <w:t>到能够做架构、解决方案、领域咨询、业务创新的职</w:t>
      </w:r>
      <w:proofErr w:type="gramStart"/>
      <w:r w:rsidRPr="00B45DE7">
        <w:rPr>
          <w:rFonts w:asciiTheme="minorEastAsia" w:hAnsiTheme="minorEastAsia" w:hint="eastAsia"/>
          <w:szCs w:val="21"/>
        </w:rPr>
        <w:t>涯</w:t>
      </w:r>
      <w:proofErr w:type="gramEnd"/>
      <w:r w:rsidRPr="00B45DE7">
        <w:rPr>
          <w:rFonts w:asciiTheme="minorEastAsia" w:hAnsiTheme="minorEastAsia" w:hint="eastAsia"/>
          <w:szCs w:val="21"/>
        </w:rPr>
        <w:t>发展通道。</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各业务单元结合自身业务特点定义技能地图，建立实训体系与课件，并定期评估员工现有能力与目标能力的差距，指导员工制定切实可行的能力发展计划，借助项目实训、导师制、在职培训、有指导的自学、e-Learning平台和在职学位进修实施能力发展计划。</w:t>
      </w:r>
    </w:p>
    <w:p w:rsidR="00B45DE7" w:rsidRPr="00B45DE7" w:rsidRDefault="00B45DE7" w:rsidP="00B45DE7">
      <w:pPr>
        <w:rPr>
          <w:rFonts w:asciiTheme="minorEastAsia" w:hAnsiTheme="minorEastAsia" w:hint="eastAsia"/>
          <w:szCs w:val="21"/>
        </w:rPr>
      </w:pPr>
      <w:r w:rsidRPr="00B45DE7">
        <w:rPr>
          <w:rFonts w:asciiTheme="minorEastAsia" w:hAnsiTheme="minorEastAsia" w:hint="eastAsia"/>
          <w:szCs w:val="21"/>
        </w:rPr>
        <w:t>知识管理</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东软倡导善于学习、分享与复用的工程师文化，通过知识管理门户、技术月刊和</w:t>
      </w:r>
      <w:proofErr w:type="gramStart"/>
      <w:r w:rsidRPr="00B45DE7">
        <w:rPr>
          <w:rFonts w:asciiTheme="minorEastAsia" w:hAnsiTheme="minorEastAsia" w:hint="eastAsia"/>
          <w:szCs w:val="21"/>
        </w:rPr>
        <w:t>可</w:t>
      </w:r>
      <w:proofErr w:type="gramEnd"/>
      <w:r w:rsidRPr="00B45DE7">
        <w:rPr>
          <w:rFonts w:asciiTheme="minorEastAsia" w:hAnsiTheme="minorEastAsia" w:hint="eastAsia"/>
          <w:szCs w:val="21"/>
        </w:rPr>
        <w:t>复用资产库，确保知识与经验可以被充分、及时地获得与分享；通过建立知识地图，使员工能够更快速、更准确地找到解决问题的途径；通过技术论坛和定期的主题技术研讨会，建立互动式的交流、学习与创新的平台，营造良好的技术交流文化与氛围。促进知识在组织范围内流动、以获得更高的经营绩效。</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（五）</w:t>
      </w:r>
      <w:r w:rsidRPr="00B45DE7">
        <w:rPr>
          <w:rFonts w:ascii="黑体" w:eastAsia="黑体" w:hAnsi="黑体" w:hint="eastAsia"/>
          <w:szCs w:val="21"/>
        </w:rPr>
        <w:t>卓越中心</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为了在公司范围内实现共性方法和技术的充分共享与复用，探索新方法、新技术，合力攻克关键技术难题，我们建立公司级跨越组织单元的卓越中心机制，统一管理和使用专业化资源，分别设立共性方法和专项技术两类能力中心，并有选择地与合作伙伴共建专项技术能力中心，以加强与合作伙伴合作的深度和广度。公司各个业务单元可以充分使用能力中心的资源，促进自身业务的发展，最大限度地发挥公司整体的技术能力。</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（六）</w:t>
      </w:r>
      <w:r w:rsidRPr="00B45DE7">
        <w:rPr>
          <w:rFonts w:ascii="黑体" w:eastAsia="黑体" w:hAnsi="黑体" w:hint="eastAsia"/>
          <w:szCs w:val="21"/>
        </w:rPr>
        <w:t>组织与执行</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TCOE（Technical Community of Excellence，卓越的技术团队）计划在组织体系上保障</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中每个实践域中各项活动的切实执行和有效落实，为此我们建立了相应的组织体系、运作模型和区别考评机制，营造有助于系统化复用、知识分享、能力发展的环境。我们基于东软组织级技术能力模型周期性地评估策略执行情况，发现差距，持续改进。</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（七）</w:t>
      </w:r>
      <w:r w:rsidRPr="00B45DE7">
        <w:rPr>
          <w:rFonts w:ascii="黑体" w:eastAsia="黑体" w:hAnsi="黑体" w:hint="eastAsia"/>
          <w:szCs w:val="21"/>
        </w:rPr>
        <w:t>卓越运营</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多年的管理积淀，构建了以客户为中心的组织架构、以目标为导向的战略执行体系、追求卓越的商务流程、创造持续价值的客户管理体系、规模化、分布式的开发与交付体系、复用导向的知识资产管理、以及共赢合作伙伴联盟等持续提升的运营管理体系与流程，以不断满足需求和优化服务质量，从而实现与客户的共同成长和可持续发展。</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lastRenderedPageBreak/>
        <w:t>（八）</w:t>
      </w:r>
      <w:r w:rsidRPr="00B45DE7">
        <w:rPr>
          <w:rFonts w:ascii="黑体" w:eastAsia="黑体" w:hAnsi="黑体" w:hint="eastAsia"/>
          <w:szCs w:val="21"/>
        </w:rPr>
        <w:t>以客户为中心的组织结构</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软构建了可持续发展的组织结构，拥有面向政府、电信、金融、能源、交通、制造业、钢铁、汽车、信息安全、医疗卫生、教育等领域的专业化的运营部门；在营销、技术、运营管理、人力资源、财务等方面建立了完备的支撑保障平台；面向全球市场建立10个区域中心、覆盖40多个城市的营销和服务网络。</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（九）</w:t>
      </w:r>
      <w:r w:rsidRPr="00B45DE7">
        <w:rPr>
          <w:rFonts w:ascii="黑体" w:eastAsia="黑体" w:hAnsi="黑体" w:hint="eastAsia"/>
          <w:szCs w:val="21"/>
        </w:rPr>
        <w:t>以目标为导向的战略执行体系</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经过多年的实践，东</w:t>
      </w:r>
      <w:proofErr w:type="gramStart"/>
      <w:r w:rsidRPr="00B45DE7">
        <w:rPr>
          <w:rFonts w:asciiTheme="minorEastAsia" w:hAnsiTheme="minorEastAsia" w:hint="eastAsia"/>
          <w:szCs w:val="21"/>
        </w:rPr>
        <w:t>软逐渐</w:t>
      </w:r>
      <w:proofErr w:type="gramEnd"/>
      <w:r w:rsidRPr="00B45DE7">
        <w:rPr>
          <w:rFonts w:asciiTheme="minorEastAsia" w:hAnsiTheme="minorEastAsia" w:hint="eastAsia"/>
          <w:szCs w:val="21"/>
        </w:rPr>
        <w:t>形成了由清晰的战略规划、完备的实施策略、扎实的过程执行等三方面构成的战略执行体系，以追求增长为发展目标，以锁定客户的核心业务为发展方向来制定战略规划，在营销、技术、运营、人力资源、财务等方面制定详细的实施策略，以ISO标准（ISO9001/ISO27001/ISO20000）为框架、以CMM/PCMM/CE/FDA为纵深的执行过程，保证公司的战略得到有效的制定和执行。</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w:t>
      </w:r>
      <w:r w:rsidRPr="00B45DE7">
        <w:rPr>
          <w:rFonts w:ascii="黑体" w:eastAsia="黑体" w:hAnsi="黑体" w:hint="eastAsia"/>
          <w:szCs w:val="21"/>
        </w:rPr>
        <w:t>创造持续价值的客户管理体系</w:t>
      </w:r>
    </w:p>
    <w:p w:rsidR="00B45DE7" w:rsidRPr="00B45DE7" w:rsidRDefault="00B45DE7" w:rsidP="00B45DE7">
      <w:pPr>
        <w:ind w:firstLineChars="200" w:firstLine="420"/>
        <w:rPr>
          <w:rFonts w:asciiTheme="minorEastAsia" w:hAnsiTheme="minorEastAsia" w:hint="eastAsia"/>
          <w:szCs w:val="21"/>
        </w:rPr>
      </w:pPr>
      <w:r>
        <w:rPr>
          <w:rFonts w:asciiTheme="minorEastAsia" w:hAnsiTheme="minorEastAsia" w:hint="eastAsia"/>
          <w:szCs w:val="21"/>
        </w:rPr>
        <w:t>东</w:t>
      </w:r>
      <w:proofErr w:type="gramStart"/>
      <w:r>
        <w:rPr>
          <w:rFonts w:asciiTheme="minorEastAsia" w:hAnsiTheme="minorEastAsia" w:hint="eastAsia"/>
          <w:szCs w:val="21"/>
        </w:rPr>
        <w:t>软</w:t>
      </w:r>
      <w:r w:rsidRPr="00B45DE7">
        <w:rPr>
          <w:rFonts w:asciiTheme="minorEastAsia" w:hAnsiTheme="minorEastAsia" w:hint="eastAsia"/>
          <w:szCs w:val="21"/>
        </w:rPr>
        <w:t>形成</w:t>
      </w:r>
      <w:proofErr w:type="gramEnd"/>
      <w:r w:rsidRPr="00B45DE7">
        <w:rPr>
          <w:rFonts w:asciiTheme="minorEastAsia" w:hAnsiTheme="minorEastAsia" w:hint="eastAsia"/>
          <w:szCs w:val="21"/>
        </w:rPr>
        <w:t>了科学、系统的客户服务、保留、发展的客户关系管理方法，形成了解决方案高效性策略的实施框架（</w:t>
      </w:r>
      <w:proofErr w:type="spellStart"/>
      <w:r w:rsidRPr="00B45DE7">
        <w:rPr>
          <w:rFonts w:asciiTheme="minorEastAsia" w:hAnsiTheme="minorEastAsia" w:hint="eastAsia"/>
          <w:szCs w:val="21"/>
        </w:rPr>
        <w:t>NeuSA</w:t>
      </w:r>
      <w:proofErr w:type="spellEnd"/>
      <w:r w:rsidRPr="00B45DE7">
        <w:rPr>
          <w:rFonts w:asciiTheme="minorEastAsia" w:hAnsiTheme="minorEastAsia" w:hint="eastAsia"/>
          <w:szCs w:val="21"/>
        </w:rPr>
        <w:t>）,建立了以行业领域专家为核心的梯队式的人力资源培养模式，通过三者的有效融合，构建了东</w:t>
      </w:r>
      <w:proofErr w:type="gramStart"/>
      <w:r w:rsidRPr="00B45DE7">
        <w:rPr>
          <w:rFonts w:asciiTheme="minorEastAsia" w:hAnsiTheme="minorEastAsia" w:hint="eastAsia"/>
          <w:szCs w:val="21"/>
        </w:rPr>
        <w:t>软独特</w:t>
      </w:r>
      <w:proofErr w:type="gramEnd"/>
      <w:r w:rsidRPr="00B45DE7">
        <w:rPr>
          <w:rFonts w:asciiTheme="minorEastAsia" w:hAnsiTheme="minorEastAsia" w:hint="eastAsia"/>
          <w:szCs w:val="21"/>
        </w:rPr>
        <w:t>的创造持续价值的客户管理体系。</w:t>
      </w:r>
      <w:proofErr w:type="gramStart"/>
      <w:r w:rsidRPr="00B45DE7">
        <w:rPr>
          <w:rFonts w:asciiTheme="minorEastAsia" w:hAnsiTheme="minorEastAsia" w:hint="eastAsia"/>
          <w:szCs w:val="21"/>
        </w:rPr>
        <w:t>东软与世界</w:t>
      </w:r>
      <w:proofErr w:type="gramEnd"/>
      <w:r w:rsidRPr="00B45DE7">
        <w:rPr>
          <w:rFonts w:asciiTheme="minorEastAsia" w:hAnsiTheme="minorEastAsia" w:hint="eastAsia"/>
          <w:szCs w:val="21"/>
        </w:rPr>
        <w:t>500强中的企业十余家有合作关系，行业解决方案几十种，行业领域专家几百名。</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（十一）</w:t>
      </w:r>
      <w:r w:rsidRPr="00B45DE7">
        <w:rPr>
          <w:rFonts w:ascii="黑体" w:eastAsia="黑体" w:hAnsi="黑体" w:hint="eastAsia"/>
          <w:szCs w:val="21"/>
        </w:rPr>
        <w:t>规模化、分布式的开发与交付体系</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为实现东软规模化快速发展，东</w:t>
      </w:r>
      <w:proofErr w:type="gramStart"/>
      <w:r w:rsidRPr="00B45DE7">
        <w:rPr>
          <w:rFonts w:asciiTheme="minorEastAsia" w:hAnsiTheme="minorEastAsia" w:hint="eastAsia"/>
          <w:szCs w:val="21"/>
        </w:rPr>
        <w:t>软根据</w:t>
      </w:r>
      <w:proofErr w:type="gramEnd"/>
      <w:r w:rsidRPr="00B45DE7">
        <w:rPr>
          <w:rFonts w:asciiTheme="minorEastAsia" w:hAnsiTheme="minorEastAsia" w:hint="eastAsia"/>
          <w:szCs w:val="21"/>
        </w:rPr>
        <w:t>客户区域分布情况、人力资源供给情况、成本优势等方面进行统筹，通过科学的组织布局，大力加强组织体系建设和组织能力建设，构筑了规模化、分布式的开发与交付体系，先后在沈阳、大连、南京、成都建立了规模化的软件研发基地，拥有开发人员近万人，在北京、上海、广州、东京等地建立了贴近客户的交付中心，提高了全球化分布式软件交付能力。</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（十二）</w:t>
      </w:r>
      <w:r w:rsidRPr="00B45DE7">
        <w:rPr>
          <w:rFonts w:ascii="黑体" w:eastAsia="黑体" w:hAnsi="黑体" w:hint="eastAsia"/>
          <w:szCs w:val="21"/>
        </w:rPr>
        <w:t>复用导向的知识资产管理</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软件复用是东</w:t>
      </w:r>
      <w:proofErr w:type="gramStart"/>
      <w:r w:rsidRPr="00B45DE7">
        <w:rPr>
          <w:rFonts w:asciiTheme="minorEastAsia" w:hAnsiTheme="minorEastAsia" w:hint="eastAsia"/>
          <w:szCs w:val="21"/>
        </w:rPr>
        <w:t>软解决</w:t>
      </w:r>
      <w:proofErr w:type="gramEnd"/>
      <w:r w:rsidRPr="00B45DE7">
        <w:rPr>
          <w:rFonts w:asciiTheme="minorEastAsia" w:hAnsiTheme="minorEastAsia" w:hint="eastAsia"/>
          <w:szCs w:val="21"/>
        </w:rPr>
        <w:t>方案构建速度和质量以及快速响应客户需求能力的重要保证。经过多年积累，东</w:t>
      </w:r>
      <w:proofErr w:type="gramStart"/>
      <w:r w:rsidRPr="00B45DE7">
        <w:rPr>
          <w:rFonts w:asciiTheme="minorEastAsia" w:hAnsiTheme="minorEastAsia" w:hint="eastAsia"/>
          <w:szCs w:val="21"/>
        </w:rPr>
        <w:t>软形成</w:t>
      </w:r>
      <w:proofErr w:type="gramEnd"/>
      <w:r w:rsidRPr="00B45DE7">
        <w:rPr>
          <w:rFonts w:asciiTheme="minorEastAsia" w:hAnsiTheme="minorEastAsia" w:hint="eastAsia"/>
          <w:szCs w:val="21"/>
        </w:rPr>
        <w:t>了知识资产管理的方法与工具，建立了能充分共享和复用的知识库，拥有上千</w:t>
      </w:r>
      <w:proofErr w:type="gramStart"/>
      <w:r w:rsidRPr="00B45DE7">
        <w:rPr>
          <w:rFonts w:asciiTheme="minorEastAsia" w:hAnsiTheme="minorEastAsia" w:hint="eastAsia"/>
          <w:szCs w:val="21"/>
        </w:rPr>
        <w:t>个</w:t>
      </w:r>
      <w:proofErr w:type="gramEnd"/>
      <w:r w:rsidRPr="00B45DE7">
        <w:rPr>
          <w:rFonts w:asciiTheme="minorEastAsia" w:hAnsiTheme="minorEastAsia" w:hint="eastAsia"/>
          <w:szCs w:val="21"/>
        </w:rPr>
        <w:t>知识资产，覆盖客户业务组件、通用软件产品、基础平台、过程与方法等多个方面的内容。</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（十三）</w:t>
      </w:r>
      <w:r w:rsidRPr="00B45DE7">
        <w:rPr>
          <w:rFonts w:ascii="黑体" w:eastAsia="黑体" w:hAnsi="黑体" w:hint="eastAsia"/>
          <w:szCs w:val="21"/>
        </w:rPr>
        <w:t>追求卓越的商务流程</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为了更好的服务于客户，持续提高公司的运营效率，我们构建了清晰、可视、可持续改进的商务流程，东软的商务流程有198个实施步骤，涉及到公司所有的组织单位，覆盖所有的业务流程，我们倡导通过全体人员简单、务实的不断努力达到追求卓越的远大目标。</w:t>
      </w:r>
    </w:p>
    <w:p w:rsidR="00B45DE7" w:rsidRPr="00B45DE7" w:rsidRDefault="00B45DE7" w:rsidP="00B45DE7">
      <w:pPr>
        <w:rPr>
          <w:rFonts w:ascii="黑体" w:eastAsia="黑体" w:hAnsi="黑体" w:cs="Arial Unicode MS" w:hint="eastAsia"/>
          <w:szCs w:val="21"/>
        </w:rPr>
      </w:pPr>
      <w:r w:rsidRPr="00B45DE7">
        <w:rPr>
          <w:rFonts w:ascii="黑体" w:eastAsia="黑体" w:hAnsi="黑体" w:cs="Arial Unicode MS" w:hint="eastAsia"/>
          <w:szCs w:val="21"/>
        </w:rPr>
        <w:t>（十四）</w:t>
      </w:r>
      <w:r w:rsidRPr="00B45DE7">
        <w:rPr>
          <w:rFonts w:ascii="黑体" w:eastAsia="黑体" w:hAnsi="黑体" w:cs="Arial Unicode MS" w:hint="eastAsia"/>
          <w:szCs w:val="21"/>
        </w:rPr>
        <w:t>共赢的合作伙伴联盟</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战略联盟与合作伙伴关系是东</w:t>
      </w:r>
      <w:proofErr w:type="gramStart"/>
      <w:r w:rsidRPr="00B45DE7">
        <w:rPr>
          <w:rFonts w:asciiTheme="minorEastAsia" w:hAnsiTheme="minorEastAsia" w:hint="eastAsia"/>
          <w:szCs w:val="21"/>
        </w:rPr>
        <w:t>软业务</w:t>
      </w:r>
      <w:proofErr w:type="gramEnd"/>
      <w:r w:rsidRPr="00B45DE7">
        <w:rPr>
          <w:rFonts w:asciiTheme="minorEastAsia" w:hAnsiTheme="minorEastAsia" w:hint="eastAsia"/>
          <w:szCs w:val="21"/>
        </w:rPr>
        <w:t>持续发展的重要保证，东</w:t>
      </w:r>
      <w:proofErr w:type="gramStart"/>
      <w:r w:rsidRPr="00B45DE7">
        <w:rPr>
          <w:rFonts w:asciiTheme="minorEastAsia" w:hAnsiTheme="minorEastAsia" w:hint="eastAsia"/>
          <w:szCs w:val="21"/>
        </w:rPr>
        <w:t>软始终</w:t>
      </w:r>
      <w:proofErr w:type="gramEnd"/>
      <w:r w:rsidRPr="00B45DE7">
        <w:rPr>
          <w:rFonts w:asciiTheme="minorEastAsia" w:hAnsiTheme="minorEastAsia" w:hint="eastAsia"/>
          <w:szCs w:val="21"/>
        </w:rPr>
        <w:t>致力于创造和谐共赢的生态环境，通过联盟与合</w:t>
      </w:r>
      <w:proofErr w:type="gramStart"/>
      <w:r w:rsidRPr="00B45DE7">
        <w:rPr>
          <w:rFonts w:asciiTheme="minorEastAsia" w:hAnsiTheme="minorEastAsia" w:hint="eastAsia"/>
          <w:szCs w:val="21"/>
        </w:rPr>
        <w:t>作东软能够</w:t>
      </w:r>
      <w:proofErr w:type="gramEnd"/>
      <w:r w:rsidRPr="00B45DE7">
        <w:rPr>
          <w:rFonts w:asciiTheme="minorEastAsia" w:hAnsiTheme="minorEastAsia" w:hint="eastAsia"/>
          <w:szCs w:val="21"/>
        </w:rPr>
        <w:t>快速、可靠地构建满足客户业务发展需要的解决方案，东</w:t>
      </w:r>
      <w:proofErr w:type="gramStart"/>
      <w:r w:rsidRPr="00B45DE7">
        <w:rPr>
          <w:rFonts w:asciiTheme="minorEastAsia" w:hAnsiTheme="minorEastAsia" w:hint="eastAsia"/>
          <w:szCs w:val="21"/>
        </w:rPr>
        <w:t>软不仅</w:t>
      </w:r>
      <w:proofErr w:type="gramEnd"/>
      <w:r w:rsidRPr="00B45DE7">
        <w:rPr>
          <w:rFonts w:asciiTheme="minorEastAsia" w:hAnsiTheme="minorEastAsia" w:hint="eastAsia"/>
          <w:szCs w:val="21"/>
        </w:rPr>
        <w:t>在营销、技术、运营管理、人力资源、财务等方面与全球知名的20余家公司有着良好的合作关系，同时也与政府和行业协会保持良好的合作关系。</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（十五）</w:t>
      </w:r>
      <w:r w:rsidRPr="00B45DE7">
        <w:rPr>
          <w:rFonts w:ascii="黑体" w:eastAsia="黑体" w:hAnsi="黑体" w:hint="eastAsia"/>
          <w:szCs w:val="21"/>
        </w:rPr>
        <w:t>人力资源发展</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软通过</w:t>
      </w:r>
      <w:proofErr w:type="gramEnd"/>
      <w:r w:rsidRPr="00B45DE7">
        <w:rPr>
          <w:rFonts w:asciiTheme="minorEastAsia" w:hAnsiTheme="minorEastAsia" w:hint="eastAsia"/>
          <w:szCs w:val="21"/>
        </w:rPr>
        <w:t>各项人力资源策略的实施，使得我们拥有了一支充满激情、智慧、专业、高度关注客户并极富协作精神的员工队伍，以支撑客户与公司业务的高速发展。</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（十六）</w:t>
      </w:r>
      <w:r w:rsidRPr="00B45DE7">
        <w:rPr>
          <w:rFonts w:ascii="黑体" w:eastAsia="黑体" w:hAnsi="黑体" w:hint="eastAsia"/>
          <w:szCs w:val="21"/>
        </w:rPr>
        <w:t>人力资源构成</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围绕客户和市场需求，东软构造了一支结构合理、专业能力强、具有团队协作精神的人力资源队伍，东</w:t>
      </w:r>
      <w:proofErr w:type="gramStart"/>
      <w:r w:rsidRPr="00B45DE7">
        <w:rPr>
          <w:rFonts w:asciiTheme="minorEastAsia" w:hAnsiTheme="minorEastAsia" w:hint="eastAsia"/>
          <w:szCs w:val="21"/>
        </w:rPr>
        <w:t>软拥有</w:t>
      </w:r>
      <w:proofErr w:type="gramEnd"/>
      <w:r w:rsidRPr="00B45DE7">
        <w:rPr>
          <w:rFonts w:asciiTheme="minorEastAsia" w:hAnsiTheme="minorEastAsia" w:hint="eastAsia"/>
          <w:szCs w:val="21"/>
        </w:rPr>
        <w:t>员工20000多人 ，分布于行业解决方案、产品工程解决方案、软件产品与平台及服务等各专业领域。</w:t>
      </w:r>
    </w:p>
    <w:p w:rsidR="00B45DE7" w:rsidRPr="00B45DE7" w:rsidRDefault="00B45DE7" w:rsidP="00B45DE7">
      <w:pPr>
        <w:rPr>
          <w:rFonts w:ascii="黑体" w:eastAsia="黑体" w:hAnsi="黑体" w:hint="eastAsia"/>
          <w:szCs w:val="21"/>
        </w:rPr>
      </w:pPr>
      <w:r w:rsidRPr="00B45DE7">
        <w:rPr>
          <w:rFonts w:ascii="黑体" w:eastAsia="黑体" w:hAnsi="黑体" w:hint="eastAsia"/>
          <w:szCs w:val="21"/>
        </w:rPr>
        <w:t>（十七）</w:t>
      </w:r>
      <w:r w:rsidRPr="00B45DE7">
        <w:rPr>
          <w:rFonts w:ascii="黑体" w:eastAsia="黑体" w:hAnsi="黑体" w:hint="eastAsia"/>
          <w:szCs w:val="21"/>
        </w:rPr>
        <w:t>持续的人力资源发展</w:t>
      </w:r>
    </w:p>
    <w:p w:rsidR="00B45DE7" w:rsidRP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lastRenderedPageBreak/>
        <w:t>为了推动软件产业人力资源的发展，与客户和合作伙伴共享IT人力资源，东</w:t>
      </w:r>
      <w:proofErr w:type="gramStart"/>
      <w:r w:rsidRPr="00B45DE7">
        <w:rPr>
          <w:rFonts w:asciiTheme="minorEastAsia" w:hAnsiTheme="minorEastAsia" w:hint="eastAsia"/>
          <w:szCs w:val="21"/>
        </w:rPr>
        <w:t>软先后</w:t>
      </w:r>
      <w:proofErr w:type="gramEnd"/>
      <w:r w:rsidRPr="00B45DE7">
        <w:rPr>
          <w:rFonts w:asciiTheme="minorEastAsia" w:hAnsiTheme="minorEastAsia" w:hint="eastAsia"/>
          <w:szCs w:val="21"/>
        </w:rPr>
        <w:t>于2000-2003年在大连、南海和成都建立了3所IT大学。三所学校在校学生25000人。这为东</w:t>
      </w:r>
      <w:proofErr w:type="gramStart"/>
      <w:r w:rsidRPr="00B45DE7">
        <w:rPr>
          <w:rFonts w:asciiTheme="minorEastAsia" w:hAnsiTheme="minorEastAsia" w:hint="eastAsia"/>
          <w:szCs w:val="21"/>
        </w:rPr>
        <w:t>软及其</w:t>
      </w:r>
      <w:proofErr w:type="gramEnd"/>
      <w:r w:rsidRPr="00B45DE7">
        <w:rPr>
          <w:rFonts w:asciiTheme="minorEastAsia" w:hAnsiTheme="minorEastAsia" w:hint="eastAsia"/>
          <w:szCs w:val="21"/>
        </w:rPr>
        <w:t>客户、合作伙伴持续性地获得专业化的人才奠定了基础。</w:t>
      </w:r>
    </w:p>
    <w:p w:rsidR="00B45DE7" w:rsidRDefault="00B45DE7" w:rsidP="00B45DE7">
      <w:pPr>
        <w:ind w:firstLineChars="200" w:firstLine="420"/>
        <w:rPr>
          <w:rFonts w:asciiTheme="minorEastAsia" w:hAnsiTheme="minorEastAsia" w:hint="eastAsia"/>
          <w:szCs w:val="21"/>
        </w:rPr>
      </w:pPr>
      <w:r w:rsidRPr="00B45DE7">
        <w:rPr>
          <w:rFonts w:asciiTheme="minorEastAsia" w:hAnsiTheme="minorEastAsia" w:hint="eastAsia"/>
          <w:szCs w:val="21"/>
        </w:rPr>
        <w:t>东</w:t>
      </w:r>
      <w:proofErr w:type="gramStart"/>
      <w:r w:rsidRPr="00B45DE7">
        <w:rPr>
          <w:rFonts w:asciiTheme="minorEastAsia" w:hAnsiTheme="minorEastAsia" w:hint="eastAsia"/>
          <w:szCs w:val="21"/>
        </w:rPr>
        <w:t>软人才</w:t>
      </w:r>
      <w:proofErr w:type="gramEnd"/>
      <w:r w:rsidRPr="00B45DE7">
        <w:rPr>
          <w:rFonts w:asciiTheme="minorEastAsia" w:hAnsiTheme="minorEastAsia" w:hint="eastAsia"/>
          <w:szCs w:val="21"/>
        </w:rPr>
        <w:t>实训中心为高校、学生、企业等提供全面的IT培训解决方案，以培养“实用性、技能型”IT人才为目标、以助力IT产业的可持续发展。东软在沈阳、大连、南京等地建立了分布式的实训基地，现有实训基地总建筑面积约11万平方米，可同时容纳10000余人培训。</w:t>
      </w:r>
    </w:p>
    <w:p w:rsidR="00B45DE7" w:rsidRDefault="00B45DE7" w:rsidP="00B45DE7">
      <w:pPr>
        <w:pStyle w:val="a3"/>
        <w:shd w:val="clear" w:color="auto" w:fill="FFFFFF"/>
        <w:spacing w:before="0" w:beforeAutospacing="0" w:after="0" w:afterAutospacing="0" w:line="300" w:lineRule="atLeast"/>
        <w:ind w:right="300"/>
        <w:outlineLvl w:val="3"/>
        <w:rPr>
          <w:rFonts w:ascii="黑体" w:eastAsia="黑体" w:hAnsi="黑体" w:hint="eastAsia"/>
          <w:color w:val="181E33"/>
        </w:rPr>
      </w:pPr>
      <w:r w:rsidRPr="00B45DE7">
        <w:rPr>
          <w:rFonts w:ascii="黑体" w:eastAsia="黑体" w:hAnsi="黑体"/>
        </w:rPr>
        <w:t>四</w:t>
      </w:r>
      <w:r w:rsidRPr="00B45DE7">
        <w:rPr>
          <w:rFonts w:ascii="黑体" w:eastAsia="黑体" w:hAnsi="黑体" w:hint="eastAsia"/>
        </w:rPr>
        <w:t>、</w:t>
      </w:r>
      <w:r w:rsidRPr="00B45DE7">
        <w:rPr>
          <w:rFonts w:ascii="黑体" w:eastAsia="黑体" w:hAnsi="黑体" w:hint="eastAsia"/>
          <w:color w:val="181E33"/>
        </w:rPr>
        <w:t>在服务外包领域所取得的成就</w:t>
      </w:r>
    </w:p>
    <w:p w:rsidR="00054D6F" w:rsidRDefault="00B45DE7" w:rsidP="00054D6F">
      <w:pPr>
        <w:pStyle w:val="a3"/>
        <w:shd w:val="clear" w:color="auto" w:fill="FFFFFF"/>
        <w:spacing w:before="0" w:beforeAutospacing="0" w:after="0" w:afterAutospacing="0" w:line="300" w:lineRule="atLeast"/>
        <w:ind w:right="300"/>
        <w:outlineLvl w:val="3"/>
        <w:rPr>
          <w:rFonts w:asciiTheme="minorEastAsia" w:eastAsiaTheme="minorEastAsia" w:hAnsiTheme="minorEastAsia" w:hint="eastAsia"/>
          <w:color w:val="181E33"/>
          <w:sz w:val="21"/>
          <w:szCs w:val="21"/>
        </w:rPr>
      </w:pPr>
      <w:r>
        <w:rPr>
          <w:rFonts w:ascii="黑体" w:eastAsia="黑体" w:hAnsi="黑体" w:hint="eastAsia"/>
          <w:color w:val="181E33"/>
        </w:rPr>
        <w:t xml:space="preserve">   </w:t>
      </w:r>
      <w:r w:rsidR="00054D6F">
        <w:rPr>
          <w:rFonts w:ascii="黑体" w:eastAsia="黑体" w:hAnsi="黑体" w:hint="eastAsia"/>
          <w:color w:val="181E33"/>
        </w:rPr>
        <w:t xml:space="preserve"> </w:t>
      </w:r>
      <w:r w:rsidRPr="00B45DE7">
        <w:rPr>
          <w:rFonts w:asciiTheme="minorEastAsia" w:eastAsiaTheme="minorEastAsia" w:hAnsiTheme="minorEastAsia" w:hint="eastAsia"/>
          <w:color w:val="181E33"/>
          <w:sz w:val="21"/>
          <w:szCs w:val="21"/>
        </w:rPr>
        <w:t>东软荣获 2019中国软件出口和2019中国服务外包排名双冠</w:t>
      </w:r>
      <w:r w:rsidR="00054D6F">
        <w:rPr>
          <w:rFonts w:asciiTheme="minorEastAsia" w:eastAsiaTheme="minorEastAsia" w:hAnsiTheme="minorEastAsia" w:hint="eastAsia"/>
          <w:color w:val="181E33"/>
          <w:sz w:val="21"/>
          <w:szCs w:val="21"/>
        </w:rPr>
        <w:t>。</w:t>
      </w:r>
    </w:p>
    <w:p w:rsidR="00054D6F" w:rsidRDefault="00B45DE7"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proofErr w:type="gramStart"/>
      <w:r w:rsidRPr="00B45DE7">
        <w:rPr>
          <w:rFonts w:asciiTheme="minorEastAsia" w:eastAsiaTheme="minorEastAsia" w:hAnsiTheme="minorEastAsia" w:hint="eastAsia"/>
          <w:color w:val="181E33"/>
          <w:sz w:val="21"/>
          <w:szCs w:val="21"/>
        </w:rPr>
        <w:t>中国网讯</w:t>
      </w:r>
      <w:proofErr w:type="gramEnd"/>
      <w:r w:rsidRPr="00B45DE7">
        <w:rPr>
          <w:rFonts w:asciiTheme="minorEastAsia" w:eastAsiaTheme="minorEastAsia" w:hAnsiTheme="minorEastAsia" w:hint="eastAsia"/>
          <w:color w:val="181E33"/>
          <w:sz w:val="21"/>
          <w:szCs w:val="21"/>
        </w:rPr>
        <w:t xml:space="preserve"> 6月22日,</w:t>
      </w:r>
      <w:r w:rsidR="00054D6F">
        <w:rPr>
          <w:rFonts w:asciiTheme="minorEastAsia" w:eastAsiaTheme="minorEastAsia" w:hAnsiTheme="minorEastAsia" w:hint="eastAsia"/>
          <w:color w:val="181E33"/>
          <w:sz w:val="21"/>
          <w:szCs w:val="21"/>
        </w:rPr>
        <w:t>经过中国软件和信息服务业网，</w:t>
      </w:r>
      <w:r w:rsidRPr="00B45DE7">
        <w:rPr>
          <w:rFonts w:asciiTheme="minorEastAsia" w:eastAsiaTheme="minorEastAsia" w:hAnsiTheme="minorEastAsia" w:hint="eastAsia"/>
          <w:color w:val="181E33"/>
          <w:sz w:val="21"/>
          <w:szCs w:val="21"/>
        </w:rPr>
        <w:t>近4个月的行业调查访问，正式确定东软集团股份有限公司为“2019中国软件出口企业排名第一”、“2019中国服务外包企业排名第一”。东软集团股份有限公司同时荣获“2019中国软件出口（服务外包）最具竞争力品牌”，东软集团高级副总裁王楠博士荣获“2019中国软件出口（服务外包）年度领袖人物”。</w:t>
      </w:r>
    </w:p>
    <w:p w:rsidR="00054D6F" w:rsidRDefault="00B45DE7"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作为最早关注中国软件出口和服务外包的行业传媒机构,中国软件和信息服务业网自2005年起每年发布一次软件出口和服务外包的企业排名,此前已经连续发布了十五届，是目前国内该领域最早和最有影响力的行业发布活动。</w:t>
      </w:r>
    </w:p>
    <w:p w:rsidR="00054D6F" w:rsidRDefault="00B45DE7"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据中国软件和信息服务业网总编萧亚平先生介绍：发布活动是为了梳理每年在中国软件出口和服务外包中取得突出成就的优秀企业和杰出人物，树立行业楷模，推荐行业品牌。出口排名是对企业的离岸业务的评价，既包括了信息技术外包也包括了软件产品的出口，服务外包排名则是综合统计了企业离岸外包和国内外包业务的总额。</w:t>
      </w:r>
    </w:p>
    <w:p w:rsidR="00054D6F" w:rsidRDefault="00B45DE7"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据了解，东软创立于1991年，是中国第一家上市的软件公司，致力于以软件的创新，赋能新生活，推动社会发展。目前，东软在全球拥有近20000名员工，在中国建立了覆盖60多个城市的研发、销售及服务网络，在日本、欧洲、美国等地设有子公司。</w:t>
      </w:r>
    </w:p>
    <w:p w:rsidR="00054D6F" w:rsidRDefault="00B45DE7"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面向全球市场，东</w:t>
      </w:r>
      <w:proofErr w:type="gramStart"/>
      <w:r w:rsidRPr="00B45DE7">
        <w:rPr>
          <w:rFonts w:asciiTheme="minorEastAsia" w:eastAsiaTheme="minorEastAsia" w:hAnsiTheme="minorEastAsia" w:hint="eastAsia"/>
          <w:color w:val="181E33"/>
          <w:sz w:val="21"/>
          <w:szCs w:val="21"/>
        </w:rPr>
        <w:t>软长期</w:t>
      </w:r>
      <w:proofErr w:type="gramEnd"/>
      <w:r w:rsidRPr="00B45DE7">
        <w:rPr>
          <w:rFonts w:asciiTheme="minorEastAsia" w:eastAsiaTheme="minorEastAsia" w:hAnsiTheme="minorEastAsia" w:hint="eastAsia"/>
          <w:color w:val="181E33"/>
          <w:sz w:val="21"/>
          <w:szCs w:val="21"/>
        </w:rPr>
        <w:t>坚持创新与全球化发展策略，构建具备支撑持续规模化国际业务和商业价值创造力的全面组织能力，先后在中国沈阳、大连、北京、上海、成都、南京等重要城市，逐步建立东软面向全球的外包业务基地和全球软件交付中心，并在日本东京、大阪，名古屋以及美国、欧洲等地建立了本地化的技术支持中心。凭借卓越的外包服务能力和规模，东</w:t>
      </w:r>
      <w:proofErr w:type="gramStart"/>
      <w:r w:rsidRPr="00B45DE7">
        <w:rPr>
          <w:rFonts w:asciiTheme="minorEastAsia" w:eastAsiaTheme="minorEastAsia" w:hAnsiTheme="minorEastAsia" w:hint="eastAsia"/>
          <w:color w:val="181E33"/>
          <w:sz w:val="21"/>
          <w:szCs w:val="21"/>
        </w:rPr>
        <w:t>软连续</w:t>
      </w:r>
      <w:proofErr w:type="gramEnd"/>
      <w:r w:rsidRPr="00B45DE7">
        <w:rPr>
          <w:rFonts w:asciiTheme="minorEastAsia" w:eastAsiaTheme="minorEastAsia" w:hAnsiTheme="minorEastAsia" w:hint="eastAsia"/>
          <w:color w:val="181E33"/>
          <w:sz w:val="21"/>
          <w:szCs w:val="21"/>
        </w:rPr>
        <w:t>七年入选IAOP公布的“2007全球软件外包100强”，五次入围“全球IT服务100强”名单，并且多次蝉联“亚洲新兴外包10强”榜首。</w:t>
      </w:r>
    </w:p>
    <w:p w:rsidR="00B45DE7" w:rsidRPr="00B45DE7" w:rsidRDefault="00B45DE7" w:rsidP="00B45DE7">
      <w:pPr>
        <w:pStyle w:val="a3"/>
        <w:shd w:val="clear" w:color="auto" w:fill="FFFFFF"/>
        <w:spacing w:before="0" w:beforeAutospacing="0" w:after="0" w:afterAutospacing="0" w:line="300" w:lineRule="atLeast"/>
        <w:ind w:right="300"/>
        <w:outlineLvl w:val="3"/>
        <w:rPr>
          <w:rFonts w:ascii="黑体" w:eastAsia="黑体" w:hAnsi="黑体" w:hint="eastAsia"/>
          <w:color w:val="181E33"/>
        </w:rPr>
      </w:pPr>
      <w:r>
        <w:rPr>
          <w:rFonts w:ascii="黑体" w:eastAsia="黑体" w:hAnsi="黑体" w:hint="eastAsia"/>
          <w:color w:val="181E33"/>
        </w:rPr>
        <w:t>五、</w:t>
      </w:r>
      <w:r w:rsidRPr="00B45DE7">
        <w:rPr>
          <w:rFonts w:ascii="黑体" w:eastAsia="黑体" w:hAnsi="黑体" w:hint="eastAsia"/>
          <w:color w:val="181E33"/>
        </w:rPr>
        <w:t>优势领域</w:t>
      </w:r>
    </w:p>
    <w:p w:rsidR="00B45DE7" w:rsidRDefault="00B45DE7" w:rsidP="00B45DE7">
      <w:pPr>
        <w:rPr>
          <w:rFonts w:asciiTheme="minorEastAsia" w:hAnsiTheme="minorEastAsia" w:hint="eastAsia"/>
          <w:szCs w:val="21"/>
        </w:rPr>
      </w:pPr>
      <w:r>
        <w:rPr>
          <w:rFonts w:asciiTheme="minorEastAsia" w:hAnsiTheme="minorEastAsia" w:hint="eastAsia"/>
          <w:szCs w:val="21"/>
        </w:rPr>
        <w:t xml:space="preserve">   </w:t>
      </w:r>
      <w:r w:rsidRPr="00B45DE7">
        <w:rPr>
          <w:rFonts w:asciiTheme="minorEastAsia" w:hAnsiTheme="minorEastAsia" w:hint="eastAsia"/>
          <w:szCs w:val="21"/>
        </w:rPr>
        <w:t>东</w:t>
      </w:r>
      <w:proofErr w:type="gramStart"/>
      <w:r w:rsidRPr="00B45DE7">
        <w:rPr>
          <w:rFonts w:asciiTheme="minorEastAsia" w:hAnsiTheme="minorEastAsia" w:hint="eastAsia"/>
          <w:szCs w:val="21"/>
        </w:rPr>
        <w:t>软提供</w:t>
      </w:r>
      <w:proofErr w:type="gramEnd"/>
      <w:r w:rsidRPr="00B45DE7">
        <w:rPr>
          <w:rFonts w:asciiTheme="minorEastAsia" w:hAnsiTheme="minorEastAsia" w:hint="eastAsia"/>
          <w:szCs w:val="21"/>
        </w:rPr>
        <w:t>行业解决方案和产品工程解决方案以及相关软件产品、平台及服务。行业解决方案涵盖领域包括：电信、能源、金融、政府、制造业、商贸流通业、医疗卫生、教育与文化、交通、移动互联网、传媒、环保等。在汽车电子、智能终端、数字家庭产品、IT产品等产品工程领域，东软嵌入式软件服务于众多全球知名品牌产品, 同时，拥有自有品牌的医疗和网络安全产品。在服务领域，东</w:t>
      </w:r>
      <w:proofErr w:type="gramStart"/>
      <w:r w:rsidRPr="00B45DE7">
        <w:rPr>
          <w:rFonts w:asciiTheme="minorEastAsia" w:hAnsiTheme="minorEastAsia" w:hint="eastAsia"/>
          <w:szCs w:val="21"/>
        </w:rPr>
        <w:t>软提供</w:t>
      </w:r>
      <w:proofErr w:type="gramEnd"/>
      <w:r w:rsidRPr="00B45DE7">
        <w:rPr>
          <w:rFonts w:asciiTheme="minorEastAsia" w:hAnsiTheme="minorEastAsia" w:hint="eastAsia"/>
          <w:szCs w:val="21"/>
        </w:rPr>
        <w:t>包括应用开发和维护、ERP实施与咨询服务、专业测试及性能工程服务、软件全球化与本地化服务、IT基础设施服务、业务流程外包（BPO）、IT教育培训等。</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目前，</w:t>
      </w:r>
      <w:proofErr w:type="gramStart"/>
      <w:r w:rsidRPr="00B45DE7">
        <w:rPr>
          <w:rFonts w:asciiTheme="minorEastAsia" w:eastAsiaTheme="minorEastAsia" w:hAnsiTheme="minorEastAsia" w:hint="eastAsia"/>
          <w:color w:val="181E33"/>
          <w:sz w:val="21"/>
          <w:szCs w:val="21"/>
        </w:rPr>
        <w:t>东软与世界</w:t>
      </w:r>
      <w:proofErr w:type="gramEnd"/>
      <w:r w:rsidRPr="00B45DE7">
        <w:rPr>
          <w:rFonts w:asciiTheme="minorEastAsia" w:eastAsiaTheme="minorEastAsia" w:hAnsiTheme="minorEastAsia" w:hint="eastAsia"/>
          <w:color w:val="181E33"/>
          <w:sz w:val="21"/>
          <w:szCs w:val="21"/>
        </w:rPr>
        <w:t>一流的跨国公司开展积极合作，提供汽车电子、数字家庭产品、移动终端和IT产品等嵌入式软件开发和服务，以及应用开发和维护、ERP实施与咨询服务、专业测试及性能工程服务、软件全球化和本地化服务、IT基础设施服务、业务流程外包(BPO)、IT教育与培训等业务，覆盖政府、金融、保险、通信、信息技术、化工、制造业、服务业、零售业、教育、医疗、制药、烟草、互联网、个人消费品等行业。</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lastRenderedPageBreak/>
        <w:t>在BPO/ITO领域，</w:t>
      </w:r>
      <w:proofErr w:type="gramStart"/>
      <w:r w:rsidRPr="00B45DE7">
        <w:rPr>
          <w:rFonts w:asciiTheme="minorEastAsia" w:eastAsiaTheme="minorEastAsia" w:hAnsiTheme="minorEastAsia" w:hint="eastAsia"/>
          <w:color w:val="181E33"/>
          <w:sz w:val="21"/>
          <w:szCs w:val="21"/>
        </w:rPr>
        <w:t>东软自2003年</w:t>
      </w:r>
      <w:proofErr w:type="gramEnd"/>
      <w:r w:rsidRPr="00B45DE7">
        <w:rPr>
          <w:rFonts w:asciiTheme="minorEastAsia" w:eastAsiaTheme="minorEastAsia" w:hAnsiTheme="minorEastAsia" w:hint="eastAsia"/>
          <w:color w:val="181E33"/>
          <w:sz w:val="21"/>
          <w:szCs w:val="21"/>
        </w:rPr>
        <w:t>以来持续以高端国际服务为核心，优先发展与IT行业密切相关以及更具整体优势的业务领域，面向日本、韩国、欧美等国际市场和国内市场客户提供多语言、多类别、多行业、多地域的一站式外包服务。截止至2019年，东软累计与25个国家近400家客户合作，其中近50家为世界500强。目前，东软的BPO/ITO业务正在向数字化、智能化方向快速迈进，在流程自动化(RPA)、智能客服等领域为多家客户提供了智能服务解决方案，东软 BPO业务已覆盖全球主要服务语言，国际化交付能力得到实质性提升。</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在智能汽车互联领域，东</w:t>
      </w:r>
      <w:proofErr w:type="gramStart"/>
      <w:r w:rsidRPr="00B45DE7">
        <w:rPr>
          <w:rFonts w:asciiTheme="minorEastAsia" w:eastAsiaTheme="minorEastAsia" w:hAnsiTheme="minorEastAsia" w:hint="eastAsia"/>
          <w:color w:val="181E33"/>
          <w:sz w:val="21"/>
          <w:szCs w:val="21"/>
        </w:rPr>
        <w:t>软拥有</w:t>
      </w:r>
      <w:proofErr w:type="gramEnd"/>
      <w:r w:rsidRPr="00B45DE7">
        <w:rPr>
          <w:rFonts w:asciiTheme="minorEastAsia" w:eastAsiaTheme="minorEastAsia" w:hAnsiTheme="minorEastAsia" w:hint="eastAsia"/>
          <w:color w:val="181E33"/>
          <w:sz w:val="21"/>
          <w:szCs w:val="21"/>
        </w:rPr>
        <w:t>近30年服务全球客户的经验，以软件为驱动，推动汽车产业的开放与融合，专注智能网联及车载信息娱乐系统、自动驾驶、共享汽车、电动化领域，致力于打造安全、舒适、智能、绿色的汽车生态系统和移动出行服务。目前已经成功构建了由分布在中国、德国、日本的三千余名优秀人才组成的汽车电子软件研发团队，为众多国内国际车厂、国际汽车电子厂商提供软件与服务。在全球排名前30汽车厂商中，客户覆盖率超过85%。</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在医疗设备领域，东软1994年成功研发中国第一台CT样机，1998年成立东</w:t>
      </w:r>
      <w:proofErr w:type="gramStart"/>
      <w:r w:rsidRPr="00B45DE7">
        <w:rPr>
          <w:rFonts w:asciiTheme="minorEastAsia" w:eastAsiaTheme="minorEastAsia" w:hAnsiTheme="minorEastAsia" w:hint="eastAsia"/>
          <w:color w:val="181E33"/>
          <w:sz w:val="21"/>
          <w:szCs w:val="21"/>
        </w:rPr>
        <w:t>软医疗</w:t>
      </w:r>
      <w:proofErr w:type="gramEnd"/>
      <w:r w:rsidRPr="00B45DE7">
        <w:rPr>
          <w:rFonts w:asciiTheme="minorEastAsia" w:eastAsiaTheme="minorEastAsia" w:hAnsiTheme="minorEastAsia" w:hint="eastAsia"/>
          <w:color w:val="181E33"/>
          <w:sz w:val="21"/>
          <w:szCs w:val="21"/>
        </w:rPr>
        <w:t>公司，先后推出</w:t>
      </w:r>
      <w:proofErr w:type="spellStart"/>
      <w:r w:rsidRPr="00B45DE7">
        <w:rPr>
          <w:rFonts w:asciiTheme="minorEastAsia" w:eastAsiaTheme="minorEastAsia" w:hAnsiTheme="minorEastAsia" w:hint="eastAsia"/>
          <w:color w:val="181E33"/>
          <w:sz w:val="21"/>
          <w:szCs w:val="21"/>
        </w:rPr>
        <w:t>NeuViz</w:t>
      </w:r>
      <w:proofErr w:type="spellEnd"/>
      <w:r w:rsidRPr="00B45DE7">
        <w:rPr>
          <w:rFonts w:asciiTheme="minorEastAsia" w:eastAsiaTheme="minorEastAsia" w:hAnsiTheme="minorEastAsia" w:hint="eastAsia"/>
          <w:color w:val="181E33"/>
          <w:sz w:val="21"/>
          <w:szCs w:val="21"/>
        </w:rPr>
        <w:t xml:space="preserve"> 64 In/En旗舰新品、首台国产128层CT、</w:t>
      </w:r>
      <w:proofErr w:type="spellStart"/>
      <w:r w:rsidRPr="00B45DE7">
        <w:rPr>
          <w:rFonts w:asciiTheme="minorEastAsia" w:eastAsiaTheme="minorEastAsia" w:hAnsiTheme="minorEastAsia" w:hint="eastAsia"/>
          <w:color w:val="181E33"/>
          <w:sz w:val="21"/>
          <w:szCs w:val="21"/>
        </w:rPr>
        <w:t>NeuSight</w:t>
      </w:r>
      <w:proofErr w:type="spellEnd"/>
      <w:r w:rsidRPr="00B45DE7">
        <w:rPr>
          <w:rFonts w:asciiTheme="minorEastAsia" w:eastAsiaTheme="minorEastAsia" w:hAnsiTheme="minorEastAsia" w:hint="eastAsia"/>
          <w:color w:val="181E33"/>
          <w:sz w:val="21"/>
          <w:szCs w:val="21"/>
        </w:rPr>
        <w:t xml:space="preserve"> pet/CT、256层宽体能谱CT、</w:t>
      </w:r>
      <w:proofErr w:type="spellStart"/>
      <w:r w:rsidRPr="00B45DE7">
        <w:rPr>
          <w:rFonts w:asciiTheme="minorEastAsia" w:eastAsiaTheme="minorEastAsia" w:hAnsiTheme="minorEastAsia" w:hint="eastAsia"/>
          <w:color w:val="181E33"/>
          <w:sz w:val="21"/>
          <w:szCs w:val="21"/>
        </w:rPr>
        <w:t>NeuAngio</w:t>
      </w:r>
      <w:proofErr w:type="spellEnd"/>
      <w:r w:rsidRPr="00B45DE7">
        <w:rPr>
          <w:rFonts w:asciiTheme="minorEastAsia" w:eastAsiaTheme="minorEastAsia" w:hAnsiTheme="minorEastAsia" w:hint="eastAsia"/>
          <w:color w:val="181E33"/>
          <w:sz w:val="21"/>
          <w:szCs w:val="21"/>
        </w:rPr>
        <w:t xml:space="preserve"> 30C DSA等产品。目前，东</w:t>
      </w:r>
      <w:proofErr w:type="gramStart"/>
      <w:r w:rsidRPr="00B45DE7">
        <w:rPr>
          <w:rFonts w:asciiTheme="minorEastAsia" w:eastAsiaTheme="minorEastAsia" w:hAnsiTheme="minorEastAsia" w:hint="eastAsia"/>
          <w:color w:val="181E33"/>
          <w:sz w:val="21"/>
          <w:szCs w:val="21"/>
        </w:rPr>
        <w:t>软医疗</w:t>
      </w:r>
      <w:proofErr w:type="gramEnd"/>
      <w:r w:rsidRPr="00B45DE7">
        <w:rPr>
          <w:rFonts w:asciiTheme="minorEastAsia" w:eastAsiaTheme="minorEastAsia" w:hAnsiTheme="minorEastAsia" w:hint="eastAsia"/>
          <w:color w:val="181E33"/>
          <w:sz w:val="21"/>
          <w:szCs w:val="21"/>
        </w:rPr>
        <w:t>的产品已经销往全球 100多个国家和地区，其中包含 80余个“一带一路”合作国家。</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面向未来，</w:t>
      </w:r>
      <w:proofErr w:type="gramStart"/>
      <w:r w:rsidRPr="00B45DE7">
        <w:rPr>
          <w:rFonts w:asciiTheme="minorEastAsia" w:eastAsiaTheme="minorEastAsia" w:hAnsiTheme="minorEastAsia" w:hint="eastAsia"/>
          <w:color w:val="181E33"/>
          <w:sz w:val="21"/>
          <w:szCs w:val="21"/>
        </w:rPr>
        <w:t>东软将持续</w:t>
      </w:r>
      <w:proofErr w:type="gramEnd"/>
      <w:r w:rsidRPr="00B45DE7">
        <w:rPr>
          <w:rFonts w:asciiTheme="minorEastAsia" w:eastAsiaTheme="minorEastAsia" w:hAnsiTheme="minorEastAsia" w:hint="eastAsia"/>
          <w:color w:val="181E33"/>
          <w:sz w:val="21"/>
          <w:szCs w:val="21"/>
        </w:rPr>
        <w:t>坚持创新与全球化战略，融合多行业洞见与丰富的交付经验，赋能客户数字化转型，助力客户商业成长，推动国际业务新一轮升级与发展，持续保持在产品工程领域的领先优势。</w:t>
      </w:r>
    </w:p>
    <w:p w:rsidR="00054D6F"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根据工业和信息化部发布的2019年软件和信息技术服务业统计公报信息：2019年全国软件和信息技术服务业规模以上企业超4万家，累计完成软件业务收入71768亿元，同比增长15.4%。到2019年末全国软件和信息技术服务业从业人数673万人。2019年软件出口形势却显低迷，全年实现出口505.3亿美元，同比下降1.1%。</w:t>
      </w:r>
    </w:p>
    <w:p w:rsidR="00054D6F" w:rsidRPr="00B45DE7" w:rsidRDefault="00054D6F" w:rsidP="00054D6F">
      <w:pPr>
        <w:pStyle w:val="a3"/>
        <w:shd w:val="clear" w:color="auto" w:fill="FFFFFF"/>
        <w:spacing w:before="0" w:beforeAutospacing="0" w:after="0" w:afterAutospacing="0" w:line="300" w:lineRule="atLeast"/>
        <w:ind w:right="300" w:firstLineChars="200" w:firstLine="420"/>
        <w:outlineLvl w:val="3"/>
        <w:rPr>
          <w:rFonts w:asciiTheme="minorEastAsia" w:eastAsiaTheme="minorEastAsia" w:hAnsiTheme="minorEastAsia" w:hint="eastAsia"/>
          <w:color w:val="181E33"/>
          <w:sz w:val="21"/>
          <w:szCs w:val="21"/>
        </w:rPr>
      </w:pPr>
      <w:r w:rsidRPr="00B45DE7">
        <w:rPr>
          <w:rFonts w:asciiTheme="minorEastAsia" w:eastAsiaTheme="minorEastAsia" w:hAnsiTheme="minorEastAsia" w:hint="eastAsia"/>
          <w:color w:val="181E33"/>
          <w:sz w:val="21"/>
          <w:szCs w:val="21"/>
        </w:rPr>
        <w:t>在服务外包方面，据商务部发布的2019年全国服务外包发展情况显示：2019年中国企业承接服务外包合同额15699.1亿元（人民币），执行额10695.7亿元，执行额首次突破万亿元，再创历史新高。其中，离岸服务外包合同额9207.9亿元，执行额6555.8亿元。截至2019年底，全国服务外包从业人员共1172万人。</w:t>
      </w:r>
    </w:p>
    <w:p w:rsidR="00054D6F" w:rsidRPr="00B45DE7" w:rsidRDefault="00054D6F" w:rsidP="00B45DE7">
      <w:pPr>
        <w:rPr>
          <w:rFonts w:asciiTheme="minorEastAsia" w:hAnsiTheme="minorEastAsia"/>
          <w:szCs w:val="21"/>
        </w:rPr>
      </w:pPr>
    </w:p>
    <w:sectPr w:rsidR="00054D6F" w:rsidRPr="00B45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11"/>
    <w:rsid w:val="00054D6F"/>
    <w:rsid w:val="00170520"/>
    <w:rsid w:val="00257E9F"/>
    <w:rsid w:val="003A4711"/>
    <w:rsid w:val="005C7193"/>
    <w:rsid w:val="007F6E5E"/>
    <w:rsid w:val="00B45DE7"/>
    <w:rsid w:val="00CA0605"/>
    <w:rsid w:val="00F1374F"/>
    <w:rsid w:val="00FE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374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37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02495">
      <w:bodyDiv w:val="1"/>
      <w:marLeft w:val="0"/>
      <w:marRight w:val="0"/>
      <w:marTop w:val="0"/>
      <w:marBottom w:val="0"/>
      <w:divBdr>
        <w:top w:val="none" w:sz="0" w:space="0" w:color="auto"/>
        <w:left w:val="none" w:sz="0" w:space="0" w:color="auto"/>
        <w:bottom w:val="none" w:sz="0" w:space="0" w:color="auto"/>
        <w:right w:val="none" w:sz="0" w:space="0" w:color="auto"/>
      </w:divBdr>
      <w:divsChild>
        <w:div w:id="992568114">
          <w:marLeft w:val="0"/>
          <w:marRight w:val="0"/>
          <w:marTop w:val="0"/>
          <w:marBottom w:val="0"/>
          <w:divBdr>
            <w:top w:val="none" w:sz="0" w:space="0" w:color="auto"/>
            <w:left w:val="none" w:sz="0" w:space="0" w:color="auto"/>
            <w:bottom w:val="none" w:sz="0" w:space="0" w:color="auto"/>
            <w:right w:val="none" w:sz="0" w:space="0" w:color="auto"/>
          </w:divBdr>
        </w:div>
        <w:div w:id="442000163">
          <w:marLeft w:val="0"/>
          <w:marRight w:val="0"/>
          <w:marTop w:val="330"/>
          <w:marBottom w:val="0"/>
          <w:divBdr>
            <w:top w:val="none" w:sz="0" w:space="0" w:color="auto"/>
            <w:left w:val="none" w:sz="0" w:space="0" w:color="auto"/>
            <w:bottom w:val="none" w:sz="0" w:space="0" w:color="auto"/>
            <w:right w:val="none" w:sz="0" w:space="0" w:color="auto"/>
          </w:divBdr>
        </w:div>
        <w:div w:id="1848596146">
          <w:marLeft w:val="0"/>
          <w:marRight w:val="0"/>
          <w:marTop w:val="330"/>
          <w:marBottom w:val="0"/>
          <w:divBdr>
            <w:top w:val="none" w:sz="0" w:space="0" w:color="auto"/>
            <w:left w:val="none" w:sz="0" w:space="0" w:color="auto"/>
            <w:bottom w:val="none" w:sz="0" w:space="0" w:color="auto"/>
            <w:right w:val="none" w:sz="0" w:space="0" w:color="auto"/>
          </w:divBdr>
        </w:div>
        <w:div w:id="502555309">
          <w:marLeft w:val="0"/>
          <w:marRight w:val="0"/>
          <w:marTop w:val="330"/>
          <w:marBottom w:val="0"/>
          <w:divBdr>
            <w:top w:val="none" w:sz="0" w:space="0" w:color="auto"/>
            <w:left w:val="none" w:sz="0" w:space="0" w:color="auto"/>
            <w:bottom w:val="none" w:sz="0" w:space="0" w:color="auto"/>
            <w:right w:val="none" w:sz="0" w:space="0" w:color="auto"/>
          </w:divBdr>
        </w:div>
        <w:div w:id="885989345">
          <w:marLeft w:val="0"/>
          <w:marRight w:val="0"/>
          <w:marTop w:val="330"/>
          <w:marBottom w:val="0"/>
          <w:divBdr>
            <w:top w:val="none" w:sz="0" w:space="0" w:color="auto"/>
            <w:left w:val="none" w:sz="0" w:space="0" w:color="auto"/>
            <w:bottom w:val="none" w:sz="0" w:space="0" w:color="auto"/>
            <w:right w:val="none" w:sz="0" w:space="0" w:color="auto"/>
          </w:divBdr>
        </w:div>
        <w:div w:id="2079555217">
          <w:marLeft w:val="0"/>
          <w:marRight w:val="0"/>
          <w:marTop w:val="330"/>
          <w:marBottom w:val="0"/>
          <w:divBdr>
            <w:top w:val="none" w:sz="0" w:space="0" w:color="auto"/>
            <w:left w:val="none" w:sz="0" w:space="0" w:color="auto"/>
            <w:bottom w:val="none" w:sz="0" w:space="0" w:color="auto"/>
            <w:right w:val="none" w:sz="0" w:space="0" w:color="auto"/>
          </w:divBdr>
        </w:div>
        <w:div w:id="1096947636">
          <w:marLeft w:val="0"/>
          <w:marRight w:val="0"/>
          <w:marTop w:val="330"/>
          <w:marBottom w:val="0"/>
          <w:divBdr>
            <w:top w:val="none" w:sz="0" w:space="0" w:color="auto"/>
            <w:left w:val="none" w:sz="0" w:space="0" w:color="auto"/>
            <w:bottom w:val="none" w:sz="0" w:space="0" w:color="auto"/>
            <w:right w:val="none" w:sz="0" w:space="0" w:color="auto"/>
          </w:divBdr>
        </w:div>
        <w:div w:id="1777283866">
          <w:marLeft w:val="0"/>
          <w:marRight w:val="0"/>
          <w:marTop w:val="330"/>
          <w:marBottom w:val="0"/>
          <w:divBdr>
            <w:top w:val="none" w:sz="0" w:space="0" w:color="auto"/>
            <w:left w:val="none" w:sz="0" w:space="0" w:color="auto"/>
            <w:bottom w:val="none" w:sz="0" w:space="0" w:color="auto"/>
            <w:right w:val="none" w:sz="0" w:space="0" w:color="auto"/>
          </w:divBdr>
        </w:div>
        <w:div w:id="30083118">
          <w:marLeft w:val="0"/>
          <w:marRight w:val="0"/>
          <w:marTop w:val="330"/>
          <w:marBottom w:val="0"/>
          <w:divBdr>
            <w:top w:val="none" w:sz="0" w:space="0" w:color="auto"/>
            <w:left w:val="none" w:sz="0" w:space="0" w:color="auto"/>
            <w:bottom w:val="none" w:sz="0" w:space="0" w:color="auto"/>
            <w:right w:val="none" w:sz="0" w:space="0" w:color="auto"/>
          </w:divBdr>
        </w:div>
        <w:div w:id="1614746489">
          <w:marLeft w:val="0"/>
          <w:marRight w:val="0"/>
          <w:marTop w:val="330"/>
          <w:marBottom w:val="0"/>
          <w:divBdr>
            <w:top w:val="none" w:sz="0" w:space="0" w:color="auto"/>
            <w:left w:val="none" w:sz="0" w:space="0" w:color="auto"/>
            <w:bottom w:val="none" w:sz="0" w:space="0" w:color="auto"/>
            <w:right w:val="none" w:sz="0" w:space="0" w:color="auto"/>
          </w:divBdr>
        </w:div>
        <w:div w:id="194780749">
          <w:marLeft w:val="0"/>
          <w:marRight w:val="0"/>
          <w:marTop w:val="330"/>
          <w:marBottom w:val="0"/>
          <w:divBdr>
            <w:top w:val="none" w:sz="0" w:space="0" w:color="auto"/>
            <w:left w:val="none" w:sz="0" w:space="0" w:color="auto"/>
            <w:bottom w:val="none" w:sz="0" w:space="0" w:color="auto"/>
            <w:right w:val="none" w:sz="0" w:space="0" w:color="auto"/>
          </w:divBdr>
        </w:div>
        <w:div w:id="2061397772">
          <w:marLeft w:val="0"/>
          <w:marRight w:val="0"/>
          <w:marTop w:val="330"/>
          <w:marBottom w:val="0"/>
          <w:divBdr>
            <w:top w:val="none" w:sz="0" w:space="0" w:color="auto"/>
            <w:left w:val="none" w:sz="0" w:space="0" w:color="auto"/>
            <w:bottom w:val="none" w:sz="0" w:space="0" w:color="auto"/>
            <w:right w:val="none" w:sz="0" w:space="0" w:color="auto"/>
          </w:divBdr>
        </w:div>
        <w:div w:id="1185511050">
          <w:marLeft w:val="0"/>
          <w:marRight w:val="0"/>
          <w:marTop w:val="330"/>
          <w:marBottom w:val="0"/>
          <w:divBdr>
            <w:top w:val="none" w:sz="0" w:space="0" w:color="auto"/>
            <w:left w:val="none" w:sz="0" w:space="0" w:color="auto"/>
            <w:bottom w:val="none" w:sz="0" w:space="0" w:color="auto"/>
            <w:right w:val="none" w:sz="0" w:space="0" w:color="auto"/>
          </w:divBdr>
        </w:div>
      </w:divsChild>
    </w:div>
    <w:div w:id="1099063152">
      <w:bodyDiv w:val="1"/>
      <w:marLeft w:val="0"/>
      <w:marRight w:val="0"/>
      <w:marTop w:val="0"/>
      <w:marBottom w:val="0"/>
      <w:divBdr>
        <w:top w:val="none" w:sz="0" w:space="0" w:color="auto"/>
        <w:left w:val="none" w:sz="0" w:space="0" w:color="auto"/>
        <w:bottom w:val="none" w:sz="0" w:space="0" w:color="auto"/>
        <w:right w:val="none" w:sz="0" w:space="0" w:color="auto"/>
      </w:divBdr>
      <w:divsChild>
        <w:div w:id="715079323">
          <w:marLeft w:val="-450"/>
          <w:marRight w:val="0"/>
          <w:marTop w:val="525"/>
          <w:marBottom w:val="225"/>
          <w:divBdr>
            <w:top w:val="none" w:sz="0" w:space="0" w:color="auto"/>
            <w:left w:val="single" w:sz="48" w:space="0" w:color="4F9CEE"/>
            <w:bottom w:val="none" w:sz="0" w:space="0" w:color="auto"/>
            <w:right w:val="none" w:sz="0" w:space="0" w:color="auto"/>
          </w:divBdr>
        </w:div>
        <w:div w:id="940071354">
          <w:marLeft w:val="0"/>
          <w:marRight w:val="0"/>
          <w:marTop w:val="0"/>
          <w:marBottom w:val="225"/>
          <w:divBdr>
            <w:top w:val="none" w:sz="0" w:space="0" w:color="auto"/>
            <w:left w:val="none" w:sz="0" w:space="0" w:color="auto"/>
            <w:bottom w:val="none" w:sz="0" w:space="0" w:color="auto"/>
            <w:right w:val="none" w:sz="0" w:space="0" w:color="auto"/>
          </w:divBdr>
          <w:divsChild>
            <w:div w:id="174464686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545481881">
          <w:marLeft w:val="0"/>
          <w:marRight w:val="0"/>
          <w:marTop w:val="0"/>
          <w:marBottom w:val="225"/>
          <w:divBdr>
            <w:top w:val="none" w:sz="0" w:space="0" w:color="auto"/>
            <w:left w:val="none" w:sz="0" w:space="0" w:color="auto"/>
            <w:bottom w:val="none" w:sz="0" w:space="0" w:color="auto"/>
            <w:right w:val="none" w:sz="0" w:space="0" w:color="auto"/>
          </w:divBdr>
        </w:div>
      </w:divsChild>
    </w:div>
    <w:div w:id="1593851239">
      <w:bodyDiv w:val="1"/>
      <w:marLeft w:val="0"/>
      <w:marRight w:val="0"/>
      <w:marTop w:val="0"/>
      <w:marBottom w:val="0"/>
      <w:divBdr>
        <w:top w:val="none" w:sz="0" w:space="0" w:color="auto"/>
        <w:left w:val="none" w:sz="0" w:space="0" w:color="auto"/>
        <w:bottom w:val="none" w:sz="0" w:space="0" w:color="auto"/>
        <w:right w:val="none" w:sz="0" w:space="0" w:color="auto"/>
      </w:divBdr>
    </w:div>
    <w:div w:id="1787113096">
      <w:bodyDiv w:val="1"/>
      <w:marLeft w:val="0"/>
      <w:marRight w:val="0"/>
      <w:marTop w:val="0"/>
      <w:marBottom w:val="0"/>
      <w:divBdr>
        <w:top w:val="none" w:sz="0" w:space="0" w:color="auto"/>
        <w:left w:val="none" w:sz="0" w:space="0" w:color="auto"/>
        <w:bottom w:val="none" w:sz="0" w:space="0" w:color="auto"/>
        <w:right w:val="none" w:sz="0" w:space="0" w:color="auto"/>
      </w:divBdr>
    </w:div>
    <w:div w:id="1904560048">
      <w:bodyDiv w:val="1"/>
      <w:marLeft w:val="0"/>
      <w:marRight w:val="0"/>
      <w:marTop w:val="0"/>
      <w:marBottom w:val="0"/>
      <w:divBdr>
        <w:top w:val="none" w:sz="0" w:space="0" w:color="auto"/>
        <w:left w:val="none" w:sz="0" w:space="0" w:color="auto"/>
        <w:bottom w:val="none" w:sz="0" w:space="0" w:color="auto"/>
        <w:right w:val="none" w:sz="0" w:space="0" w:color="auto"/>
      </w:divBdr>
    </w:div>
    <w:div w:id="1905215479">
      <w:bodyDiv w:val="1"/>
      <w:marLeft w:val="0"/>
      <w:marRight w:val="0"/>
      <w:marTop w:val="0"/>
      <w:marBottom w:val="0"/>
      <w:divBdr>
        <w:top w:val="none" w:sz="0" w:space="0" w:color="auto"/>
        <w:left w:val="none" w:sz="0" w:space="0" w:color="auto"/>
        <w:bottom w:val="none" w:sz="0" w:space="0" w:color="auto"/>
        <w:right w:val="none" w:sz="0" w:space="0" w:color="auto"/>
      </w:divBdr>
      <w:divsChild>
        <w:div w:id="106896980">
          <w:marLeft w:val="-450"/>
          <w:marRight w:val="0"/>
          <w:marTop w:val="525"/>
          <w:marBottom w:val="225"/>
          <w:divBdr>
            <w:top w:val="none" w:sz="0" w:space="0" w:color="auto"/>
            <w:left w:val="single" w:sz="48" w:space="0" w:color="4F9CEE"/>
            <w:bottom w:val="none" w:sz="0" w:space="0" w:color="auto"/>
            <w:right w:val="none" w:sz="0" w:space="0" w:color="auto"/>
          </w:divBdr>
        </w:div>
        <w:div w:id="221914974">
          <w:marLeft w:val="0"/>
          <w:marRight w:val="0"/>
          <w:marTop w:val="0"/>
          <w:marBottom w:val="225"/>
          <w:divBdr>
            <w:top w:val="none" w:sz="0" w:space="0" w:color="auto"/>
            <w:left w:val="none" w:sz="0" w:space="0" w:color="auto"/>
            <w:bottom w:val="none" w:sz="0" w:space="0" w:color="auto"/>
            <w:right w:val="none" w:sz="0" w:space="0" w:color="auto"/>
          </w:divBdr>
        </w:div>
        <w:div w:id="1245454597">
          <w:marLeft w:val="0"/>
          <w:marRight w:val="0"/>
          <w:marTop w:val="0"/>
          <w:marBottom w:val="225"/>
          <w:divBdr>
            <w:top w:val="none" w:sz="0" w:space="0" w:color="auto"/>
            <w:left w:val="none" w:sz="0" w:space="0" w:color="auto"/>
            <w:bottom w:val="none" w:sz="0" w:space="0" w:color="auto"/>
            <w:right w:val="none" w:sz="0" w:space="0" w:color="auto"/>
          </w:divBdr>
        </w:div>
        <w:div w:id="1633705172">
          <w:marLeft w:val="0"/>
          <w:marRight w:val="0"/>
          <w:marTop w:val="0"/>
          <w:marBottom w:val="225"/>
          <w:divBdr>
            <w:top w:val="none" w:sz="0" w:space="0" w:color="auto"/>
            <w:left w:val="none" w:sz="0" w:space="0" w:color="auto"/>
            <w:bottom w:val="none" w:sz="0" w:space="0" w:color="auto"/>
            <w:right w:val="none" w:sz="0" w:space="0" w:color="auto"/>
          </w:divBdr>
        </w:div>
        <w:div w:id="1446655227">
          <w:marLeft w:val="0"/>
          <w:marRight w:val="0"/>
          <w:marTop w:val="0"/>
          <w:marBottom w:val="225"/>
          <w:divBdr>
            <w:top w:val="none" w:sz="0" w:space="0" w:color="auto"/>
            <w:left w:val="none" w:sz="0" w:space="0" w:color="auto"/>
            <w:bottom w:val="none" w:sz="0" w:space="0" w:color="auto"/>
            <w:right w:val="none" w:sz="0" w:space="0" w:color="auto"/>
          </w:divBdr>
        </w:div>
        <w:div w:id="712271024">
          <w:marLeft w:val="0"/>
          <w:marRight w:val="0"/>
          <w:marTop w:val="0"/>
          <w:marBottom w:val="225"/>
          <w:divBdr>
            <w:top w:val="none" w:sz="0" w:space="0" w:color="auto"/>
            <w:left w:val="none" w:sz="0" w:space="0" w:color="auto"/>
            <w:bottom w:val="none" w:sz="0" w:space="0" w:color="auto"/>
            <w:right w:val="none" w:sz="0" w:space="0" w:color="auto"/>
          </w:divBdr>
        </w:div>
        <w:div w:id="1359235700">
          <w:marLeft w:val="0"/>
          <w:marRight w:val="0"/>
          <w:marTop w:val="0"/>
          <w:marBottom w:val="225"/>
          <w:divBdr>
            <w:top w:val="none" w:sz="0" w:space="0" w:color="auto"/>
            <w:left w:val="none" w:sz="0" w:space="0" w:color="auto"/>
            <w:bottom w:val="none" w:sz="0" w:space="0" w:color="auto"/>
            <w:right w:val="none" w:sz="0" w:space="0" w:color="auto"/>
          </w:divBdr>
        </w:div>
      </w:divsChild>
    </w:div>
    <w:div w:id="2098095866">
      <w:bodyDiv w:val="1"/>
      <w:marLeft w:val="0"/>
      <w:marRight w:val="0"/>
      <w:marTop w:val="0"/>
      <w:marBottom w:val="0"/>
      <w:divBdr>
        <w:top w:val="none" w:sz="0" w:space="0" w:color="auto"/>
        <w:left w:val="none" w:sz="0" w:space="0" w:color="auto"/>
        <w:bottom w:val="none" w:sz="0" w:space="0" w:color="auto"/>
        <w:right w:val="none" w:sz="0" w:space="0" w:color="auto"/>
      </w:divBdr>
      <w:divsChild>
        <w:div w:id="1389380013">
          <w:marLeft w:val="0"/>
          <w:marRight w:val="0"/>
          <w:marTop w:val="300"/>
          <w:marBottom w:val="180"/>
          <w:divBdr>
            <w:top w:val="none" w:sz="0" w:space="0" w:color="auto"/>
            <w:left w:val="none" w:sz="0" w:space="0" w:color="auto"/>
            <w:bottom w:val="none" w:sz="0" w:space="0" w:color="auto"/>
            <w:right w:val="none" w:sz="0" w:space="0" w:color="auto"/>
          </w:divBdr>
        </w:div>
        <w:div w:id="608512066">
          <w:marLeft w:val="0"/>
          <w:marRight w:val="0"/>
          <w:marTop w:val="0"/>
          <w:marBottom w:val="225"/>
          <w:divBdr>
            <w:top w:val="none" w:sz="0" w:space="0" w:color="auto"/>
            <w:left w:val="none" w:sz="0" w:space="0" w:color="auto"/>
            <w:bottom w:val="none" w:sz="0" w:space="0" w:color="auto"/>
            <w:right w:val="none" w:sz="0" w:space="0" w:color="auto"/>
          </w:divBdr>
        </w:div>
        <w:div w:id="1838762550">
          <w:marLeft w:val="0"/>
          <w:marRight w:val="0"/>
          <w:marTop w:val="0"/>
          <w:marBottom w:val="225"/>
          <w:divBdr>
            <w:top w:val="none" w:sz="0" w:space="0" w:color="auto"/>
            <w:left w:val="none" w:sz="0" w:space="0" w:color="auto"/>
            <w:bottom w:val="none" w:sz="0" w:space="0" w:color="auto"/>
            <w:right w:val="none" w:sz="0" w:space="0" w:color="auto"/>
          </w:divBdr>
        </w:div>
        <w:div w:id="437917712">
          <w:marLeft w:val="0"/>
          <w:marRight w:val="0"/>
          <w:marTop w:val="0"/>
          <w:marBottom w:val="225"/>
          <w:divBdr>
            <w:top w:val="none" w:sz="0" w:space="0" w:color="auto"/>
            <w:left w:val="none" w:sz="0" w:space="0" w:color="auto"/>
            <w:bottom w:val="none" w:sz="0" w:space="0" w:color="auto"/>
            <w:right w:val="none" w:sz="0" w:space="0" w:color="auto"/>
          </w:divBdr>
        </w:div>
        <w:div w:id="833833710">
          <w:marLeft w:val="0"/>
          <w:marRight w:val="0"/>
          <w:marTop w:val="0"/>
          <w:marBottom w:val="225"/>
          <w:divBdr>
            <w:top w:val="none" w:sz="0" w:space="0" w:color="auto"/>
            <w:left w:val="none" w:sz="0" w:space="0" w:color="auto"/>
            <w:bottom w:val="none" w:sz="0" w:space="0" w:color="auto"/>
            <w:right w:val="none" w:sz="0" w:space="0" w:color="auto"/>
          </w:divBdr>
        </w:div>
        <w:div w:id="582494478">
          <w:marLeft w:val="0"/>
          <w:marRight w:val="0"/>
          <w:marTop w:val="0"/>
          <w:marBottom w:val="225"/>
          <w:divBdr>
            <w:top w:val="none" w:sz="0" w:space="0" w:color="auto"/>
            <w:left w:val="none" w:sz="0" w:space="0" w:color="auto"/>
            <w:bottom w:val="none" w:sz="0" w:space="0" w:color="auto"/>
            <w:right w:val="none" w:sz="0" w:space="0" w:color="auto"/>
          </w:divBdr>
        </w:div>
        <w:div w:id="529270761">
          <w:marLeft w:val="0"/>
          <w:marRight w:val="0"/>
          <w:marTop w:val="0"/>
          <w:marBottom w:val="225"/>
          <w:divBdr>
            <w:top w:val="none" w:sz="0" w:space="0" w:color="auto"/>
            <w:left w:val="none" w:sz="0" w:space="0" w:color="auto"/>
            <w:bottom w:val="none" w:sz="0" w:space="0" w:color="auto"/>
            <w:right w:val="none" w:sz="0" w:space="0" w:color="auto"/>
          </w:divBdr>
        </w:div>
        <w:div w:id="1874076356">
          <w:marLeft w:val="0"/>
          <w:marRight w:val="0"/>
          <w:marTop w:val="0"/>
          <w:marBottom w:val="225"/>
          <w:divBdr>
            <w:top w:val="none" w:sz="0" w:space="0" w:color="auto"/>
            <w:left w:val="none" w:sz="0" w:space="0" w:color="auto"/>
            <w:bottom w:val="none" w:sz="0" w:space="0" w:color="auto"/>
            <w:right w:val="none" w:sz="0" w:space="0" w:color="auto"/>
          </w:divBdr>
        </w:div>
        <w:div w:id="1059748120">
          <w:marLeft w:val="0"/>
          <w:marRight w:val="0"/>
          <w:marTop w:val="0"/>
          <w:marBottom w:val="225"/>
          <w:divBdr>
            <w:top w:val="none" w:sz="0" w:space="0" w:color="auto"/>
            <w:left w:val="none" w:sz="0" w:space="0" w:color="auto"/>
            <w:bottom w:val="none" w:sz="0" w:space="0" w:color="auto"/>
            <w:right w:val="none" w:sz="0" w:space="0" w:color="auto"/>
          </w:divBdr>
        </w:div>
        <w:div w:id="1077627083">
          <w:marLeft w:val="0"/>
          <w:marRight w:val="0"/>
          <w:marTop w:val="0"/>
          <w:marBottom w:val="225"/>
          <w:divBdr>
            <w:top w:val="none" w:sz="0" w:space="0" w:color="auto"/>
            <w:left w:val="none" w:sz="0" w:space="0" w:color="auto"/>
            <w:bottom w:val="none" w:sz="0" w:space="0" w:color="auto"/>
            <w:right w:val="none" w:sz="0" w:space="0" w:color="auto"/>
          </w:divBdr>
        </w:div>
        <w:div w:id="1127165560">
          <w:marLeft w:val="0"/>
          <w:marRight w:val="0"/>
          <w:marTop w:val="0"/>
          <w:marBottom w:val="225"/>
          <w:divBdr>
            <w:top w:val="none" w:sz="0" w:space="0" w:color="auto"/>
            <w:left w:val="none" w:sz="0" w:space="0" w:color="auto"/>
            <w:bottom w:val="none" w:sz="0" w:space="0" w:color="auto"/>
            <w:right w:val="none" w:sz="0" w:space="0" w:color="auto"/>
          </w:divBdr>
        </w:div>
        <w:div w:id="1156066747">
          <w:marLeft w:val="0"/>
          <w:marRight w:val="0"/>
          <w:marTop w:val="0"/>
          <w:marBottom w:val="225"/>
          <w:divBdr>
            <w:top w:val="none" w:sz="0" w:space="0" w:color="auto"/>
            <w:left w:val="none" w:sz="0" w:space="0" w:color="auto"/>
            <w:bottom w:val="none" w:sz="0" w:space="0" w:color="auto"/>
            <w:right w:val="none" w:sz="0" w:space="0" w:color="auto"/>
          </w:divBdr>
        </w:div>
        <w:div w:id="1883664316">
          <w:marLeft w:val="0"/>
          <w:marRight w:val="0"/>
          <w:marTop w:val="0"/>
          <w:marBottom w:val="225"/>
          <w:divBdr>
            <w:top w:val="none" w:sz="0" w:space="0" w:color="auto"/>
            <w:left w:val="none" w:sz="0" w:space="0" w:color="auto"/>
            <w:bottom w:val="none" w:sz="0" w:space="0" w:color="auto"/>
            <w:right w:val="none" w:sz="0" w:space="0" w:color="auto"/>
          </w:divBdr>
        </w:div>
        <w:div w:id="793450285">
          <w:marLeft w:val="0"/>
          <w:marRight w:val="0"/>
          <w:marTop w:val="0"/>
          <w:marBottom w:val="225"/>
          <w:divBdr>
            <w:top w:val="none" w:sz="0" w:space="0" w:color="auto"/>
            <w:left w:val="none" w:sz="0" w:space="0" w:color="auto"/>
            <w:bottom w:val="none" w:sz="0" w:space="0" w:color="auto"/>
            <w:right w:val="none" w:sz="0" w:space="0" w:color="auto"/>
          </w:divBdr>
        </w:div>
        <w:div w:id="462191847">
          <w:marLeft w:val="0"/>
          <w:marRight w:val="0"/>
          <w:marTop w:val="0"/>
          <w:marBottom w:val="225"/>
          <w:divBdr>
            <w:top w:val="none" w:sz="0" w:space="0" w:color="auto"/>
            <w:left w:val="none" w:sz="0" w:space="0" w:color="auto"/>
            <w:bottom w:val="none" w:sz="0" w:space="0" w:color="auto"/>
            <w:right w:val="none" w:sz="0" w:space="0" w:color="auto"/>
          </w:divBdr>
        </w:div>
        <w:div w:id="1762338396">
          <w:marLeft w:val="0"/>
          <w:marRight w:val="0"/>
          <w:marTop w:val="0"/>
          <w:marBottom w:val="225"/>
          <w:divBdr>
            <w:top w:val="none" w:sz="0" w:space="0" w:color="auto"/>
            <w:left w:val="none" w:sz="0" w:space="0" w:color="auto"/>
            <w:bottom w:val="none" w:sz="0" w:space="0" w:color="auto"/>
            <w:right w:val="none" w:sz="0" w:space="0" w:color="auto"/>
          </w:divBdr>
        </w:div>
        <w:div w:id="542794629">
          <w:marLeft w:val="0"/>
          <w:marRight w:val="0"/>
          <w:marTop w:val="0"/>
          <w:marBottom w:val="225"/>
          <w:divBdr>
            <w:top w:val="none" w:sz="0" w:space="0" w:color="auto"/>
            <w:left w:val="none" w:sz="0" w:space="0" w:color="auto"/>
            <w:bottom w:val="none" w:sz="0" w:space="0" w:color="auto"/>
            <w:right w:val="none" w:sz="0" w:space="0" w:color="auto"/>
          </w:divBdr>
        </w:div>
        <w:div w:id="431390354">
          <w:marLeft w:val="0"/>
          <w:marRight w:val="0"/>
          <w:marTop w:val="0"/>
          <w:marBottom w:val="225"/>
          <w:divBdr>
            <w:top w:val="none" w:sz="0" w:space="0" w:color="auto"/>
            <w:left w:val="none" w:sz="0" w:space="0" w:color="auto"/>
            <w:bottom w:val="none" w:sz="0" w:space="0" w:color="auto"/>
            <w:right w:val="none" w:sz="0" w:space="0" w:color="auto"/>
          </w:divBdr>
        </w:div>
        <w:div w:id="1657150344">
          <w:marLeft w:val="0"/>
          <w:marRight w:val="0"/>
          <w:marTop w:val="300"/>
          <w:marBottom w:val="180"/>
          <w:divBdr>
            <w:top w:val="none" w:sz="0" w:space="0" w:color="auto"/>
            <w:left w:val="none" w:sz="0" w:space="0" w:color="auto"/>
            <w:bottom w:val="none" w:sz="0" w:space="0" w:color="auto"/>
            <w:right w:val="none" w:sz="0" w:space="0" w:color="auto"/>
          </w:divBdr>
        </w:div>
        <w:div w:id="1395157434">
          <w:marLeft w:val="0"/>
          <w:marRight w:val="0"/>
          <w:marTop w:val="0"/>
          <w:marBottom w:val="225"/>
          <w:divBdr>
            <w:top w:val="none" w:sz="0" w:space="0" w:color="auto"/>
            <w:left w:val="none" w:sz="0" w:space="0" w:color="auto"/>
            <w:bottom w:val="none" w:sz="0" w:space="0" w:color="auto"/>
            <w:right w:val="none" w:sz="0" w:space="0" w:color="auto"/>
          </w:divBdr>
        </w:div>
        <w:div w:id="659193316">
          <w:marLeft w:val="0"/>
          <w:marRight w:val="0"/>
          <w:marTop w:val="0"/>
          <w:marBottom w:val="225"/>
          <w:divBdr>
            <w:top w:val="none" w:sz="0" w:space="0" w:color="auto"/>
            <w:left w:val="none" w:sz="0" w:space="0" w:color="auto"/>
            <w:bottom w:val="none" w:sz="0" w:space="0" w:color="auto"/>
            <w:right w:val="none" w:sz="0" w:space="0" w:color="auto"/>
          </w:divBdr>
        </w:div>
        <w:div w:id="867789686">
          <w:marLeft w:val="0"/>
          <w:marRight w:val="0"/>
          <w:marTop w:val="0"/>
          <w:marBottom w:val="225"/>
          <w:divBdr>
            <w:top w:val="none" w:sz="0" w:space="0" w:color="auto"/>
            <w:left w:val="none" w:sz="0" w:space="0" w:color="auto"/>
            <w:bottom w:val="none" w:sz="0" w:space="0" w:color="auto"/>
            <w:right w:val="none" w:sz="0" w:space="0" w:color="auto"/>
          </w:divBdr>
        </w:div>
        <w:div w:id="1024095422">
          <w:marLeft w:val="0"/>
          <w:marRight w:val="0"/>
          <w:marTop w:val="0"/>
          <w:marBottom w:val="225"/>
          <w:divBdr>
            <w:top w:val="none" w:sz="0" w:space="0" w:color="auto"/>
            <w:left w:val="none" w:sz="0" w:space="0" w:color="auto"/>
            <w:bottom w:val="none" w:sz="0" w:space="0" w:color="auto"/>
            <w:right w:val="none" w:sz="0" w:space="0" w:color="auto"/>
          </w:divBdr>
        </w:div>
        <w:div w:id="1216696803">
          <w:marLeft w:val="0"/>
          <w:marRight w:val="0"/>
          <w:marTop w:val="0"/>
          <w:marBottom w:val="225"/>
          <w:divBdr>
            <w:top w:val="none" w:sz="0" w:space="0" w:color="auto"/>
            <w:left w:val="none" w:sz="0" w:space="0" w:color="auto"/>
            <w:bottom w:val="none" w:sz="0" w:space="0" w:color="auto"/>
            <w:right w:val="none" w:sz="0" w:space="0" w:color="auto"/>
          </w:divBdr>
        </w:div>
        <w:div w:id="264315565">
          <w:marLeft w:val="0"/>
          <w:marRight w:val="0"/>
          <w:marTop w:val="0"/>
          <w:marBottom w:val="225"/>
          <w:divBdr>
            <w:top w:val="none" w:sz="0" w:space="0" w:color="auto"/>
            <w:left w:val="none" w:sz="0" w:space="0" w:color="auto"/>
            <w:bottom w:val="none" w:sz="0" w:space="0" w:color="auto"/>
            <w:right w:val="none" w:sz="0" w:space="0" w:color="auto"/>
          </w:divBdr>
        </w:div>
        <w:div w:id="1684284192">
          <w:marLeft w:val="0"/>
          <w:marRight w:val="0"/>
          <w:marTop w:val="0"/>
          <w:marBottom w:val="225"/>
          <w:divBdr>
            <w:top w:val="none" w:sz="0" w:space="0" w:color="auto"/>
            <w:left w:val="none" w:sz="0" w:space="0" w:color="auto"/>
            <w:bottom w:val="none" w:sz="0" w:space="0" w:color="auto"/>
            <w:right w:val="none" w:sz="0" w:space="0" w:color="auto"/>
          </w:divBdr>
        </w:div>
        <w:div w:id="365831662">
          <w:marLeft w:val="0"/>
          <w:marRight w:val="0"/>
          <w:marTop w:val="0"/>
          <w:marBottom w:val="225"/>
          <w:divBdr>
            <w:top w:val="none" w:sz="0" w:space="0" w:color="auto"/>
            <w:left w:val="none" w:sz="0" w:space="0" w:color="auto"/>
            <w:bottom w:val="none" w:sz="0" w:space="0" w:color="auto"/>
            <w:right w:val="none" w:sz="0" w:space="0" w:color="auto"/>
          </w:divBdr>
        </w:div>
        <w:div w:id="671028415">
          <w:marLeft w:val="0"/>
          <w:marRight w:val="0"/>
          <w:marTop w:val="0"/>
          <w:marBottom w:val="225"/>
          <w:divBdr>
            <w:top w:val="none" w:sz="0" w:space="0" w:color="auto"/>
            <w:left w:val="none" w:sz="0" w:space="0" w:color="auto"/>
            <w:bottom w:val="none" w:sz="0" w:space="0" w:color="auto"/>
            <w:right w:val="none" w:sz="0" w:space="0" w:color="auto"/>
          </w:divBdr>
        </w:div>
        <w:div w:id="1930770028">
          <w:marLeft w:val="0"/>
          <w:marRight w:val="0"/>
          <w:marTop w:val="0"/>
          <w:marBottom w:val="225"/>
          <w:divBdr>
            <w:top w:val="none" w:sz="0" w:space="0" w:color="auto"/>
            <w:left w:val="none" w:sz="0" w:space="0" w:color="auto"/>
            <w:bottom w:val="none" w:sz="0" w:space="0" w:color="auto"/>
            <w:right w:val="none" w:sz="0" w:space="0" w:color="auto"/>
          </w:divBdr>
        </w:div>
        <w:div w:id="1816025149">
          <w:marLeft w:val="0"/>
          <w:marRight w:val="0"/>
          <w:marTop w:val="0"/>
          <w:marBottom w:val="225"/>
          <w:divBdr>
            <w:top w:val="none" w:sz="0" w:space="0" w:color="auto"/>
            <w:left w:val="none" w:sz="0" w:space="0" w:color="auto"/>
            <w:bottom w:val="none" w:sz="0" w:space="0" w:color="auto"/>
            <w:right w:val="none" w:sz="0" w:space="0" w:color="auto"/>
          </w:divBdr>
        </w:div>
        <w:div w:id="1228875744">
          <w:marLeft w:val="0"/>
          <w:marRight w:val="0"/>
          <w:marTop w:val="0"/>
          <w:marBottom w:val="225"/>
          <w:divBdr>
            <w:top w:val="none" w:sz="0" w:space="0" w:color="auto"/>
            <w:left w:val="none" w:sz="0" w:space="0" w:color="auto"/>
            <w:bottom w:val="none" w:sz="0" w:space="0" w:color="auto"/>
            <w:right w:val="none" w:sz="0" w:space="0" w:color="auto"/>
          </w:divBdr>
        </w:div>
        <w:div w:id="1569998887">
          <w:marLeft w:val="0"/>
          <w:marRight w:val="0"/>
          <w:marTop w:val="0"/>
          <w:marBottom w:val="225"/>
          <w:divBdr>
            <w:top w:val="none" w:sz="0" w:space="0" w:color="auto"/>
            <w:left w:val="none" w:sz="0" w:space="0" w:color="auto"/>
            <w:bottom w:val="none" w:sz="0" w:space="0" w:color="auto"/>
            <w:right w:val="none" w:sz="0" w:space="0" w:color="auto"/>
          </w:divBdr>
        </w:div>
        <w:div w:id="440957716">
          <w:marLeft w:val="0"/>
          <w:marRight w:val="0"/>
          <w:marTop w:val="0"/>
          <w:marBottom w:val="225"/>
          <w:divBdr>
            <w:top w:val="none" w:sz="0" w:space="0" w:color="auto"/>
            <w:left w:val="none" w:sz="0" w:space="0" w:color="auto"/>
            <w:bottom w:val="none" w:sz="0" w:space="0" w:color="auto"/>
            <w:right w:val="none" w:sz="0" w:space="0" w:color="auto"/>
          </w:divBdr>
        </w:div>
        <w:div w:id="1383093395">
          <w:marLeft w:val="0"/>
          <w:marRight w:val="0"/>
          <w:marTop w:val="0"/>
          <w:marBottom w:val="225"/>
          <w:divBdr>
            <w:top w:val="none" w:sz="0" w:space="0" w:color="auto"/>
            <w:left w:val="none" w:sz="0" w:space="0" w:color="auto"/>
            <w:bottom w:val="none" w:sz="0" w:space="0" w:color="auto"/>
            <w:right w:val="none" w:sz="0" w:space="0" w:color="auto"/>
          </w:divBdr>
        </w:div>
        <w:div w:id="913322890">
          <w:marLeft w:val="0"/>
          <w:marRight w:val="0"/>
          <w:marTop w:val="300"/>
          <w:marBottom w:val="180"/>
          <w:divBdr>
            <w:top w:val="none" w:sz="0" w:space="0" w:color="auto"/>
            <w:left w:val="none" w:sz="0" w:space="0" w:color="auto"/>
            <w:bottom w:val="none" w:sz="0" w:space="0" w:color="auto"/>
            <w:right w:val="none" w:sz="0" w:space="0" w:color="auto"/>
          </w:divBdr>
        </w:div>
        <w:div w:id="1007053857">
          <w:marLeft w:val="0"/>
          <w:marRight w:val="0"/>
          <w:marTop w:val="0"/>
          <w:marBottom w:val="225"/>
          <w:divBdr>
            <w:top w:val="none" w:sz="0" w:space="0" w:color="auto"/>
            <w:left w:val="none" w:sz="0" w:space="0" w:color="auto"/>
            <w:bottom w:val="none" w:sz="0" w:space="0" w:color="auto"/>
            <w:right w:val="none" w:sz="0" w:space="0" w:color="auto"/>
          </w:divBdr>
        </w:div>
        <w:div w:id="1681932400">
          <w:marLeft w:val="0"/>
          <w:marRight w:val="0"/>
          <w:marTop w:val="0"/>
          <w:marBottom w:val="225"/>
          <w:divBdr>
            <w:top w:val="none" w:sz="0" w:space="0" w:color="auto"/>
            <w:left w:val="none" w:sz="0" w:space="0" w:color="auto"/>
            <w:bottom w:val="none" w:sz="0" w:space="0" w:color="auto"/>
            <w:right w:val="none" w:sz="0" w:space="0" w:color="auto"/>
          </w:divBdr>
        </w:div>
        <w:div w:id="656766656">
          <w:marLeft w:val="0"/>
          <w:marRight w:val="0"/>
          <w:marTop w:val="0"/>
          <w:marBottom w:val="225"/>
          <w:divBdr>
            <w:top w:val="none" w:sz="0" w:space="0" w:color="auto"/>
            <w:left w:val="none" w:sz="0" w:space="0" w:color="auto"/>
            <w:bottom w:val="none" w:sz="0" w:space="0" w:color="auto"/>
            <w:right w:val="none" w:sz="0" w:space="0" w:color="auto"/>
          </w:divBdr>
        </w:div>
        <w:div w:id="1049500589">
          <w:marLeft w:val="0"/>
          <w:marRight w:val="0"/>
          <w:marTop w:val="0"/>
          <w:marBottom w:val="225"/>
          <w:divBdr>
            <w:top w:val="none" w:sz="0" w:space="0" w:color="auto"/>
            <w:left w:val="none" w:sz="0" w:space="0" w:color="auto"/>
            <w:bottom w:val="none" w:sz="0" w:space="0" w:color="auto"/>
            <w:right w:val="none" w:sz="0" w:space="0" w:color="auto"/>
          </w:divBdr>
        </w:div>
        <w:div w:id="1412385763">
          <w:marLeft w:val="0"/>
          <w:marRight w:val="0"/>
          <w:marTop w:val="0"/>
          <w:marBottom w:val="225"/>
          <w:divBdr>
            <w:top w:val="none" w:sz="0" w:space="0" w:color="auto"/>
            <w:left w:val="none" w:sz="0" w:space="0" w:color="auto"/>
            <w:bottom w:val="none" w:sz="0" w:space="0" w:color="auto"/>
            <w:right w:val="none" w:sz="0" w:space="0" w:color="auto"/>
          </w:divBdr>
        </w:div>
        <w:div w:id="1769497997">
          <w:marLeft w:val="0"/>
          <w:marRight w:val="0"/>
          <w:marTop w:val="0"/>
          <w:marBottom w:val="225"/>
          <w:divBdr>
            <w:top w:val="none" w:sz="0" w:space="0" w:color="auto"/>
            <w:left w:val="none" w:sz="0" w:space="0" w:color="auto"/>
            <w:bottom w:val="none" w:sz="0" w:space="0" w:color="auto"/>
            <w:right w:val="none" w:sz="0" w:space="0" w:color="auto"/>
          </w:divBdr>
        </w:div>
      </w:divsChild>
    </w:div>
    <w:div w:id="212036874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80">
          <w:marLeft w:val="0"/>
          <w:marRight w:val="0"/>
          <w:marTop w:val="0"/>
          <w:marBottom w:val="225"/>
          <w:divBdr>
            <w:top w:val="none" w:sz="0" w:space="0" w:color="auto"/>
            <w:left w:val="none" w:sz="0" w:space="0" w:color="auto"/>
            <w:bottom w:val="none" w:sz="0" w:space="0" w:color="auto"/>
            <w:right w:val="none" w:sz="0" w:space="0" w:color="auto"/>
          </w:divBdr>
        </w:div>
        <w:div w:id="208961132">
          <w:marLeft w:val="0"/>
          <w:marRight w:val="0"/>
          <w:marTop w:val="0"/>
          <w:marBottom w:val="225"/>
          <w:divBdr>
            <w:top w:val="none" w:sz="0" w:space="0" w:color="auto"/>
            <w:left w:val="none" w:sz="0" w:space="0" w:color="auto"/>
            <w:bottom w:val="none" w:sz="0" w:space="0" w:color="auto"/>
            <w:right w:val="none" w:sz="0" w:space="0" w:color="auto"/>
          </w:divBdr>
        </w:div>
        <w:div w:id="7412903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2021-11-14T06:02:00Z</dcterms:created>
  <dcterms:modified xsi:type="dcterms:W3CDTF">2021-11-14T09:21:00Z</dcterms:modified>
</cp:coreProperties>
</file>