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Hiragino Sans GB" w:hAnsi="Hiragino Sans GB" w:eastAsia="Hiragino Sans GB"/>
          <w:b/>
          <w:color w:val="0052D9"/>
          <w:sz w:val="40"/>
        </w:rPr>
        <w:t>企业 AI 应用建设规范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一、场景定义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企业建设 AI 应用前，需要先明确目标用户、业务问题、输入信息、期望输出、成功标准和不可接受风险。不要为了使用大模型而使用大模型，应从重复性高、知识依赖强、流程清晰或信息处理量大的业务问题切入。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二、知识治理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知识问答类应用上线前，应整理权威资料来源，区分正式制度、培训材料、FAQ、历史案例和临时说明。资料需要标注版本、更新时间和负责人。过期资料应及时下线，避免智能体引用旧口径。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三、回答规范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企业 AI 应用的回答应优先准确，其次才是流畅。回答应尽量说明依据，避免编造数据、政策、客户案例和承诺。遇到不确定问题，应提示用户联系对应负责人或补充资料。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四、安全边界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智能体不得泄露个人隐私、商业秘密、客户敏感信息和未公开经营数据。涉及权限、审批、财务、法务、医疗、投资等高风险问题时，应谨慎回答，并提示用户以正式系统或负责人确认为准。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五、评测验收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应用上线前至少准备 20-50 条测试问题，覆盖高频问题、边界问题、同义问法、无答案问题和恶意诱导问题。评测指标包括回答准确性、知识命中率、拒答准确性、格式一致性、响应速度和用户满意度。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六、发布运营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应用发布后需要持续观察用户问题、命中情况和差评反馈。高频但回答不好的问题应补充问答对或优化知识库。用户经常换一种说法提问的问题，应增加同义词。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4738C"/>
        <w:sz w:val="16"/>
      </w:rPr>
      <w:t>ADP · 从零搭建企业级Agent｜课程教学素材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 AI 应用建设规范</dc:title>
  <dc:subject>ADP 课程教学素材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