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Hiragino Sans GB" w:hAnsi="Hiragino Sans GB" w:eastAsia="Hiragino Sans GB"/>
          <w:b/>
          <w:color w:val="0052D9"/>
          <w:sz w:val="40"/>
        </w:rPr>
        <w:t>ADP 标准模式功能说明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一、标准模式的定位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标准模式适合构建以自然语言问答为主的智能体应用。它使用平台预设的标准化处理流程，并结合思考模型和生成模型完成问题理解、知识检索、阅读理解和回复生成。标准模式常用于企业知识服务、产品咨询、制度问答、专家分身、客户 FAQ、售前资料查询等场景。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二、适合场景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1. 企业内部制度问答：员工咨询假期、报销、采购、信息安全等制度。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2. 产品咨询助手：客户或销售询问产品功能、价格口径、使用限制和常见问题。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3. 培训学习助手：学员围绕课程文档提问，系统基于资料进行解释。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4. 专家经验分身：围绕某位专家的公开文章、访谈、论文或内部材料进行问答。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5. 行业知识问答：上传行业白皮书、规范文档、FAQ 后进行检索式回答。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三、核心能力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标准模式通常会使用系统提示词、默认知识库、共享知识库、问答对、同义词、拒答、长期记忆、联网搜索、欢迎语和示例问题等能力。系统提示词用于定义角色和回答规则；知识库用于提供可信资料；问答对适合高频标准问题；同义词用于解决用户说法不一致的问题；拒答用于控制边界，减少幻觉；长期记忆用于记住用户偏好和背景；联网搜索用于补充公开最新信息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四、不适合场景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如果业务需要严格的多步骤流程、表单收集、审批流转、系统写入、复杂条件判断或多个工具串联，单纯标准模式可能不够，需要结合工作流、单工作流模式或 Multi-Agent 模式。</w:t>
      </w:r>
    </w:p>
    <w:p>
      <w:pPr>
        <w:spacing w:before="200" w:after="120"/>
      </w:pPr>
      <w:r>
        <w:rPr>
          <w:rFonts w:ascii="Hiragino Sans GB" w:hAnsi="Hiragino Sans GB" w:eastAsia="Hiragino Sans GB"/>
          <w:b/>
          <w:color w:val="002D6E"/>
          <w:sz w:val="26"/>
        </w:rPr>
        <w:t>五、搭建建议</w:t>
      </w:r>
    </w:p>
    <w:p>
      <w:pPr>
        <w:ind w:firstLine="420"/>
      </w:pPr>
      <w:r>
        <w:rPr>
          <w:rFonts w:ascii="Hiragino Sans GB" w:hAnsi="Hiragino Sans GB" w:eastAsia="Hiragino Sans GB"/>
          <w:sz w:val="21"/>
        </w:rPr>
        <w:t>搭建标准模式应用时，建议先明确场景和用户，再准备知识资料，之后配置系统提示词、上传知识库、补充问答对和同义词，最后通过测试集检查回答准确率、拒答效果和用户体验。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4738C"/>
        <w:sz w:val="16"/>
      </w:rPr>
      <w:t>ADP · 从零搭建企业级Agent｜课程教学素材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ADP 标准模式功能说明</dc:title>
  <dc:subject>ADP 课程教学素材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