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Hiragino Sans GB" w:hAnsi="Hiragino Sans GB" w:eastAsia="Hiragino Sans GB"/>
          <w:b/>
          <w:color w:val="0052D9"/>
          <w:sz w:val="40"/>
        </w:rPr>
        <w:t>智能体应用模式选择说明</w:t>
      </w:r>
    </w:p>
    <w:p>
      <w:pPr>
        <w:spacing w:before="200" w:after="120"/>
      </w:pPr>
      <w:r>
        <w:rPr>
          <w:rFonts w:ascii="Hiragino Sans GB" w:hAnsi="Hiragino Sans GB" w:eastAsia="Hiragino Sans GB"/>
          <w:b/>
          <w:color w:val="002D6E"/>
          <w:sz w:val="26"/>
        </w:rPr>
        <w:t>一、标准模式</w:t>
      </w:r>
    </w:p>
    <w:p>
      <w:pPr>
        <w:ind w:firstLine="420"/>
      </w:pPr>
      <w:r>
        <w:rPr>
          <w:rFonts w:ascii="Hiragino Sans GB" w:hAnsi="Hiragino Sans GB" w:eastAsia="Hiragino Sans GB"/>
          <w:sz w:val="21"/>
        </w:rPr>
        <w:t>标准模式适合以自然语言问答、知识库检索、产品咨询、制度问答、培训学习和专家分身为主的应用。它上手快、配置简单，适合先用知识库、问答对、同义词、拒答和长期记忆完成应用冷启动。如果需求主要是“用户提问，系统基于资料回答”，可以优先考虑标准模式。</w:t>
      </w:r>
    </w:p>
    <w:p>
      <w:pPr>
        <w:spacing w:before="200" w:after="120"/>
      </w:pPr>
      <w:r>
        <w:rPr>
          <w:rFonts w:ascii="Hiragino Sans GB" w:hAnsi="Hiragino Sans GB" w:eastAsia="Hiragino Sans GB"/>
          <w:b/>
          <w:color w:val="002D6E"/>
          <w:sz w:val="26"/>
        </w:rPr>
        <w:t>二、单工作流模式</w:t>
      </w:r>
    </w:p>
    <w:p>
      <w:pPr>
        <w:ind w:firstLine="420"/>
      </w:pPr>
      <w:r>
        <w:rPr>
          <w:rFonts w:ascii="Hiragino Sans GB" w:hAnsi="Hiragino Sans GB" w:eastAsia="Hiragino Sans GB"/>
          <w:sz w:val="21"/>
        </w:rPr>
        <w:t>单工作流模式适合流程相对固定、步骤明确、节点串联清晰的任务。例如信息收集、参数提取、意图识别、知识检索、条件判断、工具调用、结果生成、回复输出等。它适合客服工单、表单抽取、投诉分流、报告生成、内容生产、流程助手等场景。</w:t>
      </w:r>
    </w:p>
    <w:p>
      <w:pPr>
        <w:spacing w:before="200" w:after="120"/>
      </w:pPr>
      <w:r>
        <w:rPr>
          <w:rFonts w:ascii="Hiragino Sans GB" w:hAnsi="Hiragino Sans GB" w:eastAsia="Hiragino Sans GB"/>
          <w:b/>
          <w:color w:val="002D6E"/>
          <w:sz w:val="26"/>
        </w:rPr>
        <w:t>三、Multi-Agent 模式</w:t>
      </w:r>
    </w:p>
    <w:p>
      <w:pPr>
        <w:ind w:firstLine="420"/>
      </w:pPr>
      <w:r>
        <w:rPr>
          <w:rFonts w:ascii="Hiragino Sans GB" w:hAnsi="Hiragino Sans GB" w:eastAsia="Hiragino Sans GB"/>
          <w:sz w:val="21"/>
        </w:rPr>
        <w:t>Multi-Agent 模式适合一个目标需要多个专家角色协作完成的任务。每个 Agent 可以有自己的提示词、插件和职责边界。它适合售前方案共创、投研分析、运营诊断、复杂内容生产、专家组问答等场景。Multi-Agent 可以使用自由转交，也可以用工作流编排来提升路由稳定性。</w:t>
      </w:r>
    </w:p>
    <w:p>
      <w:pPr>
        <w:spacing w:before="200" w:after="120"/>
      </w:pPr>
      <w:r>
        <w:rPr>
          <w:rFonts w:ascii="Hiragino Sans GB" w:hAnsi="Hiragino Sans GB" w:eastAsia="Hiragino Sans GB"/>
          <w:b/>
          <w:color w:val="002D6E"/>
          <w:sz w:val="26"/>
        </w:rPr>
        <w:t>四、Claw 模式</w:t>
      </w:r>
    </w:p>
    <w:p>
      <w:pPr>
        <w:ind w:firstLine="420"/>
      </w:pPr>
      <w:r>
        <w:rPr>
          <w:rFonts w:ascii="Hiragino Sans GB" w:hAnsi="Hiragino Sans GB" w:eastAsia="Hiragino Sans GB"/>
          <w:sz w:val="21"/>
        </w:rPr>
        <w:t>Claw 模式适合更深度的自定义 Agent 开发，通常需要更强的工具调用、自定义执行逻辑、复杂上下文管理或更灵活的开发能力。适合标准模式和工作流难以满足的复杂场景。</w:t>
      </w:r>
    </w:p>
    <w:p>
      <w:pPr>
        <w:spacing w:before="200" w:after="120"/>
      </w:pPr>
      <w:r>
        <w:rPr>
          <w:rFonts w:ascii="Hiragino Sans GB" w:hAnsi="Hiragino Sans GB" w:eastAsia="Hiragino Sans GB"/>
          <w:b/>
          <w:color w:val="002D6E"/>
          <w:sz w:val="26"/>
        </w:rPr>
        <w:t>五、模式选择建议</w:t>
      </w:r>
    </w:p>
    <w:p>
      <w:pPr>
        <w:ind w:firstLine="420"/>
      </w:pPr>
      <w:r>
        <w:rPr>
          <w:rFonts w:ascii="Hiragino Sans GB" w:hAnsi="Hiragino Sans GB" w:eastAsia="Hiragino Sans GB"/>
          <w:sz w:val="21"/>
        </w:rPr>
        <w:t>如果需求以问答为主，优先标准模式；如果需求是固定流程，优先单工作流；如果需求需要多个专家角色协作，考虑 Multi-Agent；如果需求需要高度自定义执行逻辑，考虑 Claw 模式。实际项目中可以组合使用，例如用标准模式做入口，用工作流调度 Multi-Agent 或工具。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4738C"/>
        <w:sz w:val="16"/>
      </w:rPr>
      <w:t>ADP · 从零搭建企业级Agent｜课程教学素材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智能体应用模式选择说明</dc:title>
  <dc:subject>ADP 课程教学素材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