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121212"/>
          <w:sz w:val="46"/>
        </w:rPr>
        <w:t>硕士论文中期报告</w:t>
      </w:r>
    </w:p>
    <w:p>
      <w:pPr>
        <w:spacing w:after="320"/>
      </w:pPr>
      <w:r>
        <w:rPr>
          <w:rFonts w:ascii="Calibri" w:hAnsi="Calibri" w:eastAsia="Microsoft YaHei"/>
          <w:color w:val="595959"/>
          <w:sz w:val="28"/>
        </w:rPr>
        <w:t>基于网页图像与源码的通用结构化设计语言生成方法研究</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4680"/>
        <w:gridCol w:w="4680"/>
      </w:tblGrid>
      <w:tr>
        <w:tc>
          <w:tcPr>
            <w:tcW w:type="dxa" w:w="1944"/>
            <w:shd w:fill="F2F4F7"/>
            <w:vAlign w:val="center"/>
          </w:tcPr>
          <w:p>
            <w:pPr>
              <w:spacing w:before="0" w:after="0" w:line="264" w:lineRule="auto"/>
            </w:pPr>
            <w:r>
              <w:rPr>
                <w:rFonts w:ascii="Calibri" w:hAnsi="Calibri" w:eastAsia="Microsoft YaHei"/>
                <w:b/>
                <w:color w:val="121212"/>
                <w:sz w:val="19"/>
              </w:rPr>
              <w:t>作者</w:t>
            </w:r>
          </w:p>
        </w:tc>
        <w:tc>
          <w:tcPr>
            <w:tcW w:type="dxa" w:w="7416"/>
            <w:vAlign w:val="center"/>
          </w:tcPr>
          <w:p>
            <w:pPr>
              <w:spacing w:before="0" w:after="0" w:line="264" w:lineRule="auto"/>
            </w:pPr>
            <w:r>
              <w:rPr>
                <w:rFonts w:ascii="Calibri" w:hAnsi="Calibri" w:eastAsia="Microsoft YaHei"/>
                <w:b w:val="0"/>
                <w:color w:val="121212"/>
                <w:sz w:val="19"/>
              </w:rPr>
              <w:t>赵志鹏</w:t>
            </w:r>
          </w:p>
        </w:tc>
      </w:tr>
      <w:tr>
        <w:tc>
          <w:tcPr>
            <w:tcW w:type="dxa" w:w="1944"/>
            <w:shd w:fill="F2F4F7"/>
            <w:vAlign w:val="center"/>
          </w:tcPr>
          <w:p>
            <w:pPr>
              <w:spacing w:before="0" w:after="0" w:line="264" w:lineRule="auto"/>
            </w:pPr>
            <w:r>
              <w:rPr>
                <w:rFonts w:ascii="Calibri" w:hAnsi="Calibri" w:eastAsia="Microsoft YaHei"/>
                <w:b/>
                <w:color w:val="121212"/>
                <w:sz w:val="19"/>
              </w:rPr>
              <w:t>专业</w:t>
            </w:r>
          </w:p>
        </w:tc>
        <w:tc>
          <w:tcPr>
            <w:tcW w:type="dxa" w:w="7416"/>
            <w:vAlign w:val="center"/>
          </w:tcPr>
          <w:p>
            <w:pPr>
              <w:spacing w:before="0" w:after="0" w:line="264" w:lineRule="auto"/>
            </w:pPr>
            <w:r>
              <w:rPr>
                <w:rFonts w:ascii="Calibri" w:hAnsi="Calibri" w:eastAsia="Microsoft YaHei"/>
                <w:b w:val="0"/>
                <w:color w:val="121212"/>
                <w:sz w:val="19"/>
              </w:rPr>
              <w:t>软件工程</w:t>
            </w:r>
          </w:p>
        </w:tc>
      </w:tr>
      <w:tr>
        <w:tc>
          <w:tcPr>
            <w:tcW w:type="dxa" w:w="1944"/>
            <w:shd w:fill="F2F4F7"/>
            <w:vAlign w:val="center"/>
          </w:tcPr>
          <w:p>
            <w:pPr>
              <w:spacing w:before="0" w:after="0" w:line="264" w:lineRule="auto"/>
            </w:pPr>
            <w:r>
              <w:rPr>
                <w:rFonts w:ascii="Calibri" w:hAnsi="Calibri" w:eastAsia="Microsoft YaHei"/>
                <w:b/>
                <w:color w:val="121212"/>
                <w:sz w:val="19"/>
              </w:rPr>
              <w:t>研究周期</w:t>
            </w:r>
          </w:p>
        </w:tc>
        <w:tc>
          <w:tcPr>
            <w:tcW w:type="dxa" w:w="7416"/>
            <w:vAlign w:val="center"/>
          </w:tcPr>
          <w:p>
            <w:pPr>
              <w:spacing w:before="0" w:after="0" w:line="264" w:lineRule="auto"/>
            </w:pPr>
            <w:r>
              <w:rPr>
                <w:rFonts w:ascii="Calibri" w:hAnsi="Calibri" w:eastAsia="Microsoft YaHei"/>
                <w:b w:val="0"/>
                <w:color w:val="121212"/>
                <w:sz w:val="19"/>
              </w:rPr>
              <w:t>2025 年 12 月至 2026 年 12 月</w:t>
            </w:r>
          </w:p>
        </w:tc>
      </w:tr>
      <w:tr>
        <w:tc>
          <w:tcPr>
            <w:tcW w:type="dxa" w:w="1944"/>
            <w:shd w:fill="F2F4F7"/>
            <w:vAlign w:val="center"/>
          </w:tcPr>
          <w:p>
            <w:pPr>
              <w:spacing w:before="0" w:after="0" w:line="264" w:lineRule="auto"/>
            </w:pPr>
            <w:r>
              <w:rPr>
                <w:rFonts w:ascii="Calibri" w:hAnsi="Calibri" w:eastAsia="Microsoft YaHei"/>
                <w:b/>
                <w:color w:val="121212"/>
                <w:sz w:val="19"/>
              </w:rPr>
              <w:t>当前阶段</w:t>
            </w:r>
          </w:p>
        </w:tc>
        <w:tc>
          <w:tcPr>
            <w:tcW w:type="dxa" w:w="7416"/>
            <w:vAlign w:val="center"/>
          </w:tcPr>
          <w:p>
            <w:pPr>
              <w:spacing w:before="0" w:after="0" w:line="264" w:lineRule="auto"/>
            </w:pPr>
            <w:r>
              <w:rPr>
                <w:rFonts w:ascii="Calibri" w:hAnsi="Calibri" w:eastAsia="Microsoft YaHei"/>
                <w:b w:val="0"/>
                <w:color w:val="121212"/>
                <w:sz w:val="19"/>
              </w:rPr>
              <w:t>论文中期检查，2026 年 6 月</w:t>
            </w:r>
          </w:p>
        </w:tc>
      </w:tr>
      <w:tr>
        <w:tc>
          <w:tcPr>
            <w:tcW w:type="dxa" w:w="1944"/>
            <w:shd w:fill="F2F4F7"/>
            <w:vAlign w:val="center"/>
          </w:tcPr>
          <w:p>
            <w:pPr>
              <w:spacing w:before="0" w:after="0" w:line="264" w:lineRule="auto"/>
            </w:pPr>
            <w:r>
              <w:rPr>
                <w:rFonts w:ascii="Calibri" w:hAnsi="Calibri" w:eastAsia="Microsoft YaHei"/>
                <w:b/>
                <w:color w:val="121212"/>
                <w:sz w:val="19"/>
              </w:rPr>
              <w:t>定位说明</w:t>
            </w:r>
          </w:p>
        </w:tc>
        <w:tc>
          <w:tcPr>
            <w:tcW w:type="dxa" w:w="7416"/>
            <w:vAlign w:val="center"/>
          </w:tcPr>
          <w:p>
            <w:pPr>
              <w:spacing w:before="0" w:after="0" w:line="264" w:lineRule="auto"/>
            </w:pPr>
            <w:r>
              <w:rPr>
                <w:rFonts w:ascii="Calibri" w:hAnsi="Calibri" w:eastAsia="Microsoft YaHei"/>
                <w:b w:val="0"/>
                <w:color w:val="121212"/>
                <w:sz w:val="19"/>
              </w:rPr>
              <w:t>Figma JSON 作为实验验证载体，研究目标抽象为通用 Design IR</w:t>
            </w:r>
          </w:p>
        </w:tc>
      </w:tr>
    </w:tbl>
    <w:p>
      <w:pPr>
        <w:spacing w:before="280" w:after="160"/>
      </w:pPr>
      <w:r>
        <w:rPr>
          <w:rFonts w:ascii="Calibri" w:hAnsi="Calibri" w:eastAsia="Microsoft YaHei"/>
          <w:color w:val="121212"/>
          <w:sz w:val="22"/>
        </w:rPr>
        <w:t>本报告基于开题方案、当前代码实现和 M1 阶段实验结果整理，重点说明课题从单一工具格式生成升级为通用结构化设计语言生成后的研究进展。</w:t>
      </w:r>
    </w:p>
    <w:p>
      <w:pPr>
        <w:pStyle w:val="Heading1"/>
      </w:pPr>
      <w:r>
        <w:t>一、研究目标与课题定位</w:t>
      </w:r>
    </w:p>
    <w:p>
      <w:r>
        <w:rPr>
          <w:rFonts w:ascii="Calibri" w:hAnsi="Calibri" w:eastAsia="Microsoft YaHei"/>
          <w:color w:val="121212"/>
          <w:sz w:val="22"/>
        </w:rPr>
        <w:t>本课题面向前端设计智能化领域中高质量设计语义数据稀缺的问题，研究如何从真实网页的视觉图像与源码信息中自动恢复结构化设计语义表示。与单纯的网页截图理解或代码生成任务不同，本研究关注的是网页背后的设计语言重建，即从已经实现的网页中抽取节点层级、布局关系、视觉样式、组件语义和约束信息，并将其表达为可被模型训练、工具解析和后续转换使用的通用设计中间表示。</w:t>
      </w:r>
    </w:p>
    <w:p>
      <w:r>
        <w:rPr>
          <w:rFonts w:ascii="Calibri" w:hAnsi="Calibri" w:eastAsia="Microsoft YaHei"/>
          <w:color w:val="121212"/>
          <w:sz w:val="22"/>
        </w:rPr>
        <w:t>开题阶段的题目和方案中较多使用 Figma JSON 作为输出目标。中期阶段对研究定位进行了进一步抽象：本课题不以某一商业设计工具作为最终边界，而是研究“网页图像与源码到通用结构化设计语言”的生成方法。Figma JSON 在当前系统中仅作为一种工程化、可验证的序列化载体，用于验证模型是否能够输出具备节点树结构、几何布局和样式属性的设计语义数据。后续该设计语义表示可以继续映射到其他设计工具格式、设计令牌体系、Web Components 或自定义 UI DSL。</w:t>
      </w:r>
    </w:p>
    <w:p>
      <w:r>
        <w:rPr>
          <w:rFonts w:ascii="Calibri" w:hAnsi="Calibri" w:eastAsia="Microsoft YaHei"/>
          <w:color w:val="121212"/>
          <w:sz w:val="22"/>
        </w:rPr>
        <w:t>因此，本课题的核心研究目标可以概括为：构建一种融合网页视觉信息与源码结构信息的跨模态学习方法，从真实网页中自动生成通用结构化设计语言数据，为前端设计 AI、Design-to-Code、UI 理解与设计数据集构建提供基础数据生成能力。</w:t>
      </w:r>
    </w:p>
    <w:p>
      <w:pPr>
        <w:pStyle w:val="Heading1"/>
      </w:pPr>
      <w:r>
        <w:t>二、研究内容调整与设计语言抽象</w:t>
      </w:r>
    </w:p>
    <w:p>
      <w:r>
        <w:rPr>
          <w:rFonts w:ascii="Calibri" w:hAnsi="Calibri" w:eastAsia="Microsoft YaHei"/>
          <w:color w:val="121212"/>
          <w:sz w:val="22"/>
        </w:rPr>
        <w:t>为了避免研究目标被限制在单一商业产品上，本文将输出目标抽象为通用 Design IR，即结构化设计语义中间表示。该表示主要包含以下几个层面：</w:t>
      </w:r>
    </w:p>
    <w:p>
      <w:pPr>
        <w:pStyle w:val="ListNumber"/>
      </w:pPr>
      <w:r>
        <w:rPr>
          <w:rFonts w:ascii="Calibri" w:hAnsi="Calibri" w:eastAsia="Microsoft YaHei"/>
          <w:color w:val="121212"/>
          <w:sz w:val="22"/>
        </w:rPr>
        <w:t>节点类型语义：将网页元素抽象为容器、文本、图像、形状、交互组件等通用设计节点类型。</w:t>
      </w:r>
    </w:p>
    <w:p>
      <w:pPr>
        <w:pStyle w:val="ListNumber"/>
      </w:pPr>
      <w:r>
        <w:rPr>
          <w:rFonts w:ascii="Calibri" w:hAnsi="Calibri" w:eastAsia="Microsoft YaHei"/>
          <w:color w:val="121212"/>
          <w:sz w:val="22"/>
        </w:rPr>
        <w:t>层级结构语义：描述节点之间的父子关系、兄弟顺序和设计树结构。</w:t>
      </w:r>
    </w:p>
    <w:p>
      <w:pPr>
        <w:pStyle w:val="ListNumber"/>
      </w:pPr>
      <w:r>
        <w:rPr>
          <w:rFonts w:ascii="Calibri" w:hAnsi="Calibri" w:eastAsia="Microsoft YaHei"/>
          <w:color w:val="121212"/>
          <w:sz w:val="22"/>
        </w:rPr>
        <w:t>几何布局语义：描述节点位置、尺寸、边界框、相对布局、对齐关系和空间节奏。</w:t>
      </w:r>
    </w:p>
    <w:p>
      <w:pPr>
        <w:pStyle w:val="ListNumber"/>
      </w:pPr>
      <w:r>
        <w:rPr>
          <w:rFonts w:ascii="Calibri" w:hAnsi="Calibri" w:eastAsia="Microsoft YaHei"/>
          <w:color w:val="121212"/>
          <w:sz w:val="22"/>
        </w:rPr>
        <w:t>视觉样式语义：描述颜色、字体、边框、圆角、透明度、显示方式等视觉属性。</w:t>
      </w:r>
    </w:p>
    <w:p>
      <w:pPr>
        <w:pStyle w:val="ListNumber"/>
      </w:pPr>
      <w:r>
        <w:rPr>
          <w:rFonts w:ascii="Calibri" w:hAnsi="Calibri" w:eastAsia="Microsoft YaHei"/>
          <w:color w:val="121212"/>
          <w:sz w:val="22"/>
        </w:rPr>
        <w:t>组件语义：在后续阶段进一步抽象按钮、导航栏、卡片、表单等常见界面组件。</w:t>
      </w:r>
    </w:p>
    <w:p>
      <w:pPr>
        <w:pStyle w:val="ListNumber"/>
      </w:pPr>
      <w:r>
        <w:rPr>
          <w:rFonts w:ascii="Calibri" w:hAnsi="Calibri" w:eastAsia="Microsoft YaHei"/>
          <w:color w:val="121212"/>
          <w:sz w:val="22"/>
        </w:rPr>
        <w:t>工具格式适配：将通用设计语义根据需要导出为 Figma JSON 或其他设计工具兼容格式。</w:t>
      </w:r>
    </w:p>
    <w:p>
      <w:r>
        <w:rPr>
          <w:rFonts w:ascii="Calibri" w:hAnsi="Calibri" w:eastAsia="Microsoft YaHei"/>
          <w:color w:val="121212"/>
          <w:sz w:val="22"/>
        </w:rPr>
        <w:t>当前代码中使用的 FRAME、TEXT、RECTANGLE、INSTANCE 等类型可以理解为通用设计节点类型在 Figma 兼容输出中的一次具体映射。后续论文写作中，将优先使用“设计节点类型”“结构化设计语义”“设计语言 JSON”“通用设计中间表示”等表述；仅在实验实现和评估部分说明当前原型使用 Figma JSON 作为输出格式。</w:t>
      </w:r>
    </w:p>
    <w:p>
      <w:pPr>
        <w:pStyle w:val="Heading1"/>
      </w:pPr>
      <w:r>
        <w:t>三、技术路线与系统架构</w:t>
      </w:r>
    </w:p>
    <w:p>
      <w:r>
        <w:rPr>
          <w:rFonts w:ascii="Calibri" w:hAnsi="Calibri" w:eastAsia="Microsoft YaHei"/>
          <w:color w:val="121212"/>
          <w:sz w:val="22"/>
        </w:rPr>
        <w:t>本课题采用基于跨模态编码器-解码器的技术路线。系统输入为网页截图和网页 HTML 源码，输出为结构化设计语言 JSON。整体流程包括数据预处理、双模态编码、跨模态对齐与融合、节点上下文建模、设计语义解码和结果评估六个部分。</w:t>
      </w:r>
    </w:p>
    <w:p>
      <w:pPr>
        <w:pStyle w:val="Heading2"/>
      </w:pPr>
      <w:r>
        <w:t>3.1 数据预处理</w:t>
      </w:r>
    </w:p>
    <w:p>
      <w:r>
        <w:rPr>
          <w:rFonts w:ascii="Calibri" w:hAnsi="Calibri" w:eastAsia="Microsoft YaHei"/>
          <w:color w:val="121212"/>
          <w:sz w:val="22"/>
        </w:rPr>
        <w:t>数据来源以 WebCode2M 网页数据为基础。系统首先下载网页 HTML，然后通过 Playwright 渲染页面，得到网页截图、DOM 节点渲染框、节点文本、父子关系和计算样式。当前数据处理流程已经能够为每个样本生成以下文件：</w:t>
      </w:r>
    </w:p>
    <w:p>
      <w:pPr>
        <w:pStyle w:val="ListBullet"/>
      </w:pPr>
      <w:r>
        <w:rPr>
          <w:rFonts w:ascii="Consolas" w:hAnsi="Consolas" w:eastAsia="Microsoft YaHei"/>
          <w:color w:val="121212"/>
          <w:sz w:val="21"/>
        </w:rPr>
        <w:t>page.html</w:t>
      </w:r>
      <w:r>
        <w:rPr>
          <w:rFonts w:ascii="Calibri" w:hAnsi="Calibri" w:eastAsia="Microsoft YaHei"/>
          <w:color w:val="121212"/>
          <w:sz w:val="22"/>
        </w:rPr>
        <w:t>：网页源码；</w:t>
      </w:r>
    </w:p>
    <w:p>
      <w:pPr>
        <w:pStyle w:val="ListBullet"/>
      </w:pPr>
      <w:r>
        <w:rPr>
          <w:rFonts w:ascii="Consolas" w:hAnsi="Consolas" w:eastAsia="Microsoft YaHei"/>
          <w:color w:val="121212"/>
          <w:sz w:val="21"/>
        </w:rPr>
        <w:t>screenshot.png</w:t>
      </w:r>
      <w:r>
        <w:rPr>
          <w:rFonts w:ascii="Calibri" w:hAnsi="Calibri" w:eastAsia="Microsoft YaHei"/>
          <w:color w:val="121212"/>
          <w:sz w:val="22"/>
        </w:rPr>
        <w:t>：页面截图；</w:t>
      </w:r>
    </w:p>
    <w:p>
      <w:pPr>
        <w:pStyle w:val="ListBullet"/>
      </w:pPr>
      <w:r>
        <w:rPr>
          <w:rFonts w:ascii="Consolas" w:hAnsi="Consolas" w:eastAsia="Microsoft YaHei"/>
          <w:color w:val="121212"/>
          <w:sz w:val="21"/>
        </w:rPr>
        <w:t>nodes.pt</w:t>
      </w:r>
      <w:r>
        <w:rPr>
          <w:rFonts w:ascii="Calibri" w:hAnsi="Calibri" w:eastAsia="Microsoft YaHei"/>
          <w:color w:val="121212"/>
          <w:sz w:val="22"/>
        </w:rPr>
        <w:t>：节点边界框；</w:t>
      </w:r>
    </w:p>
    <w:p>
      <w:pPr>
        <w:pStyle w:val="ListBullet"/>
      </w:pPr>
      <w:r>
        <w:rPr>
          <w:rFonts w:ascii="Consolas" w:hAnsi="Consolas" w:eastAsia="Microsoft YaHei"/>
          <w:color w:val="121212"/>
          <w:sz w:val="21"/>
        </w:rPr>
        <w:t>node_texts.json</w:t>
      </w:r>
      <w:r>
        <w:rPr>
          <w:rFonts w:ascii="Calibri" w:hAnsi="Calibri" w:eastAsia="Microsoft YaHei"/>
          <w:color w:val="121212"/>
          <w:sz w:val="22"/>
        </w:rPr>
        <w:t>：节点序列化文本；</w:t>
      </w:r>
    </w:p>
    <w:p>
      <w:pPr>
        <w:pStyle w:val="ListBullet"/>
      </w:pPr>
      <w:r>
        <w:rPr>
          <w:rFonts w:ascii="Consolas" w:hAnsi="Consolas" w:eastAsia="Microsoft YaHei"/>
          <w:color w:val="121212"/>
          <w:sz w:val="21"/>
        </w:rPr>
        <w:t>parents.pt</w:t>
      </w:r>
      <w:r>
        <w:rPr>
          <w:rFonts w:ascii="Calibri" w:hAnsi="Calibri" w:eastAsia="Microsoft YaHei"/>
          <w:color w:val="121212"/>
          <w:sz w:val="22"/>
        </w:rPr>
        <w:t>：节点父子关系；</w:t>
      </w:r>
    </w:p>
    <w:p>
      <w:pPr>
        <w:pStyle w:val="ListBullet"/>
      </w:pPr>
      <w:r>
        <w:rPr>
          <w:rFonts w:ascii="Consolas" w:hAnsi="Consolas" w:eastAsia="Microsoft YaHei"/>
          <w:color w:val="121212"/>
          <w:sz w:val="21"/>
        </w:rPr>
        <w:t>styles.json</w:t>
      </w:r>
      <w:r>
        <w:rPr>
          <w:rFonts w:ascii="Calibri" w:hAnsi="Calibri" w:eastAsia="Microsoft YaHei"/>
          <w:color w:val="121212"/>
          <w:sz w:val="22"/>
        </w:rPr>
        <w:t>：计算样式监督信号。</w:t>
      </w:r>
    </w:p>
    <w:p>
      <w:r>
        <w:rPr>
          <w:rFonts w:ascii="Calibri" w:hAnsi="Calibri" w:eastAsia="Microsoft YaHei"/>
          <w:color w:val="121212"/>
          <w:sz w:val="22"/>
        </w:rPr>
        <w:t>为了便于图像 patch、节点框和对齐标签在同一坐标系下计算，系统将节点框统一映射到 224×224 坐标系，并将 ViT 图像特征划分为 14×14 共 196 个 patch。节点与 patch 的对齐标签由节点框和 patch 框的重叠关系自动构造。</w:t>
      </w:r>
    </w:p>
    <w:p>
      <w:pPr>
        <w:pStyle w:val="Heading2"/>
      </w:pPr>
      <w:r>
        <w:t>3.2 双模态编码</w:t>
      </w:r>
    </w:p>
    <w:p>
      <w:r>
        <w:rPr>
          <w:rFonts w:ascii="Calibri" w:hAnsi="Calibri" w:eastAsia="Microsoft YaHei"/>
          <w:color w:val="121212"/>
          <w:sz w:val="22"/>
        </w:rPr>
        <w:t xml:space="preserve">视觉模态使用 </w:t>
      </w:r>
      <w:r>
        <w:rPr>
          <w:rFonts w:ascii="Consolas" w:hAnsi="Consolas" w:eastAsia="Microsoft YaHei"/>
          <w:color w:val="121212"/>
          <w:sz w:val="21"/>
        </w:rPr>
        <w:t>google/vit-base-patch16-224</w:t>
      </w:r>
      <w:r>
        <w:rPr>
          <w:rFonts w:ascii="Calibri" w:hAnsi="Calibri" w:eastAsia="Microsoft YaHei"/>
          <w:color w:val="121212"/>
          <w:sz w:val="22"/>
        </w:rPr>
        <w:t xml:space="preserve"> 作为视觉编码器，输入网页截图后输出 196 个图像 patch 特征。源码模态使用 CodeBERT 对每个 HTML 节点的序列化文本进行编码，提取节点级代码语义表示。该设计分别利用视觉编码器捕获页面布局和外观信息，利用代码编码器捕获 DOM 标签、属性和文本内容信息。</w:t>
      </w:r>
    </w:p>
    <w:p>
      <w:pPr>
        <w:pStyle w:val="Heading2"/>
      </w:pPr>
      <w:r>
        <w:t>3.3 跨模态对齐与融合</w:t>
      </w:r>
    </w:p>
    <w:p>
      <w:r>
        <w:rPr>
          <w:rFonts w:ascii="Calibri" w:hAnsi="Calibri" w:eastAsia="Microsoft YaHei"/>
          <w:color w:val="121212"/>
          <w:sz w:val="22"/>
        </w:rPr>
        <w:t>跨模态对齐模块是当前原型的核心部分。开题方案中提出通过交叉注意力建立网页图像区域与源码节点之间的对应关系。中期实现时进一步发现，若直接用 softmax attention 权重与多对多 IoU 标签做 BCE 损失，会产生数学不匹配：一个节点可能对应多个视觉 patch，而 softmax 会强制每行权重和为 1，无法同时给多个 patch 高概率。</w:t>
      </w:r>
    </w:p>
    <w:p>
      <w:r>
        <w:rPr>
          <w:rFonts w:ascii="Calibri" w:hAnsi="Calibri" w:eastAsia="Microsoft YaHei"/>
          <w:color w:val="121212"/>
          <w:sz w:val="22"/>
        </w:rPr>
        <w:t>当前系统对此进行了修正，将跨模态模块拆分为两个通道：</w:t>
      </w:r>
    </w:p>
    <w:p>
      <w:pPr>
        <w:pStyle w:val="ListBullet"/>
      </w:pPr>
      <w:r>
        <w:rPr>
          <w:rFonts w:ascii="Calibri" w:hAnsi="Calibri" w:eastAsia="Microsoft YaHei"/>
          <w:color w:val="121212"/>
          <w:sz w:val="22"/>
        </w:rPr>
        <w:t>融合通道：使用标准 MultiheadAttention，将视觉特征注入代码节点表示；</w:t>
      </w:r>
    </w:p>
    <w:p>
      <w:pPr>
        <w:pStyle w:val="ListBullet"/>
      </w:pPr>
      <w:r>
        <w:rPr>
          <w:rFonts w:ascii="Calibri" w:hAnsi="Calibri" w:eastAsia="Microsoft YaHei"/>
          <w:color w:val="121212"/>
          <w:sz w:val="22"/>
        </w:rPr>
        <w:t>监督通道：使用独立 Bilinear Similarity 计算节点与 patch 的多对多相似度，并使用 sigmoid BCE 和 InfoNCE 进行对齐监督。</w:t>
      </w:r>
    </w:p>
    <w:p>
      <w:r>
        <w:rPr>
          <w:rFonts w:ascii="Calibri" w:hAnsi="Calibri" w:eastAsia="Microsoft YaHei"/>
          <w:color w:val="121212"/>
          <w:sz w:val="22"/>
        </w:rPr>
        <w:t>这一改动使跨模态对齐损失能够稳定下降，是中期阶段的重要技术修复。</w:t>
      </w:r>
    </w:p>
    <w:p>
      <w:pPr>
        <w:pStyle w:val="Heading2"/>
      </w:pPr>
      <w:r>
        <w:t>3.4 节点上下文建模</w:t>
      </w:r>
    </w:p>
    <w:p>
      <w:r>
        <w:rPr>
          <w:rFonts w:ascii="Calibri" w:hAnsi="Calibri" w:eastAsia="Microsoft YaHei"/>
          <w:color w:val="121212"/>
          <w:sz w:val="22"/>
        </w:rPr>
        <w:t>CodeBERT 对每个节点独立编码，缺少节点之间的结构交互。为解决这一问题，当前系统增加了 NodeContextEncoder，在融合特征上引入深度位置嵌入和兄弟序号嵌入，并通过 self-attention 建模节点间上下文关系。该模块为后续结构预测和样式预测提供更完整的节点表示。</w:t>
      </w:r>
    </w:p>
    <w:p>
      <w:pPr>
        <w:pStyle w:val="Heading2"/>
      </w:pPr>
      <w:r>
        <w:t>3.5 设计语义三层解码</w:t>
      </w:r>
    </w:p>
    <w:p>
      <w:r>
        <w:rPr>
          <w:rFonts w:ascii="Calibri" w:hAnsi="Calibri" w:eastAsia="Microsoft YaHei"/>
          <w:color w:val="121212"/>
          <w:sz w:val="22"/>
        </w:rPr>
        <w:t>当前原型实现了三层设计语义解码器，对应通用设计语言生成的三个核心层面：</w:t>
      </w:r>
    </w:p>
    <w:p>
      <w:pPr>
        <w:pStyle w:val="ListNumber"/>
      </w:pPr>
      <w:r>
        <w:rPr>
          <w:rFonts w:ascii="Calibri" w:hAnsi="Calibri" w:eastAsia="Microsoft YaHei"/>
          <w:color w:val="121212"/>
          <w:sz w:val="22"/>
        </w:rPr>
        <w:t>节点类型分类：预测每个节点对应的设计节点类型，如容器、文本、图像、形状或交互组件。</w:t>
      </w:r>
    </w:p>
    <w:p>
      <w:pPr>
        <w:pStyle w:val="ListNumber"/>
      </w:pPr>
      <w:r>
        <w:rPr>
          <w:rFonts w:ascii="Calibri" w:hAnsi="Calibri" w:eastAsia="Microsoft YaHei"/>
          <w:color w:val="121212"/>
          <w:sz w:val="22"/>
        </w:rPr>
        <w:t>结构规划：使用父指针网络预测每个节点的父节点，从而生成设计树结构。</w:t>
      </w:r>
    </w:p>
    <w:p>
      <w:pPr>
        <w:pStyle w:val="ListNumber"/>
      </w:pPr>
      <w:r>
        <w:rPr>
          <w:rFonts w:ascii="Calibri" w:hAnsi="Calibri" w:eastAsia="Microsoft YaHei"/>
          <w:color w:val="121212"/>
          <w:sz w:val="22"/>
        </w:rPr>
        <w:t>样式预测：预测节点的边框、圆角、透明度、字号、字重、颜色、对齐方式和 display 类型等样式属性。</w:t>
      </w:r>
    </w:p>
    <w:p>
      <w:r>
        <w:rPr>
          <w:rFonts w:ascii="Calibri" w:hAnsi="Calibri" w:eastAsia="Microsoft YaHei"/>
          <w:color w:val="121212"/>
          <w:sz w:val="22"/>
        </w:rPr>
        <w:t>虽然当前代码中该模块命名为 FigmaDecoder，但在论文表述中更适合称为“设计语义解码器”或“结构化设计语言解码器”。Figma JSON 构建函数仅作为工具格式适配层，将通用设计语义转换为当前实验可检查的 JSON 输出。</w:t>
      </w:r>
    </w:p>
    <w:p>
      <w:pPr>
        <w:pStyle w:val="Heading1"/>
      </w:pPr>
      <w:r>
        <w:t>四、已完成的主要工作</w:t>
      </w:r>
    </w:p>
    <w:p>
      <w:r>
        <w:rPr>
          <w:rFonts w:ascii="Calibri" w:hAnsi="Calibri" w:eastAsia="Microsoft YaHei"/>
          <w:color w:val="121212"/>
          <w:sz w:val="22"/>
        </w:rPr>
        <w:t>中期阶段已完成从数据处理、模型训练到评估可视化的端到端原型系统。具体包括：</w:t>
      </w:r>
    </w:p>
    <w:p>
      <w:pPr>
        <w:pStyle w:val="Heading2"/>
      </w:pPr>
      <w:r>
        <w:t>4.1 数据处理链路</w:t>
      </w:r>
    </w:p>
    <w:p>
      <w:r>
        <w:rPr>
          <w:rFonts w:ascii="Calibri" w:hAnsi="Calibri" w:eastAsia="Microsoft YaHei"/>
          <w:color w:val="121212"/>
          <w:sz w:val="22"/>
        </w:rPr>
        <w:t xml:space="preserve">已实现 WebCode2M HTML 下载、网页渲染、节点框提取、节点文本序列化、父子关系提取和计算样式提取。与开题阶段设想相比，中期实现新增了 </w:t>
      </w:r>
      <w:r>
        <w:rPr>
          <w:rFonts w:ascii="Consolas" w:hAnsi="Consolas" w:eastAsia="Microsoft YaHei"/>
          <w:color w:val="121212"/>
          <w:sz w:val="21"/>
        </w:rPr>
        <w:t>parents.pt</w:t>
      </w:r>
      <w:r>
        <w:rPr>
          <w:rFonts w:ascii="Calibri" w:hAnsi="Calibri" w:eastAsia="Microsoft YaHei"/>
          <w:color w:val="121212"/>
          <w:sz w:val="22"/>
        </w:rPr>
        <w:t xml:space="preserve"> 和 </w:t>
      </w:r>
      <w:r>
        <w:rPr>
          <w:rFonts w:ascii="Consolas" w:hAnsi="Consolas" w:eastAsia="Microsoft YaHei"/>
          <w:color w:val="121212"/>
          <w:sz w:val="21"/>
        </w:rPr>
        <w:t>styles.json</w:t>
      </w:r>
      <w:r>
        <w:rPr>
          <w:rFonts w:ascii="Calibri" w:hAnsi="Calibri" w:eastAsia="Microsoft YaHei"/>
          <w:color w:val="121212"/>
          <w:sz w:val="22"/>
        </w:rPr>
        <w:t xml:space="preserve"> 两类监督信号，使模型不仅能够学习节点类型和视觉对齐，也能够学习结构树和样式属性。</w:t>
      </w:r>
    </w:p>
    <w:p>
      <w:r>
        <w:rPr>
          <w:rFonts w:ascii="Calibri" w:hAnsi="Calibri" w:eastAsia="Microsoft YaHei"/>
          <w:color w:val="121212"/>
          <w:sz w:val="22"/>
        </w:rPr>
        <w:t xml:space="preserve">当前 </w:t>
      </w:r>
      <w:r>
        <w:rPr>
          <w:rFonts w:ascii="Consolas" w:hAnsi="Consolas" w:eastAsia="Microsoft YaHei"/>
          <w:color w:val="121212"/>
          <w:sz w:val="21"/>
        </w:rPr>
        <w:t>data/sampled</w:t>
      </w:r>
      <w:r>
        <w:rPr>
          <w:rFonts w:ascii="Calibri" w:hAnsi="Calibri" w:eastAsia="Microsoft YaHei"/>
          <w:color w:val="121212"/>
          <w:sz w:val="22"/>
        </w:rPr>
        <w:t xml:space="preserve"> 中已有 100 条样本，其中 95 条具备完整训练所需文件，可用于本地小规模可行性验证。</w:t>
      </w:r>
    </w:p>
    <w:p>
      <w:pPr>
        <w:pStyle w:val="Heading2"/>
      </w:pPr>
      <w:r>
        <w:t>4.2 数据集与 batch 支持</w:t>
      </w:r>
    </w:p>
    <w:p>
      <w:r>
        <w:rPr>
          <w:rFonts w:ascii="Calibri" w:hAnsi="Calibri" w:eastAsia="Microsoft YaHei"/>
          <w:color w:val="121212"/>
          <w:sz w:val="22"/>
        </w:rPr>
        <w:t xml:space="preserve">已将数据集实现从早期单样本训练升级为支持 padding 和 </w:t>
      </w:r>
      <w:r>
        <w:rPr>
          <w:rFonts w:ascii="Consolas" w:hAnsi="Consolas" w:eastAsia="Microsoft YaHei"/>
          <w:color w:val="121212"/>
          <w:sz w:val="21"/>
        </w:rPr>
        <w:t>node_mask</w:t>
      </w:r>
      <w:r>
        <w:rPr>
          <w:rFonts w:ascii="Calibri" w:hAnsi="Calibri" w:eastAsia="Microsoft YaHei"/>
          <w:color w:val="121212"/>
          <w:sz w:val="22"/>
        </w:rPr>
        <w:t xml:space="preserve"> 的变长节点序列处理方式。由于不同网页节点数量不同，系统将节点框、父链、样式标签和对齐标签统一 padding 到 </w:t>
      </w:r>
      <w:r>
        <w:rPr>
          <w:rFonts w:ascii="Consolas" w:hAnsi="Consolas" w:eastAsia="Microsoft YaHei"/>
          <w:color w:val="121212"/>
          <w:sz w:val="21"/>
        </w:rPr>
        <w:t>max_nodes</w:t>
      </w:r>
      <w:r>
        <w:rPr>
          <w:rFonts w:ascii="Calibri" w:hAnsi="Calibri" w:eastAsia="Microsoft YaHei"/>
          <w:color w:val="121212"/>
          <w:sz w:val="22"/>
        </w:rPr>
        <w:t xml:space="preserve">，并在损失函数中使用 </w:t>
      </w:r>
      <w:r>
        <w:rPr>
          <w:rFonts w:ascii="Consolas" w:hAnsi="Consolas" w:eastAsia="Microsoft YaHei"/>
          <w:color w:val="121212"/>
          <w:sz w:val="21"/>
        </w:rPr>
        <w:t>node_mask</w:t>
      </w:r>
      <w:r>
        <w:rPr>
          <w:rFonts w:ascii="Calibri" w:hAnsi="Calibri" w:eastAsia="Microsoft YaHei"/>
          <w:color w:val="121212"/>
          <w:sz w:val="22"/>
        </w:rPr>
        <w:t xml:space="preserve"> 屏蔽 padding 节点。该设计为后续 GPU 扩大 batch 训练奠定了基础。</w:t>
      </w:r>
    </w:p>
    <w:p>
      <w:r>
        <w:rPr>
          <w:rFonts w:ascii="Calibri" w:hAnsi="Calibri" w:eastAsia="Microsoft YaHei"/>
          <w:color w:val="121212"/>
          <w:sz w:val="22"/>
        </w:rPr>
        <w:t>同时，为避免直接截断破坏父子链，当前系统实现了 BFS 截断策略，尽量保留连通子树，并对被截断节点的父链进行重新映射，减少结构监督噪声。</w:t>
      </w:r>
    </w:p>
    <w:p>
      <w:pPr>
        <w:pStyle w:val="Heading2"/>
      </w:pPr>
      <w:r>
        <w:t>4.3 模型核心模块</w:t>
      </w:r>
    </w:p>
    <w:p>
      <w:r>
        <w:rPr>
          <w:rFonts w:ascii="Calibri" w:hAnsi="Calibri" w:eastAsia="Microsoft YaHei"/>
          <w:color w:val="121212"/>
          <w:sz w:val="22"/>
        </w:rPr>
        <w:t>已完成以下模型模块：</w:t>
      </w:r>
    </w:p>
    <w:p>
      <w:pPr>
        <w:pStyle w:val="ListBullet"/>
      </w:pPr>
      <w:r>
        <w:rPr>
          <w:rFonts w:ascii="Consolas" w:hAnsi="Consolas" w:eastAsia="Microsoft YaHei"/>
          <w:color w:val="121212"/>
          <w:sz w:val="21"/>
        </w:rPr>
        <w:t>VisualEncoder</w:t>
      </w:r>
      <w:r>
        <w:rPr>
          <w:rFonts w:ascii="Calibri" w:hAnsi="Calibri" w:eastAsia="Microsoft YaHei"/>
          <w:color w:val="121212"/>
          <w:sz w:val="22"/>
        </w:rPr>
        <w:t>：网页截图视觉编码；</w:t>
      </w:r>
    </w:p>
    <w:p>
      <w:pPr>
        <w:pStyle w:val="ListBullet"/>
      </w:pPr>
      <w:r>
        <w:rPr>
          <w:rFonts w:ascii="Consolas" w:hAnsi="Consolas" w:eastAsia="Microsoft YaHei"/>
          <w:color w:val="121212"/>
          <w:sz w:val="21"/>
        </w:rPr>
        <w:t>CodeEncoder</w:t>
      </w:r>
      <w:r>
        <w:rPr>
          <w:rFonts w:ascii="Calibri" w:hAnsi="Calibri" w:eastAsia="Microsoft YaHei"/>
          <w:color w:val="121212"/>
          <w:sz w:val="22"/>
        </w:rPr>
        <w:t>：HTML 节点源码编码；</w:t>
      </w:r>
    </w:p>
    <w:p>
      <w:pPr>
        <w:pStyle w:val="ListBullet"/>
      </w:pPr>
      <w:r>
        <w:rPr>
          <w:rFonts w:ascii="Consolas" w:hAnsi="Consolas" w:eastAsia="Microsoft YaHei"/>
          <w:color w:val="121212"/>
          <w:sz w:val="21"/>
        </w:rPr>
        <w:t>CrossModalAlignment</w:t>
      </w:r>
      <w:r>
        <w:rPr>
          <w:rFonts w:ascii="Calibri" w:hAnsi="Calibri" w:eastAsia="Microsoft YaHei"/>
          <w:color w:val="121212"/>
          <w:sz w:val="22"/>
        </w:rPr>
        <w:t>：跨模态融合与对齐监督；</w:t>
      </w:r>
    </w:p>
    <w:p>
      <w:pPr>
        <w:pStyle w:val="ListBullet"/>
      </w:pPr>
      <w:r>
        <w:rPr>
          <w:rFonts w:ascii="Consolas" w:hAnsi="Consolas" w:eastAsia="Microsoft YaHei"/>
          <w:color w:val="121212"/>
          <w:sz w:val="21"/>
        </w:rPr>
        <w:t>NodeContextEncoder</w:t>
      </w:r>
      <w:r>
        <w:rPr>
          <w:rFonts w:ascii="Calibri" w:hAnsi="Calibri" w:eastAsia="Microsoft YaHei"/>
          <w:color w:val="121212"/>
          <w:sz w:val="22"/>
        </w:rPr>
        <w:t>：节点上下文编码；</w:t>
      </w:r>
    </w:p>
    <w:p>
      <w:pPr>
        <w:pStyle w:val="ListBullet"/>
      </w:pPr>
      <w:r>
        <w:rPr>
          <w:rFonts w:ascii="Consolas" w:hAnsi="Consolas" w:eastAsia="Microsoft YaHei"/>
          <w:color w:val="121212"/>
          <w:sz w:val="21"/>
        </w:rPr>
        <w:t>FigmaDecoder</w:t>
      </w:r>
      <w:r>
        <w:rPr>
          <w:rFonts w:ascii="Calibri" w:hAnsi="Calibri" w:eastAsia="Microsoft YaHei"/>
          <w:color w:val="121212"/>
          <w:sz w:val="22"/>
        </w:rPr>
        <w:t>：当前工程中的设计语义三层解码器；</w:t>
      </w:r>
    </w:p>
    <w:p>
      <w:pPr>
        <w:pStyle w:val="ListBullet"/>
      </w:pPr>
      <w:r>
        <w:rPr>
          <w:rFonts w:ascii="Consolas" w:hAnsi="Consolas" w:eastAsia="Microsoft YaHei"/>
          <w:color w:val="121212"/>
          <w:sz w:val="21"/>
        </w:rPr>
        <w:t>build_figma_json</w:t>
      </w:r>
      <w:r>
        <w:rPr>
          <w:rFonts w:ascii="Calibri" w:hAnsi="Calibri" w:eastAsia="Microsoft YaHei"/>
          <w:color w:val="121212"/>
          <w:sz w:val="22"/>
        </w:rPr>
        <w:t>：工具格式适配层，将设计语义结果转为 Figma 兼容 JSON。</w:t>
      </w:r>
    </w:p>
    <w:p>
      <w:pPr>
        <w:pStyle w:val="Heading2"/>
      </w:pPr>
      <w:r>
        <w:t>4.4 训练与评估系统</w:t>
      </w:r>
    </w:p>
    <w:p>
      <w:r>
        <w:rPr>
          <w:rFonts w:ascii="Calibri" w:hAnsi="Calibri" w:eastAsia="Microsoft YaHei"/>
          <w:color w:val="121212"/>
          <w:sz w:val="22"/>
        </w:rPr>
        <w:t xml:space="preserve">已完成配置驱动的训练脚本 </w:t>
      </w:r>
      <w:r>
        <w:rPr>
          <w:rFonts w:ascii="Consolas" w:hAnsi="Consolas" w:eastAsia="Microsoft YaHei"/>
          <w:color w:val="121212"/>
          <w:sz w:val="21"/>
        </w:rPr>
        <w:t>scripts/train.py</w:t>
      </w:r>
      <w:r>
        <w:rPr>
          <w:rFonts w:ascii="Calibri" w:hAnsi="Calibri" w:eastAsia="Microsoft YaHei"/>
          <w:color w:val="121212"/>
          <w:sz w:val="22"/>
        </w:rPr>
        <w:t xml:space="preserve">，支持 CUDA、MPS 和 CPU 自动选择，支持梯度累积、cosine warmup、资源保护、日志记录和周期性生成 JSON 输出。同时已实现 </w:t>
      </w:r>
      <w:r>
        <w:rPr>
          <w:rFonts w:ascii="Consolas" w:hAnsi="Consolas" w:eastAsia="Microsoft YaHei"/>
          <w:color w:val="121212"/>
          <w:sz w:val="21"/>
        </w:rPr>
        <w:t>scripts/train_accelerate.py</w:t>
      </w:r>
      <w:r>
        <w:rPr>
          <w:rFonts w:ascii="Calibri" w:hAnsi="Calibri" w:eastAsia="Microsoft YaHei"/>
          <w:color w:val="121212"/>
          <w:sz w:val="22"/>
        </w:rPr>
        <w:t>，为后续 GPU 集群训练提供 DDP 和混合精度支持。</w:t>
      </w:r>
    </w:p>
    <w:p>
      <w:r>
        <w:rPr>
          <w:rFonts w:ascii="Calibri" w:hAnsi="Calibri" w:eastAsia="Microsoft YaHei"/>
          <w:color w:val="121212"/>
          <w:sz w:val="22"/>
        </w:rPr>
        <w:t>评估系统已实现节点类型准确率、结构 parent F1、tree edit distance、样式回归误差、颜色误差和分类样式准确率等指标。可视化模块已支持训练曲线、混淆矩阵、跨模态 attention 热图、树结构对比图和深度分布图。</w:t>
      </w:r>
    </w:p>
    <w:p>
      <w:pPr>
        <w:pStyle w:val="Heading1"/>
      </w:pPr>
      <w:r>
        <w:t>五、阶段性实验与结果分析</w:t>
      </w:r>
    </w:p>
    <w:p>
      <w:pPr>
        <w:pStyle w:val="Heading2"/>
      </w:pPr>
      <w:r>
        <w:t>5.1 实验设置</w:t>
      </w:r>
    </w:p>
    <w:p>
      <w:r>
        <w:rPr>
          <w:rFonts w:ascii="Calibri" w:hAnsi="Calibri" w:eastAsia="Microsoft YaHei"/>
          <w:color w:val="121212"/>
          <w:sz w:val="22"/>
        </w:rPr>
        <w:t xml:space="preserve">当前主实验 M1 使用 </w:t>
      </w:r>
      <w:r>
        <w:rPr>
          <w:rFonts w:ascii="Consolas" w:hAnsi="Consolas" w:eastAsia="Microsoft YaHei"/>
          <w:color w:val="121212"/>
          <w:sz w:val="21"/>
        </w:rPr>
        <w:t>data/sampled</w:t>
      </w:r>
      <w:r>
        <w:rPr>
          <w:rFonts w:ascii="Calibri" w:hAnsi="Calibri" w:eastAsia="Microsoft YaHei"/>
          <w:color w:val="121212"/>
          <w:sz w:val="22"/>
        </w:rPr>
        <w:t xml:space="preserve"> 中 95 条完整样本进行端到端可行性验证，其中训练集 80 条，验证集 15 条。模型使用冻结的 ViT 编码器，CodeBERT 解冻最后 2 层，最大节点数为 96，物理 batch size 为 1，通过梯度累积实现等效 batch size 为 4。训练 30 epoch，硬件环境为本机 MPS，训练时长约 45 分钟。</w:t>
      </w:r>
    </w:p>
    <w:p>
      <w:pPr>
        <w:pStyle w:val="Heading2"/>
      </w:pPr>
      <w:r>
        <w:t>5.2 训练收敛情况</w:t>
      </w:r>
    </w:p>
    <w:p>
      <w:r>
        <w:rPr>
          <w:rFonts w:ascii="Calibri" w:hAnsi="Calibri" w:eastAsia="Microsoft YaHei"/>
          <w:color w:val="121212"/>
          <w:sz w:val="22"/>
        </w:rPr>
        <w:t>训练日志显示，验证集总损失从 epoch 1 的 2.754 下降到 epoch 30 的 1.294。节点类型准确率从 0.789 提升到 0.999，跨模态对齐 BCE 从 1.210 下降到 0.763，结构损失从 2.107 下降到 1.395。这说明当前多任务训练能够稳定运行，类型预测和跨模态对齐监督已经有效收敛。</w:t>
      </w:r>
    </w:p>
    <w:p>
      <w:r>
        <w:rPr>
          <w:rFonts w:ascii="Calibri" w:hAnsi="Calibri" w:eastAsia="Microsoft YaHei"/>
          <w:color w:val="121212"/>
          <w:sz w:val="22"/>
        </w:rPr>
        <w:t xml:space="preserve">需要说明的是，训练集中的 style regression 曾受个别样本 </w:t>
      </w:r>
      <w:r>
        <w:rPr>
          <w:rFonts w:ascii="Consolas" w:hAnsi="Consolas" w:eastAsia="Microsoft YaHei"/>
          <w:color w:val="121212"/>
          <w:sz w:val="21"/>
        </w:rPr>
        <w:t>border-radius:9999px</w:t>
      </w:r>
      <w:r>
        <w:rPr>
          <w:rFonts w:ascii="Calibri" w:hAnsi="Calibri" w:eastAsia="Microsoft YaHei"/>
          <w:color w:val="121212"/>
          <w:sz w:val="22"/>
        </w:rPr>
        <w:t xml:space="preserve"> 极值影响，导致训练日志中 style_reg 较大。该问题已在数据集编码阶段通过归一化和 clamp 处理修复，验证集结果不受明显影响。</w:t>
      </w:r>
    </w:p>
    <w:p>
      <w:pPr>
        <w:pStyle w:val="Heading2"/>
      </w:pPr>
      <w:r>
        <w:t>5.3 验证集指标</w:t>
      </w:r>
    </w:p>
    <w:p>
      <w:r>
        <w:rPr>
          <w:rFonts w:ascii="Calibri" w:hAnsi="Calibri" w:eastAsia="Microsoft YaHei"/>
          <w:color w:val="121212"/>
          <w:sz w:val="22"/>
        </w:rPr>
        <w:t>当前验证集评估结果如下：</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1170"/>
        <w:gridCol w:w="1170"/>
        <w:gridCol w:w="1170"/>
        <w:gridCol w:w="1170"/>
        <w:gridCol w:w="1170"/>
        <w:gridCol w:w="1170"/>
        <w:gridCol w:w="1170"/>
        <w:gridCol w:w="1170"/>
      </w:tblGrid>
      <w:tr>
        <w:tc>
          <w:tcPr>
            <w:tcW w:type="dxa" w:w="1170"/>
            <w:shd w:fill="F2F4F7"/>
            <w:vAlign w:val="center"/>
          </w:tcPr>
          <w:p>
            <w:pPr>
              <w:spacing w:before="0" w:after="0" w:line="264" w:lineRule="auto"/>
              <w:jc w:val="center"/>
            </w:pPr>
            <w:r>
              <w:rPr>
                <w:rFonts w:ascii="Calibri" w:hAnsi="Calibri" w:eastAsia="Microsoft YaHei"/>
                <w:b/>
                <w:color w:val="121212"/>
                <w:sz w:val="19"/>
              </w:rPr>
              <w:t>推理模式</w:t>
            </w:r>
          </w:p>
        </w:tc>
        <w:tc>
          <w:tcPr>
            <w:tcW w:type="dxa" w:w="1170"/>
            <w:shd w:fill="F2F4F7"/>
            <w:vAlign w:val="center"/>
          </w:tcPr>
          <w:p>
            <w:pPr>
              <w:spacing w:before="0" w:after="0" w:line="264" w:lineRule="auto"/>
              <w:jc w:val="center"/>
            </w:pPr>
            <w:r>
              <w:rPr>
                <w:rFonts w:ascii="Calibri" w:hAnsi="Calibri" w:eastAsia="Microsoft YaHei"/>
                <w:b/>
                <w:color w:val="121212"/>
                <w:sz w:val="19"/>
              </w:rPr>
              <w:t>type_acc</w:t>
            </w:r>
          </w:p>
        </w:tc>
        <w:tc>
          <w:tcPr>
            <w:tcW w:type="dxa" w:w="1170"/>
            <w:shd w:fill="F2F4F7"/>
            <w:vAlign w:val="center"/>
          </w:tcPr>
          <w:p>
            <w:pPr>
              <w:spacing w:before="0" w:after="0" w:line="264" w:lineRule="auto"/>
              <w:jc w:val="center"/>
            </w:pPr>
            <w:r>
              <w:rPr>
                <w:rFonts w:ascii="Calibri" w:hAnsi="Calibri" w:eastAsia="Microsoft YaHei"/>
                <w:b/>
                <w:color w:val="121212"/>
                <w:sz w:val="19"/>
              </w:rPr>
              <w:t>parent_f1</w:t>
            </w:r>
          </w:p>
        </w:tc>
        <w:tc>
          <w:tcPr>
            <w:tcW w:type="dxa" w:w="1170"/>
            <w:shd w:fill="F2F4F7"/>
            <w:vAlign w:val="center"/>
          </w:tcPr>
          <w:p>
            <w:pPr>
              <w:spacing w:before="0" w:after="0" w:line="264" w:lineRule="auto"/>
              <w:jc w:val="center"/>
            </w:pPr>
            <w:r>
              <w:rPr>
                <w:rFonts w:ascii="Calibri" w:hAnsi="Calibri" w:eastAsia="Microsoft YaHei"/>
                <w:b/>
                <w:color w:val="121212"/>
                <w:sz w:val="19"/>
              </w:rPr>
              <w:t>tree_edit</w:t>
            </w:r>
          </w:p>
        </w:tc>
        <w:tc>
          <w:tcPr>
            <w:tcW w:type="dxa" w:w="1170"/>
            <w:shd w:fill="F2F4F7"/>
            <w:vAlign w:val="center"/>
          </w:tcPr>
          <w:p>
            <w:pPr>
              <w:spacing w:before="0" w:after="0" w:line="264" w:lineRule="auto"/>
              <w:jc w:val="center"/>
            </w:pPr>
            <w:r>
              <w:rPr>
                <w:rFonts w:ascii="Calibri" w:hAnsi="Calibri" w:eastAsia="Microsoft YaHei"/>
                <w:b/>
                <w:color w:val="121212"/>
                <w:sz w:val="19"/>
              </w:rPr>
              <w:t>style_reg_mae</w:t>
            </w:r>
          </w:p>
        </w:tc>
        <w:tc>
          <w:tcPr>
            <w:tcW w:type="dxa" w:w="1170"/>
            <w:shd w:fill="F2F4F7"/>
            <w:vAlign w:val="center"/>
          </w:tcPr>
          <w:p>
            <w:pPr>
              <w:spacing w:before="0" w:after="0" w:line="264" w:lineRule="auto"/>
              <w:jc w:val="center"/>
            </w:pPr>
            <w:r>
              <w:rPr>
                <w:rFonts w:ascii="Calibri" w:hAnsi="Calibri" w:eastAsia="Microsoft YaHei"/>
                <w:b/>
                <w:color w:val="121212"/>
                <w:sz w:val="19"/>
              </w:rPr>
              <w:t>color_de</w:t>
            </w:r>
          </w:p>
        </w:tc>
        <w:tc>
          <w:tcPr>
            <w:tcW w:type="dxa" w:w="1170"/>
            <w:shd w:fill="F2F4F7"/>
            <w:vAlign w:val="center"/>
          </w:tcPr>
          <w:p>
            <w:pPr>
              <w:spacing w:before="0" w:after="0" w:line="264" w:lineRule="auto"/>
              <w:jc w:val="center"/>
            </w:pPr>
            <w:r>
              <w:rPr>
                <w:rFonts w:ascii="Calibri" w:hAnsi="Calibri" w:eastAsia="Microsoft YaHei"/>
                <w:b/>
                <w:color w:val="121212"/>
                <w:sz w:val="19"/>
              </w:rPr>
              <w:t>textAlign_acc</w:t>
            </w:r>
          </w:p>
        </w:tc>
        <w:tc>
          <w:tcPr>
            <w:tcW w:type="dxa" w:w="1170"/>
            <w:shd w:fill="F2F4F7"/>
            <w:vAlign w:val="center"/>
          </w:tcPr>
          <w:p>
            <w:pPr>
              <w:spacing w:before="0" w:after="0" w:line="264" w:lineRule="auto"/>
              <w:jc w:val="center"/>
            </w:pPr>
            <w:r>
              <w:rPr>
                <w:rFonts w:ascii="Calibri" w:hAnsi="Calibri" w:eastAsia="Microsoft YaHei"/>
                <w:b/>
                <w:color w:val="121212"/>
                <w:sz w:val="19"/>
              </w:rPr>
              <w:t>display_acc</w:t>
            </w:r>
          </w:p>
        </w:tc>
      </w:tr>
      <w:tr>
        <w:tc>
          <w:tcPr>
            <w:tcW w:type="dxa" w:w="1170"/>
            <w:vAlign w:val="center"/>
          </w:tcPr>
          <w:p>
            <w:pPr>
              <w:spacing w:before="0" w:after="0" w:line="264" w:lineRule="auto"/>
              <w:jc w:val="center"/>
            </w:pPr>
            <w:r>
              <w:rPr>
                <w:rFonts w:ascii="Calibri" w:hAnsi="Calibri" w:eastAsia="Microsoft YaHei"/>
                <w:b w:val="0"/>
                <w:color w:val="121212"/>
                <w:sz w:val="19"/>
              </w:rPr>
              <w:t>model</w:t>
            </w:r>
          </w:p>
        </w:tc>
        <w:tc>
          <w:tcPr>
            <w:tcW w:type="dxa" w:w="1170"/>
            <w:vAlign w:val="center"/>
          </w:tcPr>
          <w:p>
            <w:pPr>
              <w:spacing w:before="0" w:after="0" w:line="264" w:lineRule="auto"/>
              <w:jc w:val="center"/>
            </w:pPr>
            <w:r>
              <w:rPr>
                <w:rFonts w:ascii="Calibri" w:hAnsi="Calibri" w:eastAsia="Microsoft YaHei"/>
                <w:b w:val="0"/>
                <w:color w:val="121212"/>
                <w:sz w:val="19"/>
              </w:rPr>
              <w:t>0.991</w:t>
            </w:r>
          </w:p>
        </w:tc>
        <w:tc>
          <w:tcPr>
            <w:tcW w:type="dxa" w:w="1170"/>
            <w:vAlign w:val="center"/>
          </w:tcPr>
          <w:p>
            <w:pPr>
              <w:spacing w:before="0" w:after="0" w:line="264" w:lineRule="auto"/>
              <w:jc w:val="center"/>
            </w:pPr>
            <w:r>
              <w:rPr>
                <w:rFonts w:ascii="Calibri" w:hAnsi="Calibri" w:eastAsia="Microsoft YaHei"/>
                <w:b w:val="0"/>
                <w:color w:val="121212"/>
                <w:sz w:val="19"/>
              </w:rPr>
              <w:t>0.055</w:t>
            </w:r>
          </w:p>
        </w:tc>
        <w:tc>
          <w:tcPr>
            <w:tcW w:type="dxa" w:w="1170"/>
            <w:vAlign w:val="center"/>
          </w:tcPr>
          <w:p>
            <w:pPr>
              <w:spacing w:before="0" w:after="0" w:line="264" w:lineRule="auto"/>
              <w:jc w:val="center"/>
            </w:pPr>
            <w:r>
              <w:rPr>
                <w:rFonts w:ascii="Calibri" w:hAnsi="Calibri" w:eastAsia="Microsoft YaHei"/>
                <w:b w:val="0"/>
                <w:color w:val="121212"/>
                <w:sz w:val="19"/>
              </w:rPr>
              <w:t>84.0</w:t>
            </w:r>
          </w:p>
        </w:tc>
        <w:tc>
          <w:tcPr>
            <w:tcW w:type="dxa" w:w="1170"/>
            <w:vAlign w:val="center"/>
          </w:tcPr>
          <w:p>
            <w:pPr>
              <w:spacing w:before="0" w:after="0" w:line="264" w:lineRule="auto"/>
              <w:jc w:val="center"/>
            </w:pPr>
            <w:r>
              <w:rPr>
                <w:rFonts w:ascii="Calibri" w:hAnsi="Calibri" w:eastAsia="Microsoft YaHei"/>
                <w:b w:val="0"/>
                <w:color w:val="121212"/>
                <w:sz w:val="19"/>
              </w:rPr>
              <w:t>0.071</w:t>
            </w:r>
          </w:p>
        </w:tc>
        <w:tc>
          <w:tcPr>
            <w:tcW w:type="dxa" w:w="1170"/>
            <w:vAlign w:val="center"/>
          </w:tcPr>
          <w:p>
            <w:pPr>
              <w:spacing w:before="0" w:after="0" w:line="264" w:lineRule="auto"/>
              <w:jc w:val="center"/>
            </w:pPr>
            <w:r>
              <w:rPr>
                <w:rFonts w:ascii="Calibri" w:hAnsi="Calibri" w:eastAsia="Microsoft YaHei"/>
                <w:b w:val="0"/>
                <w:color w:val="121212"/>
                <w:sz w:val="19"/>
              </w:rPr>
              <w:t>0.387</w:t>
            </w:r>
          </w:p>
        </w:tc>
        <w:tc>
          <w:tcPr>
            <w:tcW w:type="dxa" w:w="1170"/>
            <w:vAlign w:val="center"/>
          </w:tcPr>
          <w:p>
            <w:pPr>
              <w:spacing w:before="0" w:after="0" w:line="264" w:lineRule="auto"/>
              <w:jc w:val="center"/>
            </w:pPr>
            <w:r>
              <w:rPr>
                <w:rFonts w:ascii="Calibri" w:hAnsi="Calibri" w:eastAsia="Microsoft YaHei"/>
                <w:b w:val="0"/>
                <w:color w:val="121212"/>
                <w:sz w:val="19"/>
              </w:rPr>
              <w:t>0.510</w:t>
            </w:r>
          </w:p>
        </w:tc>
        <w:tc>
          <w:tcPr>
            <w:tcW w:type="dxa" w:w="1170"/>
            <w:vAlign w:val="center"/>
          </w:tcPr>
          <w:p>
            <w:pPr>
              <w:spacing w:before="0" w:after="0" w:line="264" w:lineRule="auto"/>
              <w:jc w:val="center"/>
            </w:pPr>
            <w:r>
              <w:rPr>
                <w:rFonts w:ascii="Calibri" w:hAnsi="Calibri" w:eastAsia="Microsoft YaHei"/>
                <w:b w:val="0"/>
                <w:color w:val="121212"/>
                <w:sz w:val="19"/>
              </w:rPr>
              <w:t>0.761</w:t>
            </w:r>
          </w:p>
        </w:tc>
      </w:tr>
      <w:tr>
        <w:tc>
          <w:tcPr>
            <w:tcW w:type="dxa" w:w="1170"/>
            <w:vAlign w:val="center"/>
          </w:tcPr>
          <w:p>
            <w:pPr>
              <w:spacing w:before="0" w:after="0" w:line="264" w:lineRule="auto"/>
              <w:jc w:val="center"/>
            </w:pPr>
            <w:r>
              <w:rPr>
                <w:rFonts w:ascii="Calibri" w:hAnsi="Calibri" w:eastAsia="Microsoft YaHei"/>
                <w:b w:val="0"/>
                <w:color w:val="121212"/>
                <w:sz w:val="19"/>
              </w:rPr>
              <w:t>heuristic</w:t>
            </w:r>
          </w:p>
        </w:tc>
        <w:tc>
          <w:tcPr>
            <w:tcW w:type="dxa" w:w="1170"/>
            <w:vAlign w:val="center"/>
          </w:tcPr>
          <w:p>
            <w:pPr>
              <w:spacing w:before="0" w:after="0" w:line="264" w:lineRule="auto"/>
              <w:jc w:val="center"/>
            </w:pPr>
            <w:r>
              <w:rPr>
                <w:rFonts w:ascii="Calibri" w:hAnsi="Calibri" w:eastAsia="Microsoft YaHei"/>
                <w:b w:val="0"/>
                <w:color w:val="121212"/>
                <w:sz w:val="19"/>
              </w:rPr>
              <w:t>0.998</w:t>
            </w:r>
          </w:p>
        </w:tc>
        <w:tc>
          <w:tcPr>
            <w:tcW w:type="dxa" w:w="1170"/>
            <w:vAlign w:val="center"/>
          </w:tcPr>
          <w:p>
            <w:pPr>
              <w:spacing w:before="0" w:after="0" w:line="264" w:lineRule="auto"/>
              <w:jc w:val="center"/>
            </w:pPr>
            <w:r>
              <w:rPr>
                <w:rFonts w:ascii="Calibri" w:hAnsi="Calibri" w:eastAsia="Microsoft YaHei"/>
                <w:b w:val="0"/>
                <w:color w:val="121212"/>
                <w:sz w:val="19"/>
              </w:rPr>
              <w:t>0.458</w:t>
            </w:r>
          </w:p>
        </w:tc>
        <w:tc>
          <w:tcPr>
            <w:tcW w:type="dxa" w:w="1170"/>
            <w:vAlign w:val="center"/>
          </w:tcPr>
          <w:p>
            <w:pPr>
              <w:spacing w:before="0" w:after="0" w:line="264" w:lineRule="auto"/>
              <w:jc w:val="center"/>
            </w:pPr>
            <w:r>
              <w:rPr>
                <w:rFonts w:ascii="Calibri" w:hAnsi="Calibri" w:eastAsia="Microsoft YaHei"/>
                <w:b w:val="0"/>
                <w:color w:val="121212"/>
                <w:sz w:val="19"/>
              </w:rPr>
              <w:t>12.4</w:t>
            </w:r>
          </w:p>
        </w:tc>
        <w:tc>
          <w:tcPr>
            <w:tcW w:type="dxa" w:w="1170"/>
            <w:vAlign w:val="center"/>
          </w:tcPr>
          <w:p>
            <w:pPr>
              <w:spacing w:before="0" w:after="0" w:line="264" w:lineRule="auto"/>
              <w:jc w:val="center"/>
            </w:pPr>
            <w:r>
              <w:rPr>
                <w:rFonts w:ascii="Calibri" w:hAnsi="Calibri" w:eastAsia="Microsoft YaHei"/>
                <w:b w:val="0"/>
                <w:color w:val="121212"/>
                <w:sz w:val="19"/>
              </w:rPr>
              <w:t>0.079</w:t>
            </w:r>
          </w:p>
        </w:tc>
        <w:tc>
          <w:tcPr>
            <w:tcW w:type="dxa" w:w="1170"/>
            <w:vAlign w:val="center"/>
          </w:tcPr>
          <w:p>
            <w:pPr>
              <w:spacing w:before="0" w:after="0" w:line="264" w:lineRule="auto"/>
              <w:jc w:val="center"/>
            </w:pPr>
            <w:r>
              <w:rPr>
                <w:rFonts w:ascii="Calibri" w:hAnsi="Calibri" w:eastAsia="Microsoft YaHei"/>
                <w:b w:val="0"/>
                <w:color w:val="121212"/>
                <w:sz w:val="19"/>
              </w:rPr>
              <w:t>0.354</w:t>
            </w:r>
          </w:p>
        </w:tc>
        <w:tc>
          <w:tcPr>
            <w:tcW w:type="dxa" w:w="1170"/>
            <w:vAlign w:val="center"/>
          </w:tcPr>
          <w:p>
            <w:pPr>
              <w:spacing w:before="0" w:after="0" w:line="264" w:lineRule="auto"/>
              <w:jc w:val="center"/>
            </w:pPr>
            <w:r>
              <w:rPr>
                <w:rFonts w:ascii="Calibri" w:hAnsi="Calibri" w:eastAsia="Microsoft YaHei"/>
                <w:b w:val="0"/>
                <w:color w:val="121212"/>
                <w:sz w:val="19"/>
              </w:rPr>
              <w:t>0.566</w:t>
            </w:r>
          </w:p>
        </w:tc>
        <w:tc>
          <w:tcPr>
            <w:tcW w:type="dxa" w:w="1170"/>
            <w:vAlign w:val="center"/>
          </w:tcPr>
          <w:p>
            <w:pPr>
              <w:spacing w:before="0" w:after="0" w:line="264" w:lineRule="auto"/>
              <w:jc w:val="center"/>
            </w:pPr>
            <w:r>
              <w:rPr>
                <w:rFonts w:ascii="Calibri" w:hAnsi="Calibri" w:eastAsia="Microsoft YaHei"/>
                <w:b w:val="0"/>
                <w:color w:val="121212"/>
                <w:sz w:val="19"/>
              </w:rPr>
              <w:t>0.773</w:t>
            </w:r>
          </w:p>
        </w:tc>
      </w:tr>
      <w:tr>
        <w:tc>
          <w:tcPr>
            <w:tcW w:type="dxa" w:w="1170"/>
            <w:vAlign w:val="center"/>
          </w:tcPr>
          <w:p>
            <w:pPr>
              <w:spacing w:before="0" w:after="0" w:line="264" w:lineRule="auto"/>
              <w:jc w:val="center"/>
            </w:pPr>
            <w:r>
              <w:rPr>
                <w:rFonts w:ascii="Calibri" w:hAnsi="Calibri" w:eastAsia="Microsoft YaHei"/>
                <w:b w:val="0"/>
                <w:color w:val="121212"/>
                <w:sz w:val="19"/>
              </w:rPr>
              <w:t>hybrid</w:t>
            </w:r>
          </w:p>
        </w:tc>
        <w:tc>
          <w:tcPr>
            <w:tcW w:type="dxa" w:w="1170"/>
            <w:vAlign w:val="center"/>
          </w:tcPr>
          <w:p>
            <w:pPr>
              <w:spacing w:before="0" w:after="0" w:line="264" w:lineRule="auto"/>
              <w:jc w:val="center"/>
            </w:pPr>
            <w:r>
              <w:rPr>
                <w:rFonts w:ascii="Calibri" w:hAnsi="Calibri" w:eastAsia="Microsoft YaHei"/>
                <w:b w:val="0"/>
                <w:color w:val="121212"/>
                <w:sz w:val="19"/>
              </w:rPr>
              <w:t>0.998</w:t>
            </w:r>
          </w:p>
        </w:tc>
        <w:tc>
          <w:tcPr>
            <w:tcW w:type="dxa" w:w="1170"/>
            <w:vAlign w:val="center"/>
          </w:tcPr>
          <w:p>
            <w:pPr>
              <w:spacing w:before="0" w:after="0" w:line="264" w:lineRule="auto"/>
              <w:jc w:val="center"/>
            </w:pPr>
            <w:r>
              <w:rPr>
                <w:rFonts w:ascii="Calibri" w:hAnsi="Calibri" w:eastAsia="Microsoft YaHei"/>
                <w:b w:val="0"/>
                <w:color w:val="121212"/>
                <w:sz w:val="19"/>
              </w:rPr>
              <w:t>0.082</w:t>
            </w:r>
          </w:p>
        </w:tc>
        <w:tc>
          <w:tcPr>
            <w:tcW w:type="dxa" w:w="1170"/>
            <w:vAlign w:val="center"/>
          </w:tcPr>
          <w:p>
            <w:pPr>
              <w:spacing w:before="0" w:after="0" w:line="264" w:lineRule="auto"/>
              <w:jc w:val="center"/>
            </w:pPr>
            <w:r>
              <w:rPr>
                <w:rFonts w:ascii="Calibri" w:hAnsi="Calibri" w:eastAsia="Microsoft YaHei"/>
                <w:b w:val="0"/>
                <w:color w:val="121212"/>
                <w:sz w:val="19"/>
              </w:rPr>
              <w:t>81.7</w:t>
            </w:r>
          </w:p>
        </w:tc>
        <w:tc>
          <w:tcPr>
            <w:tcW w:type="dxa" w:w="1170"/>
            <w:vAlign w:val="center"/>
          </w:tcPr>
          <w:p>
            <w:pPr>
              <w:spacing w:before="0" w:after="0" w:line="264" w:lineRule="auto"/>
              <w:jc w:val="center"/>
            </w:pPr>
            <w:r>
              <w:rPr>
                <w:rFonts w:ascii="Calibri" w:hAnsi="Calibri" w:eastAsia="Microsoft YaHei"/>
                <w:b w:val="0"/>
                <w:color w:val="121212"/>
                <w:sz w:val="19"/>
              </w:rPr>
              <w:t>0.079</w:t>
            </w:r>
          </w:p>
        </w:tc>
        <w:tc>
          <w:tcPr>
            <w:tcW w:type="dxa" w:w="1170"/>
            <w:vAlign w:val="center"/>
          </w:tcPr>
          <w:p>
            <w:pPr>
              <w:spacing w:before="0" w:after="0" w:line="264" w:lineRule="auto"/>
              <w:jc w:val="center"/>
            </w:pPr>
            <w:r>
              <w:rPr>
                <w:rFonts w:ascii="Calibri" w:hAnsi="Calibri" w:eastAsia="Microsoft YaHei"/>
                <w:b w:val="0"/>
                <w:color w:val="121212"/>
                <w:sz w:val="19"/>
              </w:rPr>
              <w:t>0.354</w:t>
            </w:r>
          </w:p>
        </w:tc>
        <w:tc>
          <w:tcPr>
            <w:tcW w:type="dxa" w:w="1170"/>
            <w:vAlign w:val="center"/>
          </w:tcPr>
          <w:p>
            <w:pPr>
              <w:spacing w:before="0" w:after="0" w:line="264" w:lineRule="auto"/>
              <w:jc w:val="center"/>
            </w:pPr>
            <w:r>
              <w:rPr>
                <w:rFonts w:ascii="Calibri" w:hAnsi="Calibri" w:eastAsia="Microsoft YaHei"/>
                <w:b w:val="0"/>
                <w:color w:val="121212"/>
                <w:sz w:val="19"/>
              </w:rPr>
              <w:t>0.566</w:t>
            </w:r>
          </w:p>
        </w:tc>
        <w:tc>
          <w:tcPr>
            <w:tcW w:type="dxa" w:w="1170"/>
            <w:vAlign w:val="center"/>
          </w:tcPr>
          <w:p>
            <w:pPr>
              <w:spacing w:before="0" w:after="0" w:line="264" w:lineRule="auto"/>
              <w:jc w:val="center"/>
            </w:pPr>
            <w:r>
              <w:rPr>
                <w:rFonts w:ascii="Calibri" w:hAnsi="Calibri" w:eastAsia="Microsoft YaHei"/>
                <w:b w:val="0"/>
                <w:color w:val="121212"/>
                <w:sz w:val="19"/>
              </w:rPr>
              <w:t>0.773</w:t>
            </w:r>
          </w:p>
        </w:tc>
      </w:tr>
    </w:tbl>
    <w:p/>
    <w:p>
      <w:r>
        <w:rPr>
          <w:rFonts w:ascii="Calibri" w:hAnsi="Calibri" w:eastAsia="Microsoft YaHei"/>
          <w:color w:val="121212"/>
          <w:sz w:val="22"/>
        </w:rPr>
        <w:t>其中，model 表示完全使用模型预测父节点；heuristic 表示结构部分使用基于边界框包含关系的启发式方法；hybrid 表示模型置信度不足时回退到启发式结构。</w:t>
      </w:r>
    </w:p>
    <w:p>
      <w:r>
        <w:rPr>
          <w:rFonts w:ascii="Calibri" w:hAnsi="Calibri" w:eastAsia="Microsoft YaHei"/>
          <w:color w:val="121212"/>
          <w:sz w:val="22"/>
        </w:rPr>
        <w:t>实验结果表明：</w:t>
      </w:r>
    </w:p>
    <w:p>
      <w:pPr>
        <w:pStyle w:val="ListNumber"/>
      </w:pPr>
      <w:r>
        <w:rPr>
          <w:rFonts w:ascii="Calibri" w:hAnsi="Calibri" w:eastAsia="Microsoft YaHei"/>
          <w:color w:val="121212"/>
          <w:sz w:val="22"/>
        </w:rPr>
        <w:t>节点类型预测已经基本收敛，说明 HTML 标签与通用设计节点类型之间的映射可以被模型稳定学习。</w:t>
      </w:r>
    </w:p>
    <w:p>
      <w:pPr>
        <w:pStyle w:val="ListNumber"/>
      </w:pPr>
      <w:r>
        <w:rPr>
          <w:rFonts w:ascii="Calibri" w:hAnsi="Calibri" w:eastAsia="Microsoft YaHei"/>
          <w:color w:val="121212"/>
          <w:sz w:val="22"/>
        </w:rPr>
        <w:t>样式预测在小样本下已有初步效果，说明 computed style 监督能够为设计语义恢复提供有效信号。</w:t>
      </w:r>
    </w:p>
    <w:p>
      <w:pPr>
        <w:pStyle w:val="ListNumber"/>
      </w:pPr>
      <w:r>
        <w:rPr>
          <w:rFonts w:ascii="Calibri" w:hAnsi="Calibri" w:eastAsia="Microsoft YaHei"/>
          <w:color w:val="121212"/>
          <w:sz w:val="22"/>
        </w:rPr>
        <w:t>跨模态对齐损失稳定下降，证明通过节点框与图像 patch 的重叠关系构造弱监督是可行的。</w:t>
      </w:r>
    </w:p>
    <w:p>
      <w:pPr>
        <w:pStyle w:val="ListNumber"/>
      </w:pPr>
      <w:r>
        <w:rPr>
          <w:rFonts w:ascii="Calibri" w:hAnsi="Calibri" w:eastAsia="Microsoft YaHei"/>
          <w:color w:val="121212"/>
          <w:sz w:val="22"/>
        </w:rPr>
        <w:t>纯模型结构预测在小样本下表现不足，parent_f1 远低于启发式结构方法。</w:t>
      </w:r>
    </w:p>
    <w:p>
      <w:pPr>
        <w:pStyle w:val="ListNumber"/>
      </w:pPr>
      <w:r>
        <w:rPr>
          <w:rFonts w:ascii="Calibri" w:hAnsi="Calibri" w:eastAsia="Microsoft YaHei"/>
          <w:color w:val="121212"/>
          <w:sz w:val="22"/>
        </w:rPr>
        <w:t>当前最合理的工程形态是混合式方案：模型负责类型和样式语义，启发式方法负责小样本阶段更稳定的树结构恢复。</w:t>
      </w:r>
    </w:p>
    <w:p>
      <w:pPr>
        <w:pStyle w:val="Heading2"/>
      </w:pPr>
      <w:r>
        <w:t>5.4 阶段性结论</w:t>
      </w:r>
    </w:p>
    <w:p>
      <w:r>
        <w:rPr>
          <w:rFonts w:ascii="Calibri" w:hAnsi="Calibri" w:eastAsia="Microsoft YaHei"/>
          <w:color w:val="121212"/>
          <w:sz w:val="22"/>
        </w:rPr>
        <w:t>中期实验验证了本课题技术路线的端到端可行性。系统已经能够从真实网页数据中提取训练信号，并训练跨模态模型生成结构化设计语义 JSON。类型预测、样式预测和跨模态对齐模块表现出明显有效性；结构生成仍是当前主要瓶颈，需要在下一阶段通过扩大数据规模、优化结构解码器和改进推理机制进一步解决。</w:t>
      </w:r>
    </w:p>
    <w:p>
      <w:r>
        <w:rPr>
          <w:rFonts w:ascii="Calibri" w:hAnsi="Calibri" w:eastAsia="Microsoft YaHei"/>
          <w:color w:val="121212"/>
          <w:sz w:val="22"/>
        </w:rPr>
        <w:t>这一结果符合研究预期：通用设计语言生成不仅是节点分类问题，更包含复杂树结构和布局语义恢复，其难度显著高于单个元素属性预测。当前实验为后续研究提供了清晰方向，也说明结构生成任务对数据规模和结构先验高度敏感。</w:t>
      </w:r>
    </w:p>
    <w:p>
      <w:pPr>
        <w:pStyle w:val="Heading1"/>
      </w:pPr>
      <w:r>
        <w:t>六、与开题计划的对应关系</w:t>
      </w:r>
    </w:p>
    <w:p>
      <w:r>
        <w:rPr>
          <w:rFonts w:ascii="Calibri" w:hAnsi="Calibri" w:eastAsia="Microsoft YaHei"/>
          <w:color w:val="121212"/>
          <w:sz w:val="22"/>
        </w:rPr>
        <w:t>开题报告中将论文工作划分为五个阶段。当前进度与原计划总体一致，部分工作已提前完成。</w:t>
      </w:r>
    </w:p>
    <w:p>
      <w:r>
        <w:rPr>
          <w:rFonts w:ascii="Calibri" w:hAnsi="Calibri" w:eastAsia="Microsoft YaHei"/>
          <w:color w:val="121212"/>
          <w:sz w:val="22"/>
        </w:rPr>
        <w:t>第一阶段计划完成数据采集、预处理、文献研究和技术方案设计。目前已完成 WebCode2M 数据下载脚本、渲染脚本和样本集构建，并形成了较完整的模型技术路线。</w:t>
      </w:r>
    </w:p>
    <w:p>
      <w:r>
        <w:rPr>
          <w:rFonts w:ascii="Calibri" w:hAnsi="Calibri" w:eastAsia="Microsoft YaHei"/>
          <w:color w:val="121212"/>
          <w:sz w:val="22"/>
        </w:rPr>
        <w:t>第二阶段计划开发双模态特征提取和对齐模块。目前已完成 ViT 视觉编码、CodeBERT 节点编码和跨模态对齐模块，并完成对齐损失的关键修复。</w:t>
      </w:r>
    </w:p>
    <w:p>
      <w:r>
        <w:rPr>
          <w:rFonts w:ascii="Calibri" w:hAnsi="Calibri" w:eastAsia="Microsoft YaHei"/>
          <w:color w:val="121212"/>
          <w:sz w:val="22"/>
        </w:rPr>
        <w:t>第三阶段计划完成解码器模块设计与训练。目前已实现节点类型、结构规划和样式预测三层解码器，并完成 30 epoch 小样本端到端训练。</w:t>
      </w:r>
    </w:p>
    <w:p>
      <w:r>
        <w:rPr>
          <w:rFonts w:ascii="Calibri" w:hAnsi="Calibri" w:eastAsia="Microsoft YaHei"/>
          <w:color w:val="121212"/>
          <w:sz w:val="22"/>
        </w:rPr>
        <w:t>第四阶段计划在 2026 年 8 月至 9 月进行端到端输出验证和与现有方法对比。当前已提前完成初步端到端验证，并完成启发式结构基线对比。后续仍需在更大规模数据和更完整消融实验上继续验证。</w:t>
      </w:r>
    </w:p>
    <w:p>
      <w:r>
        <w:rPr>
          <w:rFonts w:ascii="Calibri" w:hAnsi="Calibri" w:eastAsia="Microsoft YaHei"/>
          <w:color w:val="121212"/>
          <w:sz w:val="22"/>
        </w:rPr>
        <w:t>第五阶段为论文撰写阶段。当前中期报告将作为后续论文第 3 章方法设计、第 4 章实验结果和第 5 章讨论分析的基础材料。</w:t>
      </w:r>
    </w:p>
    <w:p>
      <w:pPr>
        <w:pStyle w:val="Heading1"/>
      </w:pPr>
      <w:r>
        <w:t>七、当前存在的问题</w:t>
      </w:r>
    </w:p>
    <w:p>
      <w:pPr>
        <w:pStyle w:val="Heading2"/>
      </w:pPr>
      <w:r>
        <w:t>7.1 结构预测仍是主要瓶颈</w:t>
      </w:r>
    </w:p>
    <w:p>
      <w:r>
        <w:rPr>
          <w:rFonts w:ascii="Calibri" w:hAnsi="Calibri" w:eastAsia="Microsoft YaHei"/>
          <w:color w:val="121212"/>
          <w:sz w:val="22"/>
        </w:rPr>
        <w:t>当前结构解码器需要对每个节点从最多 N+1 个候选父节点中选择父节点，本质上是 N×N 级别的组合预测问题。现有训练集只有 80 条样本，难以支撑复杂树结构规律学习。因此模型结构预测 parent_f1 较低，而基于边界框包含关系的启发式结构方法更稳定。</w:t>
      </w:r>
    </w:p>
    <w:p>
      <w:pPr>
        <w:pStyle w:val="Heading2"/>
      </w:pPr>
      <w:r>
        <w:t>7.2 训练与推理存在上下文差异</w:t>
      </w:r>
    </w:p>
    <w:p>
      <w:r>
        <w:rPr>
          <w:rFonts w:ascii="Calibri" w:hAnsi="Calibri" w:eastAsia="Microsoft YaHei"/>
          <w:color w:val="121212"/>
          <w:sz w:val="22"/>
        </w:rPr>
        <w:t>训练阶段可以使用真实父链计算节点深度和兄弟序号，而推理阶段只能使用模型预测结果。这导致结构解码存在 train/inference mismatch。当前已实现 iterative inference，用上一轮预测父链更新下一轮上下文，但在小样本下仍未完全解决问题。</w:t>
      </w:r>
    </w:p>
    <w:p>
      <w:pPr>
        <w:pStyle w:val="Heading2"/>
      </w:pPr>
      <w:r>
        <w:t>7.3 当前数据规模不足</w:t>
      </w:r>
    </w:p>
    <w:p>
      <w:r>
        <w:rPr>
          <w:rFonts w:ascii="Calibri" w:hAnsi="Calibri" w:eastAsia="Microsoft YaHei"/>
          <w:color w:val="121212"/>
          <w:sz w:val="22"/>
        </w:rPr>
        <w:t>中期实验仅使用 95 条样本，其中训练样本 80 条。对于类型预测和简单样式预测，小样本已足以验证可行性；但对于结构树生成、组件语义抽象和复杂布局恢复，仍需要扩大到 1k、10k 甚至更大规模的数据。</w:t>
      </w:r>
    </w:p>
    <w:p>
      <w:pPr>
        <w:pStyle w:val="Heading2"/>
      </w:pPr>
      <w:r>
        <w:t>7.4 通用设计语言抽象仍需进一步明确</w:t>
      </w:r>
    </w:p>
    <w:p>
      <w:r>
        <w:rPr>
          <w:rFonts w:ascii="Calibri" w:hAnsi="Calibri" w:eastAsia="Microsoft YaHei"/>
          <w:color w:val="121212"/>
          <w:sz w:val="22"/>
        </w:rPr>
        <w:t>当前工程实现仍以 Figma 兼容 JSON 作为输出层，虽然已具备通用设计语义的雏形，但论文中还需要进一步明确 Design IR 的抽象定义、字段语义和与具体工具格式之间的适配关系。</w:t>
      </w:r>
    </w:p>
    <w:p>
      <w:pPr>
        <w:pStyle w:val="Heading1"/>
      </w:pPr>
      <w:r>
        <w:t>八、下一阶段工作计划</w:t>
      </w:r>
    </w:p>
    <w:p>
      <w:pPr>
        <w:pStyle w:val="Heading2"/>
      </w:pPr>
      <w:r>
        <w:t>8.1 完成通用设计语言定义</w:t>
      </w:r>
    </w:p>
    <w:p>
      <w:r>
        <w:rPr>
          <w:rFonts w:ascii="Calibri" w:hAnsi="Calibri" w:eastAsia="Microsoft YaHei"/>
          <w:color w:val="121212"/>
          <w:sz w:val="22"/>
        </w:rPr>
        <w:t>下一阶段首先需要在论文和代码文档中明确通用结构化设计语言的定义，将当前 Figma 兼容输出拆分为两层：</w:t>
      </w:r>
    </w:p>
    <w:p>
      <w:pPr>
        <w:pStyle w:val="ListBullet"/>
      </w:pPr>
      <w:r>
        <w:rPr>
          <w:rFonts w:ascii="Calibri" w:hAnsi="Calibri" w:eastAsia="Microsoft YaHei"/>
          <w:color w:val="121212"/>
          <w:sz w:val="22"/>
        </w:rPr>
        <w:t>Design IR：通用设计语义中间表示；</w:t>
      </w:r>
    </w:p>
    <w:p>
      <w:pPr>
        <w:pStyle w:val="ListBullet"/>
      </w:pPr>
      <w:r>
        <w:rPr>
          <w:rFonts w:ascii="Calibri" w:hAnsi="Calibri" w:eastAsia="Microsoft YaHei"/>
          <w:color w:val="121212"/>
          <w:sz w:val="22"/>
        </w:rPr>
        <w:t>Export Adapter：面向 Figma JSON 或其他工具格式的导出适配层。</w:t>
      </w:r>
    </w:p>
    <w:p>
      <w:r>
        <w:rPr>
          <w:rFonts w:ascii="Calibri" w:hAnsi="Calibri" w:eastAsia="Microsoft YaHei"/>
          <w:color w:val="121212"/>
          <w:sz w:val="22"/>
        </w:rPr>
        <w:t>该调整可以增强课题的学术泛化性，避免研究贡献被理解为单一商业工具格式转换。</w:t>
      </w:r>
    </w:p>
    <w:p>
      <w:pPr>
        <w:pStyle w:val="Heading2"/>
      </w:pPr>
      <w:r>
        <w:t>8.2 扩大数据规模并重训</w:t>
      </w:r>
    </w:p>
    <w:p>
      <w:r>
        <w:rPr>
          <w:rFonts w:ascii="Calibri" w:hAnsi="Calibri" w:eastAsia="Microsoft YaHei"/>
          <w:color w:val="121212"/>
          <w:sz w:val="22"/>
        </w:rPr>
        <w:t>计划将数据规模从当前 100 条扩展到 1k 至 10k 条，重新运行下载、渲染和训练流程。重点验证“结构预测性能是否随数据规模显著提升”的假设。若 parent_f1 随样本数量提升明显，则说明当前结构瓶颈主要来自数据规模不足；若提升有限，则需要进一步调整结构解码器架构。</w:t>
      </w:r>
    </w:p>
    <w:p>
      <w:pPr>
        <w:pStyle w:val="Heading2"/>
      </w:pPr>
      <w:r>
        <w:t>8.3 优化结构解码器</w:t>
      </w:r>
    </w:p>
    <w:p>
      <w:r>
        <w:rPr>
          <w:rFonts w:ascii="Calibri" w:hAnsi="Calibri" w:eastAsia="Microsoft YaHei"/>
          <w:color w:val="121212"/>
          <w:sz w:val="22"/>
        </w:rPr>
        <w:t>围绕结构预测问题，下一阶段计划尝试以下方向：</w:t>
      </w:r>
    </w:p>
    <w:p>
      <w:pPr>
        <w:pStyle w:val="ListNumber"/>
      </w:pPr>
      <w:r>
        <w:rPr>
          <w:rFonts w:ascii="Calibri" w:hAnsi="Calibri" w:eastAsia="Microsoft YaHei"/>
          <w:color w:val="121212"/>
          <w:sz w:val="22"/>
        </w:rPr>
        <w:t>引入节点边界框嵌入，将位置和尺寸作为结构预测先验。</w:t>
      </w:r>
    </w:p>
    <w:p>
      <w:pPr>
        <w:pStyle w:val="ListNumber"/>
      </w:pPr>
      <w:r>
        <w:rPr>
          <w:rFonts w:ascii="Calibri" w:hAnsi="Calibri" w:eastAsia="Microsoft YaHei"/>
          <w:color w:val="121212"/>
          <w:sz w:val="22"/>
        </w:rPr>
        <w:t>弱化或移除对 GT depth 的依赖，降低训练与推理差异。</w:t>
      </w:r>
    </w:p>
    <w:p>
      <w:pPr>
        <w:pStyle w:val="ListNumber"/>
      </w:pPr>
      <w:r>
        <w:rPr>
          <w:rFonts w:ascii="Calibri" w:hAnsi="Calibri" w:eastAsia="Microsoft YaHei"/>
          <w:color w:val="121212"/>
          <w:sz w:val="22"/>
        </w:rPr>
        <w:t>尝试 scheduled sampling，在训练后期逐步使用预测父链替代真实父链。</w:t>
      </w:r>
    </w:p>
    <w:p>
      <w:pPr>
        <w:pStyle w:val="ListNumber"/>
      </w:pPr>
      <w:r>
        <w:rPr>
          <w:rFonts w:ascii="Calibri" w:hAnsi="Calibri" w:eastAsia="Microsoft YaHei"/>
          <w:color w:val="121212"/>
          <w:sz w:val="22"/>
        </w:rPr>
        <w:t>改进 hybrid 策略，避免模型高置信度错误覆盖启发式结构。</w:t>
      </w:r>
    </w:p>
    <w:p>
      <w:pPr>
        <w:pStyle w:val="ListNumber"/>
      </w:pPr>
      <w:r>
        <w:rPr>
          <w:rFonts w:ascii="Calibri" w:hAnsi="Calibri" w:eastAsia="Microsoft YaHei"/>
          <w:color w:val="121212"/>
          <w:sz w:val="22"/>
        </w:rPr>
        <w:t>将结构预测拆解为更稳定的局部关系预测，如包含关系、兄弟顺序和根节点判断。</w:t>
      </w:r>
    </w:p>
    <w:p>
      <w:pPr>
        <w:pStyle w:val="Heading2"/>
      </w:pPr>
      <w:r>
        <w:t>8.4 完成消融实验</w:t>
      </w:r>
    </w:p>
    <w:p>
      <w:r>
        <w:rPr>
          <w:rFonts w:ascii="Calibri" w:hAnsi="Calibri" w:eastAsia="Microsoft YaHei"/>
          <w:color w:val="121212"/>
          <w:sz w:val="22"/>
        </w:rPr>
        <w:t>计划补充以下消融实验：</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4680"/>
        <w:gridCol w:w="4680"/>
      </w:tblGrid>
      <w:tr>
        <w:tc>
          <w:tcPr>
            <w:tcW w:type="dxa" w:w="2880"/>
            <w:shd w:fill="F2F4F7"/>
            <w:vAlign w:val="center"/>
          </w:tcPr>
          <w:p>
            <w:pPr>
              <w:spacing w:before="0" w:after="0" w:line="264" w:lineRule="auto"/>
              <w:jc w:val="center"/>
            </w:pPr>
            <w:r>
              <w:rPr>
                <w:rFonts w:ascii="Calibri" w:hAnsi="Calibri" w:eastAsia="Microsoft YaHei"/>
                <w:b/>
                <w:color w:val="121212"/>
                <w:sz w:val="19"/>
              </w:rPr>
              <w:t>实验</w:t>
            </w:r>
          </w:p>
        </w:tc>
        <w:tc>
          <w:tcPr>
            <w:tcW w:type="dxa" w:w="6480"/>
            <w:shd w:fill="F2F4F7"/>
            <w:vAlign w:val="center"/>
          </w:tcPr>
          <w:p>
            <w:pPr>
              <w:spacing w:before="0" w:after="0" w:line="264" w:lineRule="auto"/>
              <w:jc w:val="center"/>
            </w:pPr>
            <w:r>
              <w:rPr>
                <w:rFonts w:ascii="Calibri" w:hAnsi="Calibri" w:eastAsia="Microsoft YaHei"/>
                <w:b/>
                <w:color w:val="121212"/>
                <w:sz w:val="19"/>
              </w:rPr>
              <w:t>目的</w:t>
            </w:r>
          </w:p>
        </w:tc>
      </w:tr>
      <w:tr>
        <w:tc>
          <w:tcPr>
            <w:tcW w:type="dxa" w:w="2880"/>
            <w:vAlign w:val="center"/>
          </w:tcPr>
          <w:p>
            <w:pPr>
              <w:spacing w:before="0" w:after="0" w:line="264" w:lineRule="auto"/>
              <w:jc w:val="center"/>
            </w:pPr>
            <w:r>
              <w:rPr>
                <w:rFonts w:ascii="Calibri" w:hAnsi="Calibri" w:eastAsia="Microsoft YaHei"/>
                <w:b w:val="0"/>
                <w:color w:val="121212"/>
                <w:sz w:val="19"/>
              </w:rPr>
              <w:t>去掉对齐监督</w:t>
            </w:r>
          </w:p>
        </w:tc>
        <w:tc>
          <w:tcPr>
            <w:tcW w:type="dxa" w:w="6480"/>
            <w:vAlign w:val="center"/>
          </w:tcPr>
          <w:p>
            <w:pPr>
              <w:spacing w:before="0" w:after="0" w:line="264" w:lineRule="auto"/>
              <w:jc w:val="left"/>
            </w:pPr>
            <w:r>
              <w:rPr>
                <w:rFonts w:ascii="Calibri" w:hAnsi="Calibri" w:eastAsia="Microsoft YaHei"/>
                <w:b w:val="0"/>
                <w:color w:val="121212"/>
                <w:sz w:val="19"/>
              </w:rPr>
              <w:t>验证跨模态对齐对设计语义生成的贡献</w:t>
            </w:r>
          </w:p>
        </w:tc>
      </w:tr>
      <w:tr>
        <w:tc>
          <w:tcPr>
            <w:tcW w:type="dxa" w:w="2880"/>
            <w:vAlign w:val="center"/>
          </w:tcPr>
          <w:p>
            <w:pPr>
              <w:spacing w:before="0" w:after="0" w:line="264" w:lineRule="auto"/>
              <w:jc w:val="center"/>
            </w:pPr>
            <w:r>
              <w:rPr>
                <w:rFonts w:ascii="Calibri" w:hAnsi="Calibri" w:eastAsia="Microsoft YaHei"/>
                <w:b w:val="0"/>
                <w:color w:val="121212"/>
                <w:sz w:val="19"/>
              </w:rPr>
              <w:t>仅 BCE 去掉 InfoNCE</w:t>
            </w:r>
          </w:p>
        </w:tc>
        <w:tc>
          <w:tcPr>
            <w:tcW w:type="dxa" w:w="6480"/>
            <w:vAlign w:val="center"/>
          </w:tcPr>
          <w:p>
            <w:pPr>
              <w:spacing w:before="0" w:after="0" w:line="264" w:lineRule="auto"/>
              <w:jc w:val="left"/>
            </w:pPr>
            <w:r>
              <w:rPr>
                <w:rFonts w:ascii="Calibri" w:hAnsi="Calibri" w:eastAsia="Microsoft YaHei"/>
                <w:b w:val="0"/>
                <w:color w:val="121212"/>
                <w:sz w:val="19"/>
              </w:rPr>
              <w:t>验证 InfoNCE 辅助损失的作用</w:t>
            </w:r>
          </w:p>
        </w:tc>
      </w:tr>
      <w:tr>
        <w:tc>
          <w:tcPr>
            <w:tcW w:type="dxa" w:w="2880"/>
            <w:vAlign w:val="center"/>
          </w:tcPr>
          <w:p>
            <w:pPr>
              <w:spacing w:before="0" w:after="0" w:line="264" w:lineRule="auto"/>
              <w:jc w:val="left"/>
            </w:pPr>
            <w:r>
              <w:rPr>
                <w:rFonts w:ascii="Calibri" w:hAnsi="Calibri" w:eastAsia="Microsoft YaHei"/>
                <w:b w:val="0"/>
                <w:color w:val="121212"/>
                <w:sz w:val="19"/>
              </w:rPr>
              <w:t>max_nodes=50/96/128</w:t>
            </w:r>
          </w:p>
        </w:tc>
        <w:tc>
          <w:tcPr>
            <w:tcW w:type="dxa" w:w="6480"/>
            <w:vAlign w:val="center"/>
          </w:tcPr>
          <w:p>
            <w:pPr>
              <w:spacing w:before="0" w:after="0" w:line="264" w:lineRule="auto"/>
              <w:jc w:val="center"/>
            </w:pPr>
            <w:r>
              <w:rPr>
                <w:rFonts w:ascii="Calibri" w:hAnsi="Calibri" w:eastAsia="Microsoft YaHei"/>
                <w:b w:val="0"/>
                <w:color w:val="121212"/>
                <w:sz w:val="19"/>
              </w:rPr>
              <w:t>验证节点截断长度对结构恢复的影响</w:t>
            </w:r>
          </w:p>
        </w:tc>
      </w:tr>
      <w:tr>
        <w:tc>
          <w:tcPr>
            <w:tcW w:type="dxa" w:w="2880"/>
            <w:vAlign w:val="center"/>
          </w:tcPr>
          <w:p>
            <w:pPr>
              <w:spacing w:before="0" w:after="0" w:line="264" w:lineRule="auto"/>
              <w:jc w:val="left"/>
            </w:pPr>
            <w:r>
              <w:rPr>
                <w:rFonts w:ascii="Calibri" w:hAnsi="Calibri" w:eastAsia="Microsoft YaHei"/>
                <w:b w:val="0"/>
                <w:color w:val="121212"/>
                <w:sz w:val="19"/>
              </w:rPr>
              <w:t>model/heuristic/hybrid</w:t>
            </w:r>
          </w:p>
        </w:tc>
        <w:tc>
          <w:tcPr>
            <w:tcW w:type="dxa" w:w="6480"/>
            <w:vAlign w:val="center"/>
          </w:tcPr>
          <w:p>
            <w:pPr>
              <w:spacing w:before="0" w:after="0" w:line="264" w:lineRule="auto"/>
              <w:jc w:val="center"/>
            </w:pPr>
            <w:r>
              <w:rPr>
                <w:rFonts w:ascii="Calibri" w:hAnsi="Calibri" w:eastAsia="Microsoft YaHei"/>
                <w:b w:val="0"/>
                <w:color w:val="121212"/>
                <w:sz w:val="19"/>
              </w:rPr>
              <w:t>比较不同结构生成方式的优劣</w:t>
            </w:r>
          </w:p>
        </w:tc>
      </w:tr>
      <w:tr>
        <w:tc>
          <w:tcPr>
            <w:tcW w:type="dxa" w:w="2880"/>
            <w:vAlign w:val="center"/>
          </w:tcPr>
          <w:p>
            <w:pPr>
              <w:spacing w:before="0" w:after="0" w:line="264" w:lineRule="auto"/>
              <w:jc w:val="center"/>
            </w:pPr>
            <w:r>
              <w:rPr>
                <w:rFonts w:ascii="Calibri" w:hAnsi="Calibri" w:eastAsia="Microsoft YaHei"/>
                <w:b w:val="0"/>
                <w:color w:val="121212"/>
                <w:sz w:val="19"/>
              </w:rPr>
              <w:t>加入 box embedding</w:t>
            </w:r>
          </w:p>
        </w:tc>
        <w:tc>
          <w:tcPr>
            <w:tcW w:type="dxa" w:w="6480"/>
            <w:vAlign w:val="center"/>
          </w:tcPr>
          <w:p>
            <w:pPr>
              <w:spacing w:before="0" w:after="0" w:line="264" w:lineRule="auto"/>
              <w:jc w:val="center"/>
            </w:pPr>
            <w:r>
              <w:rPr>
                <w:rFonts w:ascii="Calibri" w:hAnsi="Calibri" w:eastAsia="Microsoft YaHei"/>
                <w:b w:val="0"/>
                <w:color w:val="121212"/>
                <w:sz w:val="19"/>
              </w:rPr>
              <w:t>验证几何先验对结构预测的提升</w:t>
            </w:r>
          </w:p>
        </w:tc>
      </w:tr>
    </w:tbl>
    <w:p/>
    <w:p>
      <w:pPr>
        <w:pStyle w:val="Heading2"/>
      </w:pPr>
      <w:r>
        <w:t>8.5 完善评估和可视化</w:t>
      </w:r>
    </w:p>
    <w:p>
      <w:r>
        <w:rPr>
          <w:rFonts w:ascii="Calibri" w:hAnsi="Calibri" w:eastAsia="Microsoft YaHei"/>
          <w:color w:val="121212"/>
          <w:sz w:val="22"/>
        </w:rPr>
        <w:t>下一阶段将继续完善评估体系，包括：</w:t>
      </w:r>
    </w:p>
    <w:p>
      <w:pPr>
        <w:pStyle w:val="ListBullet"/>
      </w:pPr>
      <w:r>
        <w:rPr>
          <w:rFonts w:ascii="Calibri" w:hAnsi="Calibri" w:eastAsia="Microsoft YaHei"/>
          <w:color w:val="121212"/>
          <w:sz w:val="22"/>
        </w:rPr>
        <w:t>设计树结构相似度；</w:t>
      </w:r>
    </w:p>
    <w:p>
      <w:pPr>
        <w:pStyle w:val="ListBullet"/>
      </w:pPr>
      <w:r>
        <w:rPr>
          <w:rFonts w:ascii="Calibri" w:hAnsi="Calibri" w:eastAsia="Microsoft YaHei"/>
          <w:color w:val="121212"/>
          <w:sz w:val="22"/>
        </w:rPr>
        <w:t>样式属性误差；</w:t>
      </w:r>
    </w:p>
    <w:p>
      <w:pPr>
        <w:pStyle w:val="ListBullet"/>
      </w:pPr>
      <w:r>
        <w:rPr>
          <w:rFonts w:ascii="Calibri" w:hAnsi="Calibri" w:eastAsia="Microsoft YaHei"/>
          <w:color w:val="121212"/>
          <w:sz w:val="22"/>
        </w:rPr>
        <w:t>视觉渲染回归对比；</w:t>
      </w:r>
    </w:p>
    <w:p>
      <w:pPr>
        <w:pStyle w:val="ListBullet"/>
      </w:pPr>
      <w:r>
        <w:rPr>
          <w:rFonts w:ascii="Calibri" w:hAnsi="Calibri" w:eastAsia="Microsoft YaHei"/>
          <w:color w:val="121212"/>
          <w:sz w:val="22"/>
        </w:rPr>
        <w:t>失败案例分类；</w:t>
      </w:r>
    </w:p>
    <w:p>
      <w:pPr>
        <w:pStyle w:val="ListBullet"/>
      </w:pPr>
      <w:r>
        <w:rPr>
          <w:rFonts w:ascii="Calibri" w:hAnsi="Calibri" w:eastAsia="Microsoft YaHei"/>
          <w:color w:val="121212"/>
          <w:sz w:val="22"/>
        </w:rPr>
        <w:t>与启发式工具或已有网页转设计工具的对比。</w:t>
      </w:r>
    </w:p>
    <w:p>
      <w:r>
        <w:rPr>
          <w:rFonts w:ascii="Calibri" w:hAnsi="Calibri" w:eastAsia="Microsoft YaHei"/>
          <w:color w:val="121212"/>
          <w:sz w:val="22"/>
        </w:rPr>
        <w:t>同时计划将当前已有图表整理到论文中，包括训练曲线、类型混淆矩阵、跨模态 attention 热图、预测树与真实树对比图和深度分布图。</w:t>
      </w:r>
    </w:p>
    <w:p>
      <w:pPr>
        <w:pStyle w:val="Heading1"/>
      </w:pPr>
      <w:r>
        <w:t>九、可用于中期报告的图表材料</w:t>
      </w:r>
    </w:p>
    <w:p>
      <w:r>
        <w:rPr>
          <w:rFonts w:ascii="Calibri" w:hAnsi="Calibri" w:eastAsia="Microsoft YaHei"/>
          <w:color w:val="121212"/>
          <w:sz w:val="22"/>
        </w:rPr>
        <w:t>当前已有以下图表文件可直接用于中期报告：</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3120"/>
        <w:gridCol w:w="3120"/>
        <w:gridCol w:w="3120"/>
      </w:tblGrid>
      <w:tr>
        <w:tc>
          <w:tcPr>
            <w:tcW w:type="dxa" w:w="2376"/>
            <w:shd w:fill="F2F4F7"/>
            <w:vAlign w:val="center"/>
          </w:tcPr>
          <w:p>
            <w:pPr>
              <w:spacing w:before="0" w:after="0" w:line="264" w:lineRule="auto"/>
              <w:jc w:val="center"/>
            </w:pPr>
            <w:r>
              <w:rPr>
                <w:rFonts w:ascii="Calibri" w:hAnsi="Calibri" w:eastAsia="Microsoft YaHei"/>
                <w:b/>
                <w:color w:val="121212"/>
                <w:sz w:val="19"/>
              </w:rPr>
              <w:t>图表</w:t>
            </w:r>
          </w:p>
        </w:tc>
        <w:tc>
          <w:tcPr>
            <w:tcW w:type="dxa" w:w="3384"/>
            <w:shd w:fill="F2F4F7"/>
            <w:vAlign w:val="center"/>
          </w:tcPr>
          <w:p>
            <w:pPr>
              <w:spacing w:before="0" w:after="0" w:line="264" w:lineRule="auto"/>
              <w:jc w:val="center"/>
            </w:pPr>
            <w:r>
              <w:rPr>
                <w:rFonts w:ascii="Calibri" w:hAnsi="Calibri" w:eastAsia="Microsoft YaHei"/>
                <w:b/>
                <w:color w:val="121212"/>
                <w:sz w:val="19"/>
              </w:rPr>
              <w:t>路径</w:t>
            </w:r>
          </w:p>
        </w:tc>
        <w:tc>
          <w:tcPr>
            <w:tcW w:type="dxa" w:w="3600"/>
            <w:shd w:fill="F2F4F7"/>
            <w:vAlign w:val="center"/>
          </w:tcPr>
          <w:p>
            <w:pPr>
              <w:spacing w:before="0" w:after="0" w:line="264" w:lineRule="auto"/>
              <w:jc w:val="center"/>
            </w:pPr>
            <w:r>
              <w:rPr>
                <w:rFonts w:ascii="Calibri" w:hAnsi="Calibri" w:eastAsia="Microsoft YaHei"/>
                <w:b/>
                <w:color w:val="121212"/>
                <w:sz w:val="19"/>
              </w:rPr>
              <w:t>用途</w:t>
            </w:r>
          </w:p>
        </w:tc>
      </w:tr>
      <w:tr>
        <w:tc>
          <w:tcPr>
            <w:tcW w:type="dxa" w:w="2376"/>
            <w:vAlign w:val="center"/>
          </w:tcPr>
          <w:p>
            <w:pPr>
              <w:spacing w:before="0" w:after="0" w:line="264" w:lineRule="auto"/>
              <w:jc w:val="center"/>
            </w:pPr>
            <w:r>
              <w:rPr>
                <w:rFonts w:ascii="Calibri" w:hAnsi="Calibri" w:eastAsia="Microsoft YaHei"/>
                <w:b w:val="0"/>
                <w:color w:val="121212"/>
                <w:sz w:val="19"/>
              </w:rPr>
              <w:t>训练损失曲线</w:t>
            </w:r>
          </w:p>
        </w:tc>
        <w:tc>
          <w:tcPr>
            <w:tcW w:type="dxa" w:w="3384"/>
            <w:vAlign w:val="center"/>
          </w:tcPr>
          <w:p>
            <w:pPr>
              <w:spacing w:before="0" w:after="0" w:line="264" w:lineRule="auto"/>
              <w:jc w:val="left"/>
            </w:pPr>
            <w:r>
              <w:rPr>
                <w:rFonts w:ascii="Calibri" w:hAnsi="Calibri" w:eastAsia="Microsoft YaHei"/>
                <w:b w:val="0"/>
                <w:color w:val="121212"/>
                <w:sz w:val="19"/>
              </w:rPr>
              <w:t>`outputs/M1-baseline/viz/fig_loss_curves.png`</w:t>
            </w:r>
          </w:p>
        </w:tc>
        <w:tc>
          <w:tcPr>
            <w:tcW w:type="dxa" w:w="3600"/>
            <w:vAlign w:val="center"/>
          </w:tcPr>
          <w:p>
            <w:pPr>
              <w:spacing w:before="0" w:after="0" w:line="264" w:lineRule="auto"/>
              <w:jc w:val="center"/>
            </w:pPr>
            <w:r>
              <w:rPr>
                <w:rFonts w:ascii="Calibri" w:hAnsi="Calibri" w:eastAsia="Microsoft YaHei"/>
                <w:b w:val="0"/>
                <w:color w:val="121212"/>
                <w:sz w:val="19"/>
              </w:rPr>
              <w:t>展示多任务训练收敛情况</w:t>
            </w:r>
          </w:p>
        </w:tc>
      </w:tr>
      <w:tr>
        <w:tc>
          <w:tcPr>
            <w:tcW w:type="dxa" w:w="2376"/>
            <w:vAlign w:val="center"/>
          </w:tcPr>
          <w:p>
            <w:pPr>
              <w:spacing w:before="0" w:after="0" w:line="264" w:lineRule="auto"/>
              <w:jc w:val="center"/>
            </w:pPr>
            <w:r>
              <w:rPr>
                <w:rFonts w:ascii="Calibri" w:hAnsi="Calibri" w:eastAsia="Microsoft YaHei"/>
                <w:b w:val="0"/>
                <w:color w:val="121212"/>
                <w:sz w:val="19"/>
              </w:rPr>
              <w:t>节点类型混淆矩阵</w:t>
            </w:r>
          </w:p>
        </w:tc>
        <w:tc>
          <w:tcPr>
            <w:tcW w:type="dxa" w:w="3384"/>
            <w:vAlign w:val="center"/>
          </w:tcPr>
          <w:p>
            <w:pPr>
              <w:spacing w:before="0" w:after="0" w:line="264" w:lineRule="auto"/>
              <w:jc w:val="left"/>
            </w:pPr>
            <w:r>
              <w:rPr>
                <w:rFonts w:ascii="Calibri" w:hAnsi="Calibri" w:eastAsia="Microsoft YaHei"/>
                <w:b w:val="0"/>
                <w:color w:val="121212"/>
                <w:sz w:val="19"/>
              </w:rPr>
              <w:t>`outputs/M1-baseline/viz/fig_cm.png`</w:t>
            </w:r>
          </w:p>
        </w:tc>
        <w:tc>
          <w:tcPr>
            <w:tcW w:type="dxa" w:w="3600"/>
            <w:vAlign w:val="center"/>
          </w:tcPr>
          <w:p>
            <w:pPr>
              <w:spacing w:before="0" w:after="0" w:line="264" w:lineRule="auto"/>
              <w:jc w:val="center"/>
            </w:pPr>
            <w:r>
              <w:rPr>
                <w:rFonts w:ascii="Calibri" w:hAnsi="Calibri" w:eastAsia="Microsoft YaHei"/>
                <w:b w:val="0"/>
                <w:color w:val="121212"/>
                <w:sz w:val="19"/>
              </w:rPr>
              <w:t>展示类型预测效果</w:t>
            </w:r>
          </w:p>
        </w:tc>
      </w:tr>
      <w:tr>
        <w:tc>
          <w:tcPr>
            <w:tcW w:type="dxa" w:w="2376"/>
            <w:vAlign w:val="center"/>
          </w:tcPr>
          <w:p>
            <w:pPr>
              <w:spacing w:before="0" w:after="0" w:line="264" w:lineRule="auto"/>
              <w:jc w:val="center"/>
            </w:pPr>
            <w:r>
              <w:rPr>
                <w:rFonts w:ascii="Calibri" w:hAnsi="Calibri" w:eastAsia="Microsoft YaHei"/>
                <w:b w:val="0"/>
                <w:color w:val="121212"/>
                <w:sz w:val="19"/>
              </w:rPr>
              <w:t>跨模态 attention 热图</w:t>
            </w:r>
          </w:p>
        </w:tc>
        <w:tc>
          <w:tcPr>
            <w:tcW w:type="dxa" w:w="3384"/>
            <w:vAlign w:val="center"/>
          </w:tcPr>
          <w:p>
            <w:pPr>
              <w:spacing w:before="0" w:after="0" w:line="264" w:lineRule="auto"/>
              <w:jc w:val="left"/>
            </w:pPr>
            <w:r>
              <w:rPr>
                <w:rFonts w:ascii="Calibri" w:hAnsi="Calibri" w:eastAsia="Microsoft YaHei"/>
                <w:b w:val="0"/>
                <w:color w:val="121212"/>
                <w:sz w:val="19"/>
              </w:rPr>
              <w:t>`outputs/M1-baseline/viz/fig_attention.png`</w:t>
            </w:r>
          </w:p>
        </w:tc>
        <w:tc>
          <w:tcPr>
            <w:tcW w:type="dxa" w:w="3600"/>
            <w:vAlign w:val="center"/>
          </w:tcPr>
          <w:p>
            <w:pPr>
              <w:spacing w:before="0" w:after="0" w:line="264" w:lineRule="auto"/>
              <w:jc w:val="center"/>
            </w:pPr>
            <w:r>
              <w:rPr>
                <w:rFonts w:ascii="Calibri" w:hAnsi="Calibri" w:eastAsia="Microsoft YaHei"/>
                <w:b w:val="0"/>
                <w:color w:val="121212"/>
                <w:sz w:val="19"/>
              </w:rPr>
              <w:t>展示节点与视觉区域对齐</w:t>
            </w:r>
          </w:p>
        </w:tc>
      </w:tr>
      <w:tr>
        <w:tc>
          <w:tcPr>
            <w:tcW w:type="dxa" w:w="2376"/>
            <w:vAlign w:val="center"/>
          </w:tcPr>
          <w:p>
            <w:pPr>
              <w:spacing w:before="0" w:after="0" w:line="264" w:lineRule="auto"/>
              <w:jc w:val="center"/>
            </w:pPr>
            <w:r>
              <w:rPr>
                <w:rFonts w:ascii="Calibri" w:hAnsi="Calibri" w:eastAsia="Microsoft YaHei"/>
                <w:b w:val="0"/>
                <w:color w:val="121212"/>
                <w:sz w:val="19"/>
              </w:rPr>
              <w:t>树结构预测对比</w:t>
            </w:r>
          </w:p>
        </w:tc>
        <w:tc>
          <w:tcPr>
            <w:tcW w:type="dxa" w:w="3384"/>
            <w:vAlign w:val="center"/>
          </w:tcPr>
          <w:p>
            <w:pPr>
              <w:spacing w:before="0" w:after="0" w:line="264" w:lineRule="auto"/>
              <w:jc w:val="left"/>
            </w:pPr>
            <w:r>
              <w:rPr>
                <w:rFonts w:ascii="Calibri" w:hAnsi="Calibri" w:eastAsia="Microsoft YaHei"/>
                <w:b w:val="0"/>
                <w:color w:val="121212"/>
                <w:sz w:val="19"/>
              </w:rPr>
              <w:t>`outputs/M1-baseline/viz/fig_tree_compare.png`</w:t>
            </w:r>
          </w:p>
        </w:tc>
        <w:tc>
          <w:tcPr>
            <w:tcW w:type="dxa" w:w="3600"/>
            <w:vAlign w:val="center"/>
          </w:tcPr>
          <w:p>
            <w:pPr>
              <w:spacing w:before="0" w:after="0" w:line="264" w:lineRule="auto"/>
              <w:jc w:val="center"/>
            </w:pPr>
            <w:r>
              <w:rPr>
                <w:rFonts w:ascii="Calibri" w:hAnsi="Calibri" w:eastAsia="Microsoft YaHei"/>
                <w:b w:val="0"/>
                <w:color w:val="121212"/>
                <w:sz w:val="19"/>
              </w:rPr>
              <w:t>展示结构预测问题</w:t>
            </w:r>
          </w:p>
        </w:tc>
      </w:tr>
      <w:tr>
        <w:tc>
          <w:tcPr>
            <w:tcW w:type="dxa" w:w="2376"/>
            <w:vAlign w:val="center"/>
          </w:tcPr>
          <w:p>
            <w:pPr>
              <w:spacing w:before="0" w:after="0" w:line="264" w:lineRule="auto"/>
              <w:jc w:val="center"/>
            </w:pPr>
            <w:r>
              <w:rPr>
                <w:rFonts w:ascii="Calibri" w:hAnsi="Calibri" w:eastAsia="Microsoft YaHei"/>
                <w:b w:val="0"/>
                <w:color w:val="121212"/>
                <w:sz w:val="19"/>
              </w:rPr>
              <w:t>深度分布图</w:t>
            </w:r>
          </w:p>
        </w:tc>
        <w:tc>
          <w:tcPr>
            <w:tcW w:type="dxa" w:w="3384"/>
            <w:vAlign w:val="center"/>
          </w:tcPr>
          <w:p>
            <w:pPr>
              <w:spacing w:before="0" w:after="0" w:line="264" w:lineRule="auto"/>
              <w:jc w:val="left"/>
            </w:pPr>
            <w:r>
              <w:rPr>
                <w:rFonts w:ascii="Calibri" w:hAnsi="Calibri" w:eastAsia="Microsoft YaHei"/>
                <w:b w:val="0"/>
                <w:color w:val="121212"/>
                <w:sz w:val="19"/>
              </w:rPr>
              <w:t>`outputs/M1-baseline/viz/fig_depth_hist.png`</w:t>
            </w:r>
          </w:p>
        </w:tc>
        <w:tc>
          <w:tcPr>
            <w:tcW w:type="dxa" w:w="3600"/>
            <w:vAlign w:val="center"/>
          </w:tcPr>
          <w:p>
            <w:pPr>
              <w:spacing w:before="0" w:after="0" w:line="264" w:lineRule="auto"/>
              <w:jc w:val="center"/>
            </w:pPr>
            <w:r>
              <w:rPr>
                <w:rFonts w:ascii="Calibri" w:hAnsi="Calibri" w:eastAsia="Microsoft YaHei"/>
                <w:b w:val="0"/>
                <w:color w:val="121212"/>
                <w:sz w:val="19"/>
              </w:rPr>
              <w:t>展示预测树与真实树差异</w:t>
            </w:r>
          </w:p>
        </w:tc>
      </w:tr>
    </w:tbl>
    <w:p/>
    <w:p>
      <w:r>
        <w:rPr>
          <w:rFonts w:ascii="Calibri" w:hAnsi="Calibri" w:eastAsia="Microsoft YaHei"/>
          <w:color w:val="121212"/>
          <w:sz w:val="22"/>
        </w:rPr>
        <w:t>建议在中期报告中至少放入三个图：系统整体架构图、训练损失曲线、树结构预测对比图。若篇幅允许，可补充 attention 热图，用于支撑跨模态对齐模块的有效性。</w:t>
      </w:r>
    </w:p>
    <w:p>
      <w:pPr>
        <w:pStyle w:val="Heading1"/>
      </w:pPr>
      <w:r>
        <w:t>十、中期总结</w:t>
      </w:r>
    </w:p>
    <w:p>
      <w:r>
        <w:rPr>
          <w:rFonts w:ascii="Calibri" w:hAnsi="Calibri" w:eastAsia="Microsoft YaHei"/>
          <w:color w:val="121212"/>
          <w:sz w:val="22"/>
        </w:rPr>
        <w:t>截至目前，本课题已经完成从网页数据采集、渲染预处理、双模态特征编码、跨模态对齐、设计语义解码到训练评估的端到端原型系统。实验结果表明，当前方法能够有效学习网页节点类型、部分样式属性和视觉-源码对齐关系，验证了基于网页图像与源码生成结构化设计语义数据的可行性。</w:t>
      </w:r>
    </w:p>
    <w:p>
      <w:r>
        <w:rPr>
          <w:rFonts w:ascii="Calibri" w:hAnsi="Calibri" w:eastAsia="Microsoft YaHei"/>
          <w:color w:val="121212"/>
          <w:sz w:val="22"/>
        </w:rPr>
        <w:t>同时，中期实验也暴露出结构树生成在小样本下的困难。该问题不是对原技术路线的否定，而是进一步揭示了通用设计语言生成任务中结构语义恢复的核心难点。下一阶段将围绕数据规模扩展、结构解码器改进、通用 Design IR 抽象和消融实验展开，以形成更加完整、可解释、可泛化的研究成果。</w:t>
      </w:r>
    </w:p>
    <w:p>
      <w:r>
        <w:rPr>
          <w:rFonts w:ascii="Calibri" w:hAnsi="Calibri" w:eastAsia="Microsoft YaHei"/>
          <w:color w:val="121212"/>
          <w:sz w:val="22"/>
        </w:rPr>
        <w:t>总体来看，本课题已按开题计划完成主要原型和阶段性实验，具备继续推进到大规模实验和论文撰写阶段的基础。</w:t>
      </w:r>
    </w:p>
    <w:p>
      <w:r>
        <w:br w:type="page"/>
      </w:r>
    </w:p>
    <w:p>
      <w:pPr>
        <w:pStyle w:val="Heading1"/>
      </w:pPr>
      <w:r>
        <w:t>附录：阶段性实验图表</w:t>
      </w:r>
    </w:p>
    <w:p>
      <w:pPr>
        <w:jc w:val="center"/>
      </w:pPr>
      <w:r>
        <w:rPr>
          <w:rFonts w:ascii="Calibri" w:hAnsi="Calibri" w:eastAsia="Microsoft YaHei"/>
          <w:b/>
          <w:color w:val="1F4D78"/>
          <w:sz w:val="21"/>
        </w:rPr>
        <w:t>图 1 训练损失曲线</w:t>
      </w:r>
    </w:p>
    <w:p>
      <w:pPr>
        <w:jc w:val="center"/>
      </w:pPr>
      <w:r>
        <w:drawing>
          <wp:inline xmlns:a="http://schemas.openxmlformats.org/drawingml/2006/main" xmlns:pic="http://schemas.openxmlformats.org/drawingml/2006/picture">
            <wp:extent cx="5577840" cy="1045845"/>
            <wp:docPr id="1" name="Picture 1"/>
            <wp:cNvGraphicFramePr>
              <a:graphicFrameLocks noChangeAspect="1"/>
            </wp:cNvGraphicFramePr>
            <a:graphic>
              <a:graphicData uri="http://schemas.openxmlformats.org/drawingml/2006/picture">
                <pic:pic>
                  <pic:nvPicPr>
                    <pic:cNvPr id="0" name="fig_loss_curves.png"/>
                    <pic:cNvPicPr/>
                  </pic:nvPicPr>
                  <pic:blipFill>
                    <a:blip r:embed="rId11"/>
                    <a:stretch>
                      <a:fillRect/>
                    </a:stretch>
                  </pic:blipFill>
                  <pic:spPr>
                    <a:xfrm>
                      <a:off x="0" y="0"/>
                      <a:ext cx="5577840" cy="1045845"/>
                    </a:xfrm>
                    <a:prstGeom prst="rect"/>
                  </pic:spPr>
                </pic:pic>
              </a:graphicData>
            </a:graphic>
          </wp:inline>
        </w:drawing>
      </w:r>
    </w:p>
    <w:p>
      <w:pPr>
        <w:spacing w:after="160"/>
      </w:pPr>
    </w:p>
    <w:p>
      <w:pPr>
        <w:jc w:val="center"/>
      </w:pPr>
      <w:r>
        <w:rPr>
          <w:rFonts w:ascii="Calibri" w:hAnsi="Calibri" w:eastAsia="Microsoft YaHei"/>
          <w:b/>
          <w:color w:val="1F4D78"/>
          <w:sz w:val="21"/>
        </w:rPr>
        <w:t>图 2 节点类型混淆矩阵</w:t>
      </w:r>
    </w:p>
    <w:p>
      <w:pPr>
        <w:jc w:val="center"/>
      </w:pPr>
      <w:r>
        <w:drawing>
          <wp:inline xmlns:a="http://schemas.openxmlformats.org/drawingml/2006/main" xmlns:pic="http://schemas.openxmlformats.org/drawingml/2006/picture">
            <wp:extent cx="5577840" cy="4648200"/>
            <wp:docPr id="2" name="Picture 2"/>
            <wp:cNvGraphicFramePr>
              <a:graphicFrameLocks noChangeAspect="1"/>
            </wp:cNvGraphicFramePr>
            <a:graphic>
              <a:graphicData uri="http://schemas.openxmlformats.org/drawingml/2006/picture">
                <pic:pic>
                  <pic:nvPicPr>
                    <pic:cNvPr id="0" name="fig_cm.png"/>
                    <pic:cNvPicPr/>
                  </pic:nvPicPr>
                  <pic:blipFill>
                    <a:blip r:embed="rId12"/>
                    <a:stretch>
                      <a:fillRect/>
                    </a:stretch>
                  </pic:blipFill>
                  <pic:spPr>
                    <a:xfrm>
                      <a:off x="0" y="0"/>
                      <a:ext cx="5577840" cy="4648200"/>
                    </a:xfrm>
                    <a:prstGeom prst="rect"/>
                  </pic:spPr>
                </pic:pic>
              </a:graphicData>
            </a:graphic>
          </wp:inline>
        </w:drawing>
      </w:r>
    </w:p>
    <w:p>
      <w:pPr>
        <w:spacing w:after="160"/>
      </w:pPr>
    </w:p>
    <w:p>
      <w:pPr>
        <w:jc w:val="center"/>
      </w:pPr>
      <w:r>
        <w:rPr>
          <w:rFonts w:ascii="Calibri" w:hAnsi="Calibri" w:eastAsia="Microsoft YaHei"/>
          <w:b/>
          <w:color w:val="1F4D78"/>
          <w:sz w:val="21"/>
        </w:rPr>
        <w:t>图 3 跨模态对齐热图</w:t>
      </w:r>
    </w:p>
    <w:p>
      <w:pPr>
        <w:jc w:val="center"/>
      </w:pPr>
      <w:r>
        <w:drawing>
          <wp:inline xmlns:a="http://schemas.openxmlformats.org/drawingml/2006/main" xmlns:pic="http://schemas.openxmlformats.org/drawingml/2006/picture">
            <wp:extent cx="5577840" cy="1859280"/>
            <wp:docPr id="3" name="Picture 3"/>
            <wp:cNvGraphicFramePr>
              <a:graphicFrameLocks noChangeAspect="1"/>
            </wp:cNvGraphicFramePr>
            <a:graphic>
              <a:graphicData uri="http://schemas.openxmlformats.org/drawingml/2006/picture">
                <pic:pic>
                  <pic:nvPicPr>
                    <pic:cNvPr id="0" name="fig_attention.png"/>
                    <pic:cNvPicPr/>
                  </pic:nvPicPr>
                  <pic:blipFill>
                    <a:blip r:embed="rId13"/>
                    <a:stretch>
                      <a:fillRect/>
                    </a:stretch>
                  </pic:blipFill>
                  <pic:spPr>
                    <a:xfrm>
                      <a:off x="0" y="0"/>
                      <a:ext cx="5577840" cy="1859280"/>
                    </a:xfrm>
                    <a:prstGeom prst="rect"/>
                  </pic:spPr>
                </pic:pic>
              </a:graphicData>
            </a:graphic>
          </wp:inline>
        </w:drawing>
      </w:r>
    </w:p>
    <w:p>
      <w:pPr>
        <w:spacing w:after="160"/>
      </w:pPr>
    </w:p>
    <w:p>
      <w:pPr>
        <w:jc w:val="center"/>
      </w:pPr>
      <w:r>
        <w:rPr>
          <w:rFonts w:ascii="Calibri" w:hAnsi="Calibri" w:eastAsia="Microsoft YaHei"/>
          <w:b/>
          <w:color w:val="1F4D78"/>
          <w:sz w:val="21"/>
        </w:rPr>
        <w:t>图 4 预测树与真实树结构对比</w:t>
      </w:r>
    </w:p>
    <w:p>
      <w:pPr>
        <w:jc w:val="center"/>
      </w:pPr>
      <w:r>
        <w:drawing>
          <wp:inline xmlns:a="http://schemas.openxmlformats.org/drawingml/2006/main" xmlns:pic="http://schemas.openxmlformats.org/drawingml/2006/picture">
            <wp:extent cx="5577840" cy="2390503"/>
            <wp:docPr id="4" name="Picture 4"/>
            <wp:cNvGraphicFramePr>
              <a:graphicFrameLocks noChangeAspect="1"/>
            </wp:cNvGraphicFramePr>
            <a:graphic>
              <a:graphicData uri="http://schemas.openxmlformats.org/drawingml/2006/picture">
                <pic:pic>
                  <pic:nvPicPr>
                    <pic:cNvPr id="0" name="fig_tree_compare.png"/>
                    <pic:cNvPicPr/>
                  </pic:nvPicPr>
                  <pic:blipFill>
                    <a:blip r:embed="rId14"/>
                    <a:stretch>
                      <a:fillRect/>
                    </a:stretch>
                  </pic:blipFill>
                  <pic:spPr>
                    <a:xfrm>
                      <a:off x="0" y="0"/>
                      <a:ext cx="5577840" cy="2390503"/>
                    </a:xfrm>
                    <a:prstGeom prst="rect"/>
                  </pic:spPr>
                </pic:pic>
              </a:graphicData>
            </a:graphic>
          </wp:inline>
        </w:drawing>
      </w:r>
    </w:p>
    <w:p>
      <w:pPr>
        <w:spacing w:after="160"/>
      </w:pPr>
    </w:p>
    <w:p>
      <w:pPr>
        <w:jc w:val="center"/>
      </w:pPr>
      <w:r>
        <w:rPr>
          <w:rFonts w:ascii="Calibri" w:hAnsi="Calibri" w:eastAsia="Microsoft YaHei"/>
          <w:b/>
          <w:color w:val="1F4D78"/>
          <w:sz w:val="21"/>
        </w:rPr>
        <w:t>图 5 树深度分布对比</w:t>
      </w:r>
    </w:p>
    <w:p>
      <w:pPr>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fig_depth_hist.png"/>
                    <pic:cNvPicPr/>
                  </pic:nvPicPr>
                  <pic:blipFill>
                    <a:blip r:embed="rId15"/>
                    <a:stretch>
                      <a:fillRect/>
                    </a:stretch>
                  </pic:blipFill>
                  <pic:spPr>
                    <a:xfrm>
                      <a:off x="0" y="0"/>
                      <a:ext cx="5577840" cy="3718560"/>
                    </a:xfrm>
                    <a:prstGeom prst="rect"/>
                  </pic:spPr>
                </pic:pic>
              </a:graphicData>
            </a:graphic>
          </wp:inline>
        </w:drawing>
      </w:r>
    </w:p>
    <w:p>
      <w:pPr>
        <w:spacing w:after="1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color w:val="595959"/>
        <w:sz w:val="18"/>
      </w:rPr>
      <w:t xml:space="preserve">第 </w:t>
    </w:r>
    <w:r>
      <w:fldChar w:fldCharType="begin"/>
      <w:instrText xml:space="preserve">PAGE</w:instrText>
      <w:fldChar w:fldCharType="end"/>
    </w:r>
    <w:r>
      <w:rPr>
        <w:rFonts w:ascii="Calibri" w:hAnsi="Calibri" w:eastAsia="Microsoft YaHei"/>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color w:val="595959"/>
        <w:sz w:val="18"/>
      </w:rPr>
      <w:t>硕士论文中期报告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