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【校园动态】我校教师在《中国教育报》发表理论研究文章 | 时间：2026-08-12 | 类型：校园动态</w:t>
      </w:r>
    </w:p>
    <w:p>
      <w:r>
        <w:rPr>
          <w:b/>
        </w:rPr>
        <w:t>发布日期: 2026-08-12</w:t>
        <w:br/>
      </w:r>
      <w:r>
        <w:t>原文链接: https://www.sdxd.edu.cn/detail/20260812080444de5svwmq15wvqne13y.html</w:t>
      </w:r>
    </w:p>
    <w:p>
      <w:pPr>
        <w:pStyle w:val="Heading2"/>
      </w:pPr>
      <w:r>
        <w:t>文章内容:</w:t>
      </w:r>
    </w:p>
    <w:p>
      <w:r>
        <w:t>我校教师在《中国教育报》发表理论研究文章</w:t>
      </w:r>
    </w:p>
    <w:p>
      <w:r>
        <w:t>近日，《中国教育报》（理论周刊）刊发了我校教师李鹰、赵丽娜的理论文章《保护好AI时代学生的创造力》。文章紧扣人工智能技术快速迭代的时代背景，回应“答案易得”对学生创造性品质带来的现实冲击，提出在AI时代重构学生创造力内涵与培养路径的系统思考。</w:t>
      </w:r>
    </w:p>
    <w:p>
      <w:r>
        <w:rPr>
          <w:i/>
        </w:rPr>
        <w:t>图片链接: http://file.sdxd.edu.cn/file/20260812qhEuHTti@579@704.png</w:t>
      </w:r>
    </w:p>
    <w:p>
      <w:r>
        <w:t>文章提出，人工智能正在重塑教育生态，学生好奇心、独立判断、冒险精神、坚毅等创新品质面临消解风险。针对即时答案、算法替代、一键生成带来的各类问题，文章重构批判性追问、AI自觉等六大创造力核心品质。</w:t>
      </w:r>
    </w:p>
    <w:p>
      <w:r>
        <w:t>围绕课程体系、教学方式、实践平台、评价机制、教师发展五个维度，文中给出完整实施路径，倡导落实“先人类后AI”原则，建立品质档案、人机合作声明，推动教师向品质激发者转型。文章认为，AI是创造力升级的催化剂，育人不是隔绝技术，而是引导学生驾驭AI，坚守人的主体地位。</w:t>
      </w:r>
    </w:p>
    <w:p>
      <w:r>
        <w:t>该文刊发，既是我校教师深耕教学研究、回应教育前沿热点的成果，也是学校落实“人工智能+教育”行动计划的实践探索。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