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B21D8">
      <w:pPr>
        <w:jc w:val="center"/>
        <w:rPr>
          <w:rFonts w:eastAsia="黑体"/>
          <w:sz w:val="28"/>
        </w:rPr>
      </w:pPr>
      <w:r>
        <w:rPr>
          <w:rFonts w:eastAsia="黑体"/>
          <w:sz w:val="28"/>
        </w:rPr>
        <w:drawing>
          <wp:inline distT="0" distB="0" distL="114300" distR="114300">
            <wp:extent cx="2496185" cy="447675"/>
            <wp:effectExtent l="0" t="0" r="18415" b="9525"/>
            <wp:docPr id="1" name="图片 1" descr="文理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理字体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DCC96">
      <w:pPr>
        <w:tabs>
          <w:tab w:val="left" w:pos="1470"/>
        </w:tabs>
        <w:spacing w:line="720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sz w:val="44"/>
        </w:rPr>
        <w:t>本 科 生 课 程 报 告 封 面</w:t>
      </w:r>
    </w:p>
    <w:p w14:paraId="679D8FD1">
      <w:pPr>
        <w:spacing w:line="240" w:lineRule="exact"/>
        <w:rPr>
          <w:rFonts w:eastAsia="华文中宋"/>
          <w:sz w:val="48"/>
        </w:rPr>
      </w:pPr>
    </w:p>
    <w:tbl>
      <w:tblPr>
        <w:tblStyle w:val="2"/>
        <w:tblW w:w="561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4018"/>
      </w:tblGrid>
      <w:tr w14:paraId="4E1B1652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C37A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课程名称：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97B0A3F">
            <w:pPr>
              <w:widowControl/>
              <w:spacing w:line="400" w:lineRule="exact"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  <w:lang w:val="en-US" w:eastAsia="zh-CN"/>
              </w:rPr>
              <w:t>机器学习</w:t>
            </w:r>
          </w:p>
        </w:tc>
      </w:tr>
      <w:tr w14:paraId="5AADD588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F24A3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课程编码：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7C863EB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2351302</w:t>
            </w:r>
          </w:p>
        </w:tc>
      </w:tr>
      <w:tr w14:paraId="57B9267B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09655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报告题目：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8F56054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2E41FA3E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39B00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学    号：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BC304D3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26F1F7FE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08510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姓    名：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3B8F784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5E4C47E4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00E4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班    级：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8B2F1A6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2ADEAD38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C14E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授课教师：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7B60993">
            <w:pPr>
              <w:widowControl/>
              <w:spacing w:line="400" w:lineRule="exac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val="en-US" w:eastAsia="zh-CN"/>
              </w:rPr>
              <w:t>曾梦</w:t>
            </w:r>
          </w:p>
        </w:tc>
      </w:tr>
    </w:tbl>
    <w:p w14:paraId="3842D0A7">
      <w:pPr>
        <w:rPr>
          <w:rFonts w:eastAsia="华文中宋"/>
          <w:sz w:val="48"/>
        </w:rPr>
      </w:pPr>
    </w:p>
    <w:tbl>
      <w:tblPr>
        <w:tblStyle w:val="2"/>
        <w:tblW w:w="8222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09"/>
        <w:gridCol w:w="1240"/>
        <w:gridCol w:w="815"/>
        <w:gridCol w:w="1116"/>
        <w:gridCol w:w="654"/>
        <w:gridCol w:w="1070"/>
        <w:gridCol w:w="631"/>
        <w:gridCol w:w="1518"/>
      </w:tblGrid>
      <w:tr w14:paraId="433E5720">
        <w:trPr>
          <w:trHeight w:val="836" w:hRule="atLeast"/>
          <w:jc w:val="right"/>
        </w:trPr>
        <w:tc>
          <w:tcPr>
            <w:tcW w:w="1178" w:type="dxa"/>
            <w:gridSpan w:val="2"/>
            <w:noWrap w:val="0"/>
            <w:vAlign w:val="center"/>
          </w:tcPr>
          <w:p w14:paraId="447A498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评分标准及分值</w:t>
            </w:r>
          </w:p>
        </w:tc>
        <w:tc>
          <w:tcPr>
            <w:tcW w:w="2055" w:type="dxa"/>
            <w:gridSpan w:val="2"/>
            <w:noWrap w:val="0"/>
            <w:vAlign w:val="center"/>
          </w:tcPr>
          <w:p w14:paraId="2AA5A6B1"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选题契合</w:t>
            </w:r>
          </w:p>
          <w:p w14:paraId="0C5579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（分值</w:t>
            </w:r>
            <w:r>
              <w:rPr>
                <w:rFonts w:hint="eastAsia"/>
                <w:sz w:val="24"/>
                <w:lang w:val="en-US" w:eastAsia="zh-CN"/>
              </w:rPr>
              <w:t>20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770" w:type="dxa"/>
            <w:gridSpan w:val="2"/>
            <w:noWrap w:val="0"/>
            <w:vAlign w:val="center"/>
          </w:tcPr>
          <w:p w14:paraId="13C2A345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理论阐述</w:t>
            </w:r>
          </w:p>
          <w:p w14:paraId="79A138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（分值</w:t>
            </w:r>
            <w:r>
              <w:rPr>
                <w:rFonts w:hint="eastAsia"/>
                <w:sz w:val="24"/>
                <w:lang w:val="en-US" w:eastAsia="zh-CN"/>
              </w:rPr>
              <w:t>30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701" w:type="dxa"/>
            <w:gridSpan w:val="2"/>
            <w:noWrap w:val="0"/>
            <w:vAlign w:val="center"/>
          </w:tcPr>
          <w:p w14:paraId="6FEE1865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应用分析</w:t>
            </w:r>
          </w:p>
          <w:p w14:paraId="0400F97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（分值</w:t>
            </w:r>
            <w:r>
              <w:rPr>
                <w:rFonts w:hint="eastAsia"/>
                <w:sz w:val="24"/>
                <w:lang w:val="en-US" w:eastAsia="zh-CN"/>
              </w:rPr>
              <w:t>30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518" w:type="dxa"/>
            <w:noWrap w:val="0"/>
            <w:vAlign w:val="center"/>
          </w:tcPr>
          <w:p w14:paraId="7173A048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报告规范</w:t>
            </w:r>
          </w:p>
          <w:p w14:paraId="045C067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（分值</w:t>
            </w:r>
            <w:r>
              <w:rPr>
                <w:rFonts w:hint="eastAsia"/>
                <w:sz w:val="24"/>
                <w:lang w:val="en-US" w:eastAsia="zh-CN"/>
              </w:rPr>
              <w:t>20</w:t>
            </w:r>
            <w:r>
              <w:rPr>
                <w:rFonts w:hint="eastAsia"/>
                <w:sz w:val="24"/>
              </w:rPr>
              <w:t>）</w:t>
            </w:r>
          </w:p>
        </w:tc>
      </w:tr>
      <w:tr w14:paraId="65921F01">
        <w:trPr>
          <w:trHeight w:val="680" w:hRule="atLeast"/>
          <w:jc w:val="right"/>
        </w:trPr>
        <w:tc>
          <w:tcPr>
            <w:tcW w:w="1178" w:type="dxa"/>
            <w:gridSpan w:val="2"/>
            <w:noWrap w:val="0"/>
            <w:vAlign w:val="center"/>
          </w:tcPr>
          <w:p w14:paraId="39CD749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评分</w:t>
            </w:r>
          </w:p>
        </w:tc>
        <w:tc>
          <w:tcPr>
            <w:tcW w:w="2055" w:type="dxa"/>
            <w:gridSpan w:val="2"/>
            <w:noWrap w:val="0"/>
            <w:vAlign w:val="center"/>
          </w:tcPr>
          <w:p w14:paraId="54138D64">
            <w:pPr>
              <w:jc w:val="center"/>
              <w:rPr>
                <w:sz w:val="24"/>
              </w:rPr>
            </w:pPr>
          </w:p>
        </w:tc>
        <w:tc>
          <w:tcPr>
            <w:tcW w:w="1770" w:type="dxa"/>
            <w:gridSpan w:val="2"/>
            <w:noWrap w:val="0"/>
            <w:vAlign w:val="center"/>
          </w:tcPr>
          <w:p w14:paraId="4FC7A02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noWrap w:val="0"/>
            <w:vAlign w:val="center"/>
          </w:tcPr>
          <w:p w14:paraId="220BE38E">
            <w:pPr>
              <w:jc w:val="center"/>
              <w:rPr>
                <w:sz w:val="24"/>
              </w:rPr>
            </w:pPr>
          </w:p>
        </w:tc>
        <w:tc>
          <w:tcPr>
            <w:tcW w:w="1518" w:type="dxa"/>
            <w:noWrap w:val="0"/>
            <w:vAlign w:val="center"/>
          </w:tcPr>
          <w:p w14:paraId="3C534A3A">
            <w:pPr>
              <w:jc w:val="center"/>
              <w:rPr>
                <w:sz w:val="24"/>
              </w:rPr>
            </w:pPr>
          </w:p>
        </w:tc>
      </w:tr>
      <w:tr w14:paraId="0CAC69C0">
        <w:trPr>
          <w:trHeight w:val="550" w:hRule="atLeast"/>
          <w:jc w:val="right"/>
        </w:trPr>
        <w:tc>
          <w:tcPr>
            <w:tcW w:w="8222" w:type="dxa"/>
            <w:gridSpan w:val="9"/>
            <w:noWrap w:val="0"/>
            <w:vAlign w:val="center"/>
          </w:tcPr>
          <w:p w14:paraId="10147684">
            <w:pPr>
              <w:jc w:val="left"/>
              <w:rPr>
                <w:sz w:val="24"/>
              </w:rPr>
            </w:pPr>
            <w:r>
              <w:rPr>
                <w:rFonts w:hint="eastAsia"/>
                <w:bCs/>
                <w:szCs w:val="21"/>
              </w:rPr>
              <w:t>注：以上为参考标准，授课教师根据需要对评分标准进行调整</w:t>
            </w:r>
          </w:p>
        </w:tc>
      </w:tr>
      <w:tr w14:paraId="559ACE6C">
        <w:trPr>
          <w:trHeight w:val="3101" w:hRule="atLeast"/>
          <w:jc w:val="right"/>
        </w:trPr>
        <w:tc>
          <w:tcPr>
            <w:tcW w:w="8222" w:type="dxa"/>
            <w:gridSpan w:val="9"/>
            <w:tcBorders>
              <w:bottom w:val="single" w:color="auto" w:sz="4" w:space="0"/>
            </w:tcBorders>
            <w:noWrap w:val="0"/>
            <w:vAlign w:val="top"/>
          </w:tcPr>
          <w:p w14:paraId="48DE6B7D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评语：</w:t>
            </w:r>
            <w:r>
              <w:rPr>
                <w:b/>
                <w:bCs/>
                <w:sz w:val="24"/>
              </w:rPr>
              <w:t xml:space="preserve"> </w:t>
            </w:r>
          </w:p>
          <w:p w14:paraId="3565EF75">
            <w:pPr>
              <w:rPr>
                <w:b/>
                <w:bCs/>
                <w:sz w:val="24"/>
              </w:rPr>
            </w:pPr>
            <w:bookmarkStart w:id="0" w:name="_GoBack"/>
            <w:bookmarkEnd w:id="0"/>
          </w:p>
        </w:tc>
      </w:tr>
      <w:tr w14:paraId="735E9CAB">
        <w:trPr>
          <w:trHeight w:val="680" w:hRule="atLeast"/>
          <w:jc w:val="right"/>
        </w:trPr>
        <w:tc>
          <w:tcPr>
            <w:tcW w:w="869" w:type="dxa"/>
            <w:noWrap w:val="0"/>
            <w:vAlign w:val="center"/>
          </w:tcPr>
          <w:p w14:paraId="5A5AD77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 评 分</w:t>
            </w:r>
          </w:p>
        </w:tc>
        <w:tc>
          <w:tcPr>
            <w:tcW w:w="1549" w:type="dxa"/>
            <w:gridSpan w:val="2"/>
            <w:noWrap w:val="0"/>
            <w:vAlign w:val="center"/>
          </w:tcPr>
          <w:p w14:paraId="5EB65340">
            <w:pPr>
              <w:jc w:val="center"/>
              <w:rPr>
                <w:sz w:val="24"/>
              </w:rPr>
            </w:pPr>
          </w:p>
        </w:tc>
        <w:tc>
          <w:tcPr>
            <w:tcW w:w="1931" w:type="dxa"/>
            <w:gridSpan w:val="2"/>
            <w:noWrap w:val="0"/>
            <w:vAlign w:val="center"/>
          </w:tcPr>
          <w:p w14:paraId="1588DE7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评阅教师:</w:t>
            </w:r>
          </w:p>
        </w:tc>
        <w:tc>
          <w:tcPr>
            <w:tcW w:w="1724" w:type="dxa"/>
            <w:gridSpan w:val="2"/>
            <w:noWrap w:val="0"/>
            <w:vAlign w:val="center"/>
          </w:tcPr>
          <w:p w14:paraId="1A91CFCC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619760" cy="467995"/>
                  <wp:effectExtent l="0" t="0" r="0" b="0"/>
                  <wp:docPr id="2" name="图片 2" descr="/Users/fuzhao/Library/Containers/com.kingsoft.wpsoffice.mac/Data/tmp/picturecompress_20260419133542/output_1.pngoutput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/Users/fuzhao/Library/Containers/com.kingsoft.wpsoffice.mac/Data/tmp/picturecompress_20260419133542/output_1.pngoutput_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760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gridSpan w:val="2"/>
            <w:noWrap w:val="0"/>
            <w:vAlign w:val="center"/>
          </w:tcPr>
          <w:p w14:paraId="27DDCAF8">
            <w:pPr>
              <w:jc w:val="both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评阅时间</w:t>
            </w:r>
          </w:p>
          <w:p w14:paraId="37E14B76">
            <w:pPr>
              <w:ind w:right="120"/>
              <w:jc w:val="both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2026</w:t>
            </w:r>
            <w:r>
              <w:rPr>
                <w:rFonts w:hint="eastAsia"/>
                <w:sz w:val="24"/>
              </w:rPr>
              <w:t>年 月 日</w:t>
            </w:r>
          </w:p>
        </w:tc>
      </w:tr>
    </w:tbl>
    <w:p w14:paraId="0378F01B">
      <w:pPr>
        <w:spacing w:line="360" w:lineRule="auto"/>
      </w:pPr>
      <w:r>
        <w:br w:type="page"/>
      </w:r>
    </w:p>
    <w:p w14:paraId="0C9B2972">
      <w:pPr>
        <w:spacing w:line="360" w:lineRule="auto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注：</w:t>
      </w:r>
    </w:p>
    <w:p w14:paraId="0334F244">
      <w:pPr>
        <w:spacing w:line="360" w:lineRule="auto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1、报告中所有红色字体部分为解释说明，提交论文时请删除！</w:t>
      </w:r>
    </w:p>
    <w:p w14:paraId="04F65490">
      <w:pPr>
        <w:spacing w:line="360" w:lineRule="auto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2、本报告与《机器学习实验》课程报告主题一致，但侧重理论与分析，因此题目中可使用“优化”、“分析”、“研究”等词（可包括但不限于）。</w:t>
      </w:r>
    </w:p>
    <w:p w14:paraId="74351D8A">
      <w:pPr>
        <w:spacing w:line="360" w:lineRule="auto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3、报告可使用AI和网上资料作为辅助学习，但不可直接将AI的内容复制粘贴，否则成绩无效！</w:t>
      </w:r>
    </w:p>
    <w:p w14:paraId="0104D16B">
      <w:pPr>
        <w:spacing w:line="360" w:lineRule="auto"/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人员分配：</w:t>
      </w: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（简述本项目的人员分配情况，每个同学都要在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本报告的撰写中</w:t>
      </w: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体现工作量，作为评分依据）</w:t>
      </w:r>
    </w:p>
    <w:p w14:paraId="1B699675">
      <w:pPr>
        <w:spacing w:line="360" w:lineRule="auto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 w14:paraId="2D08447C">
      <w:pPr>
        <w:spacing w:line="360" w:lineRule="auto"/>
        <w:rPr>
          <w:rFonts w:hint="default" w:eastAsia="宋体"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摘要：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（</w:t>
      </w:r>
      <w:r>
        <w:rPr>
          <w:color w:val="FF0000"/>
          <w:sz w:val="24"/>
          <w:szCs w:val="24"/>
        </w:rPr>
        <w:t>概括研究主题、理论基础、核心结论</w:t>
      </w:r>
      <w:r>
        <w:rPr>
          <w:rFonts w:hint="eastAsia"/>
          <w:color w:val="FF0000"/>
          <w:sz w:val="24"/>
          <w:szCs w:val="24"/>
          <w:lang w:eastAsia="zh-CN"/>
        </w:rPr>
        <w:t>）（</w:t>
      </w:r>
      <w:r>
        <w:rPr>
          <w:rFonts w:hint="eastAsia"/>
          <w:color w:val="FF0000"/>
          <w:sz w:val="24"/>
          <w:szCs w:val="24"/>
          <w:lang w:val="en-US" w:eastAsia="zh-CN"/>
        </w:rPr>
        <w:t>150-250字）</w:t>
      </w:r>
    </w:p>
    <w:p w14:paraId="075F23B1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5A718D69">
      <w:pPr>
        <w:spacing w:line="360" w:lineRule="auto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  <w:lang w:val="en-US" w:eastAsia="zh-CN"/>
        </w:rPr>
        <w:t>关键词</w:t>
      </w:r>
      <w:r>
        <w:rPr>
          <w:rFonts w:hint="eastAsia"/>
          <w:b/>
          <w:bCs/>
          <w:sz w:val="24"/>
          <w:szCs w:val="24"/>
          <w:lang w:val="en-US" w:eastAsia="zh-CN"/>
        </w:rPr>
        <w:t>：</w:t>
      </w: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3-5个关键词（</w:t>
      </w:r>
      <w:r>
        <w:rPr>
          <w:color w:val="FF0000"/>
          <w:sz w:val="24"/>
          <w:szCs w:val="24"/>
        </w:rPr>
        <w:t>如“KNN算法”</w:t>
      </w:r>
      <w:r>
        <w:rPr>
          <w:rFonts w:hint="eastAsia"/>
          <w:color w:val="FF0000"/>
          <w:sz w:val="24"/>
          <w:szCs w:val="24"/>
          <w:lang w:eastAsia="zh-CN"/>
        </w:rPr>
        <w:t>、</w:t>
      </w:r>
      <w:r>
        <w:rPr>
          <w:color w:val="FF0000"/>
          <w:sz w:val="24"/>
          <w:szCs w:val="24"/>
        </w:rPr>
        <w:t>“鸢尾花分类”</w:t>
      </w:r>
      <w:r>
        <w:rPr>
          <w:rFonts w:hint="eastAsia"/>
          <w:color w:val="FF0000"/>
          <w:sz w:val="24"/>
          <w:szCs w:val="24"/>
          <w:lang w:eastAsia="zh-CN"/>
        </w:rPr>
        <w:t>、</w:t>
      </w:r>
      <w:r>
        <w:rPr>
          <w:color w:val="FF0000"/>
          <w:sz w:val="24"/>
          <w:szCs w:val="24"/>
        </w:rPr>
        <w:t>“距离度量”</w:t>
      </w:r>
      <w:r>
        <w:rPr>
          <w:rFonts w:hint="eastAsia"/>
          <w:color w:val="FF0000"/>
          <w:sz w:val="24"/>
          <w:szCs w:val="24"/>
          <w:lang w:eastAsia="zh-CN"/>
        </w:rPr>
        <w:t>，</w:t>
      </w:r>
      <w:r>
        <w:rPr>
          <w:rFonts w:hint="eastAsia"/>
          <w:color w:val="FF0000"/>
          <w:sz w:val="24"/>
          <w:szCs w:val="24"/>
          <w:lang w:val="en-US" w:eastAsia="zh-CN"/>
        </w:rPr>
        <w:t>用逗号隔开</w:t>
      </w:r>
      <w:r>
        <w:rPr>
          <w:color w:val="FF0000"/>
          <w:sz w:val="24"/>
          <w:szCs w:val="24"/>
        </w:rPr>
        <w:t>）。</w:t>
      </w:r>
    </w:p>
    <w:p w14:paraId="76F8EA0D">
      <w:pPr>
        <w:spacing w:line="360" w:lineRule="auto"/>
        <w:rPr>
          <w:rFonts w:hint="eastAsia" w:eastAsia="宋体"/>
          <w:color w:val="auto"/>
          <w:sz w:val="24"/>
          <w:szCs w:val="24"/>
          <w:lang w:val="en-US" w:eastAsia="zh-CN"/>
        </w:rPr>
      </w:pPr>
    </w:p>
    <w:p w14:paraId="17595145">
      <w:pPr>
        <w:numPr>
          <w:ilvl w:val="0"/>
          <w:numId w:val="1"/>
        </w:numPr>
        <w:spacing w:line="360" w:lineRule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选题背景与研究意义</w:t>
      </w:r>
      <w:r>
        <w:rPr>
          <w:rFonts w:hint="eastAsia"/>
          <w:color w:val="FF0000"/>
          <w:sz w:val="24"/>
          <w:szCs w:val="24"/>
          <w:lang w:val="en-US" w:eastAsia="zh-CN"/>
        </w:rPr>
        <w:t>（</w:t>
      </w:r>
      <w:r>
        <w:rPr>
          <w:color w:val="FF0000"/>
          <w:sz w:val="24"/>
          <w:szCs w:val="24"/>
        </w:rPr>
        <w:t>阐述选题的实际应用场景（如 “物流配送优化的行业需求”）、理论价值（如 “验证聚类算法的适用性”），结合课程核心理论说明研究必要性。</w:t>
      </w:r>
      <w:r>
        <w:rPr>
          <w:rFonts w:hint="eastAsia"/>
          <w:color w:val="FF0000"/>
          <w:sz w:val="24"/>
          <w:szCs w:val="24"/>
          <w:lang w:val="en-US" w:eastAsia="zh-CN"/>
        </w:rPr>
        <w:t>）（200-300字）</w:t>
      </w:r>
    </w:p>
    <w:p w14:paraId="609EBCE6">
      <w:pPr>
        <w:numPr>
          <w:ilvl w:val="0"/>
          <w:numId w:val="0"/>
        </w:numPr>
        <w:spacing w:line="360" w:lineRule="auto"/>
        <w:rPr>
          <w:rFonts w:hint="default"/>
          <w:color w:val="auto"/>
          <w:sz w:val="24"/>
          <w:szCs w:val="24"/>
          <w:lang w:val="en-US" w:eastAsia="zh-CN"/>
        </w:rPr>
      </w:pPr>
    </w:p>
    <w:p w14:paraId="7885692C">
      <w:pPr>
        <w:numPr>
          <w:ilvl w:val="0"/>
          <w:numId w:val="0"/>
        </w:numPr>
        <w:spacing w:line="360" w:lineRule="auto"/>
        <w:rPr>
          <w:rFonts w:hint="default"/>
          <w:color w:val="auto"/>
          <w:sz w:val="24"/>
          <w:szCs w:val="24"/>
          <w:lang w:val="en-US" w:eastAsia="zh-CN"/>
        </w:rPr>
      </w:pPr>
    </w:p>
    <w:p w14:paraId="719475C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color w:val="FF0000"/>
          <w:sz w:val="24"/>
          <w:szCs w:val="24"/>
          <w:lang w:eastAsia="zh-CN"/>
        </w:rPr>
      </w:pPr>
      <w:r>
        <w:rPr>
          <w:b/>
          <w:bCs/>
          <w:sz w:val="24"/>
          <w:szCs w:val="24"/>
          <w:lang w:val="en-US" w:eastAsia="zh-CN"/>
        </w:rPr>
        <w:t>相关理论与算法基础</w:t>
      </w:r>
      <w:r>
        <w:rPr>
          <w:rFonts w:hint="eastAsia"/>
          <w:color w:val="FF0000"/>
          <w:sz w:val="24"/>
          <w:szCs w:val="24"/>
          <w:lang w:val="en-US" w:eastAsia="zh-CN"/>
        </w:rPr>
        <w:t>（</w:t>
      </w:r>
      <w:r>
        <w:rPr>
          <w:color w:val="FF0000"/>
          <w:sz w:val="24"/>
          <w:szCs w:val="24"/>
        </w:rPr>
        <w:t>系统阐述选题涉及的机器学习理论（如K-Means聚类原理、线性回归数学模型）、算法推导过程（如损失函数求解、参数优化逻辑）、核心要素（如K值选择、核函数作用），体现对理论知识的掌握。</w:t>
      </w:r>
      <w:r>
        <w:rPr>
          <w:rFonts w:hint="eastAsia"/>
          <w:color w:val="FF0000"/>
          <w:sz w:val="24"/>
          <w:szCs w:val="24"/>
          <w:lang w:eastAsia="zh-CN"/>
        </w:rPr>
        <w:t>）（</w:t>
      </w:r>
      <w:r>
        <w:rPr>
          <w:rFonts w:hint="eastAsia"/>
          <w:color w:val="FF0000"/>
          <w:sz w:val="24"/>
          <w:szCs w:val="24"/>
          <w:lang w:val="en-US" w:eastAsia="zh-CN"/>
        </w:rPr>
        <w:t>400-600字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</w:p>
    <w:p w14:paraId="0E5551D3">
      <w:pPr>
        <w:numPr>
          <w:ilvl w:val="0"/>
          <w:numId w:val="0"/>
        </w:numPr>
        <w:spacing w:line="360" w:lineRule="auto"/>
        <w:ind w:leftChars="0"/>
        <w:rPr>
          <w:rFonts w:hint="default"/>
          <w:color w:val="auto"/>
          <w:sz w:val="24"/>
          <w:szCs w:val="24"/>
          <w:lang w:val="en-US" w:eastAsia="zh-CN"/>
        </w:rPr>
      </w:pPr>
    </w:p>
    <w:p w14:paraId="72870D97">
      <w:pPr>
        <w:numPr>
          <w:ilvl w:val="0"/>
          <w:numId w:val="0"/>
        </w:numPr>
        <w:spacing w:line="360" w:lineRule="auto"/>
        <w:ind w:leftChars="0"/>
        <w:rPr>
          <w:rFonts w:hint="default"/>
          <w:color w:val="auto"/>
          <w:sz w:val="24"/>
          <w:szCs w:val="24"/>
          <w:lang w:val="en-US" w:eastAsia="zh-CN"/>
        </w:rPr>
      </w:pPr>
    </w:p>
    <w:p w14:paraId="0A86A73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color w:val="FF0000"/>
          <w:sz w:val="24"/>
          <w:szCs w:val="24"/>
          <w:lang w:eastAsia="zh-CN"/>
        </w:rPr>
      </w:pPr>
      <w:r>
        <w:rPr>
          <w:b/>
          <w:bCs/>
          <w:sz w:val="24"/>
          <w:szCs w:val="24"/>
          <w:lang w:val="en-US" w:eastAsia="zh-CN"/>
        </w:rPr>
        <w:t>理论分析与方案设计</w:t>
      </w:r>
      <w:r>
        <w:rPr>
          <w:rFonts w:hint="eastAsia"/>
          <w:color w:val="FF0000"/>
          <w:sz w:val="24"/>
          <w:szCs w:val="24"/>
          <w:lang w:val="en-US" w:eastAsia="zh-CN"/>
        </w:rPr>
        <w:t>（</w:t>
      </w:r>
      <w:r>
        <w:rPr>
          <w:color w:val="FF0000"/>
          <w:sz w:val="24"/>
          <w:szCs w:val="24"/>
        </w:rPr>
        <w:t>基于理论基础设计研究方案（如“不同距离度量方法对KNN分类效果的影响分析”），明确研究假设、变量定义、理论框架，体现对复杂问题的建模能力</w:t>
      </w:r>
      <w:r>
        <w:rPr>
          <w:rFonts w:hint="eastAsia"/>
          <w:color w:val="FF0000"/>
          <w:sz w:val="24"/>
          <w:szCs w:val="24"/>
          <w:lang w:eastAsia="zh-CN"/>
        </w:rPr>
        <w:t>。）（</w:t>
      </w:r>
      <w:r>
        <w:rPr>
          <w:rFonts w:hint="eastAsia"/>
          <w:color w:val="FF0000"/>
          <w:sz w:val="24"/>
          <w:szCs w:val="24"/>
          <w:lang w:val="en-US" w:eastAsia="zh-CN"/>
        </w:rPr>
        <w:t>300-400字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</w:p>
    <w:p w14:paraId="4E50E85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auto"/>
          <w:sz w:val="24"/>
          <w:szCs w:val="24"/>
          <w:lang w:val="en-US" w:eastAsia="zh-CN"/>
        </w:rPr>
      </w:pPr>
    </w:p>
    <w:p w14:paraId="3147CA0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auto"/>
          <w:sz w:val="24"/>
          <w:szCs w:val="24"/>
          <w:lang w:val="en-US" w:eastAsia="zh-CN"/>
        </w:rPr>
      </w:pPr>
    </w:p>
    <w:p w14:paraId="647C9D2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color w:val="FF0000"/>
          <w:sz w:val="24"/>
          <w:szCs w:val="24"/>
          <w:lang w:eastAsia="zh-CN"/>
        </w:rPr>
      </w:pPr>
      <w:r>
        <w:rPr>
          <w:b/>
          <w:bCs/>
          <w:sz w:val="24"/>
          <w:szCs w:val="24"/>
          <w:lang w:val="en-US" w:eastAsia="zh-CN"/>
        </w:rPr>
        <w:t>应用场景与效果分析</w:t>
      </w:r>
      <w:r>
        <w:rPr>
          <w:rFonts w:hint="eastAsia"/>
          <w:color w:val="FF0000"/>
          <w:sz w:val="24"/>
          <w:szCs w:val="24"/>
          <w:lang w:val="en-US" w:eastAsia="zh-CN"/>
        </w:rPr>
        <w:t>（</w:t>
      </w:r>
      <w:r>
        <w:rPr>
          <w:color w:val="FF0000"/>
          <w:sz w:val="24"/>
          <w:szCs w:val="24"/>
        </w:rPr>
        <w:t>分析算法的适用场景、优缺点及优化方向（如“逻辑回归在小样本数据中的优势与局限性”），结合实际案例说明理论的实践价值</w:t>
      </w:r>
      <w:r>
        <w:rPr>
          <w:rFonts w:hint="eastAsia"/>
          <w:color w:val="FF0000"/>
          <w:sz w:val="24"/>
          <w:szCs w:val="24"/>
          <w:lang w:eastAsia="zh-CN"/>
        </w:rPr>
        <w:t>）（</w:t>
      </w:r>
      <w:r>
        <w:rPr>
          <w:rFonts w:hint="eastAsia"/>
          <w:color w:val="FF0000"/>
          <w:sz w:val="24"/>
          <w:szCs w:val="24"/>
          <w:lang w:val="en-US" w:eastAsia="zh-CN"/>
        </w:rPr>
        <w:t>300-400字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</w:p>
    <w:p w14:paraId="7576525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auto"/>
          <w:sz w:val="24"/>
          <w:szCs w:val="24"/>
          <w:lang w:val="en-US" w:eastAsia="zh-CN"/>
        </w:rPr>
      </w:pPr>
    </w:p>
    <w:p w14:paraId="7F9488B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auto"/>
          <w:sz w:val="24"/>
          <w:szCs w:val="24"/>
          <w:lang w:val="en-US" w:eastAsia="zh-CN"/>
        </w:rPr>
      </w:pPr>
    </w:p>
    <w:p w14:paraId="21F48EC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sz w:val="24"/>
          <w:szCs w:val="24"/>
          <w:lang w:eastAsia="zh-CN"/>
        </w:rPr>
      </w:pPr>
      <w:r>
        <w:rPr>
          <w:b/>
          <w:bCs/>
          <w:sz w:val="24"/>
          <w:szCs w:val="24"/>
          <w:lang w:val="en-US" w:eastAsia="zh-CN"/>
        </w:rPr>
        <w:t>结论与展望</w:t>
      </w:r>
      <w:r>
        <w:rPr>
          <w:rFonts w:hint="eastAsia"/>
          <w:color w:val="FF0000"/>
          <w:sz w:val="24"/>
          <w:szCs w:val="24"/>
          <w:lang w:val="en-US" w:eastAsia="zh-CN"/>
        </w:rPr>
        <w:t>（</w:t>
      </w:r>
      <w:r>
        <w:rPr>
          <w:color w:val="FF0000"/>
          <w:sz w:val="24"/>
          <w:szCs w:val="24"/>
        </w:rPr>
        <w:t>总结理论分析结论，明确算法的理论价值与应用边界，提出未来可深入研究的方向（如“结合深度学习优化传统聚类算法”）。</w:t>
      </w:r>
      <w:r>
        <w:rPr>
          <w:rFonts w:hint="eastAsia"/>
          <w:color w:val="FF0000"/>
          <w:sz w:val="24"/>
          <w:szCs w:val="24"/>
          <w:lang w:eastAsia="zh-CN"/>
        </w:rPr>
        <w:t>）（</w:t>
      </w:r>
      <w:r>
        <w:rPr>
          <w:rFonts w:hint="eastAsia"/>
          <w:color w:val="FF0000"/>
          <w:sz w:val="24"/>
          <w:szCs w:val="24"/>
          <w:lang w:val="en-US" w:eastAsia="zh-CN"/>
        </w:rPr>
        <w:t>150-250字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</w:p>
    <w:p w14:paraId="603178C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auto"/>
          <w:sz w:val="24"/>
          <w:szCs w:val="24"/>
          <w:lang w:eastAsia="zh-CN"/>
        </w:rPr>
      </w:pPr>
    </w:p>
    <w:p w14:paraId="7B4A212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auto"/>
          <w:sz w:val="24"/>
          <w:szCs w:val="24"/>
          <w:lang w:eastAsia="zh-CN"/>
        </w:rPr>
      </w:pPr>
    </w:p>
    <w:p w14:paraId="4D136FE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eastAsia="宋体"/>
          <w:sz w:val="24"/>
          <w:szCs w:val="24"/>
          <w:lang w:eastAsia="zh-CN"/>
        </w:rPr>
      </w:pPr>
      <w:r>
        <w:rPr>
          <w:b/>
          <w:bCs/>
          <w:sz w:val="24"/>
          <w:szCs w:val="24"/>
          <w:lang w:val="en-US" w:eastAsia="zh-CN"/>
        </w:rPr>
        <w:t>参考文献</w:t>
      </w:r>
      <w:r>
        <w:rPr>
          <w:rFonts w:hint="eastAsia"/>
          <w:color w:val="FF0000"/>
          <w:sz w:val="24"/>
          <w:szCs w:val="24"/>
          <w:lang w:val="en-US" w:eastAsia="zh-CN"/>
        </w:rPr>
        <w:t>（</w:t>
      </w:r>
      <w:r>
        <w:rPr>
          <w:color w:val="FF0000"/>
          <w:sz w:val="24"/>
          <w:szCs w:val="24"/>
        </w:rPr>
        <w:t>规范引用课程教材、学术论文等资料，格式符合学术规范</w:t>
      </w:r>
      <w:r>
        <w:rPr>
          <w:rFonts w:hint="eastAsia"/>
          <w:color w:val="FF0000"/>
          <w:sz w:val="24"/>
          <w:szCs w:val="24"/>
          <w:lang w:eastAsia="zh-CN"/>
        </w:rPr>
        <w:t>，</w:t>
      </w:r>
      <w:r>
        <w:rPr>
          <w:rFonts w:hint="eastAsia"/>
          <w:color w:val="FF0000"/>
          <w:sz w:val="24"/>
          <w:szCs w:val="24"/>
          <w:lang w:val="en-US" w:eastAsia="zh-CN"/>
        </w:rPr>
        <w:t>参考GB</w:t>
      </w:r>
      <w:r>
        <w:rPr>
          <w:rFonts w:hint="default"/>
          <w:color w:val="FF0000"/>
          <w:sz w:val="24"/>
          <w:szCs w:val="24"/>
          <w:lang w:val="en-US" w:eastAsia="zh-CN"/>
        </w:rPr>
        <w:t>/T 7714</w:t>
      </w:r>
      <w:r>
        <w:rPr>
          <w:rFonts w:hint="eastAsia"/>
          <w:color w:val="FF0000"/>
          <w:sz w:val="24"/>
          <w:szCs w:val="24"/>
          <w:lang w:val="en-US" w:eastAsia="zh-CN"/>
        </w:rPr>
        <w:t>格式，中英文都要有</w:t>
      </w:r>
      <w:r>
        <w:rPr>
          <w:rFonts w:hint="eastAsia"/>
          <w:color w:val="FF0000"/>
          <w:sz w:val="24"/>
          <w:szCs w:val="24"/>
          <w:lang w:eastAsia="zh-CN"/>
        </w:rPr>
        <w:t>）（</w:t>
      </w:r>
      <w:r>
        <w:rPr>
          <w:rFonts w:hint="eastAsia"/>
          <w:color w:val="FF0000"/>
          <w:sz w:val="24"/>
          <w:szCs w:val="24"/>
          <w:lang w:val="en-US" w:eastAsia="zh-CN"/>
        </w:rPr>
        <w:t>5-10篇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</w:p>
    <w:p w14:paraId="11F220EB">
      <w:pPr>
        <w:rPr>
          <w:rFonts w:hint="eastAsia" w:eastAsia="宋体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altName w:val="汉仪书宋二KW"/>
    <w:panose1 w:val="02010600040101010101"/>
    <w:charset w:val="00"/>
    <w:family w:val="auto"/>
    <w:pitch w:val="default"/>
    <w:sig w:usb0="00000000" w:usb1="00000000" w:usb2="00000010" w:usb3="00000000" w:csb0="0004009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6753C3"/>
    <w:multiLevelType w:val="singleLevel"/>
    <w:tmpl w:val="FB6753C3"/>
    <w:lvl w:ilvl="0" w:tentative="0">
      <w:start w:val="1"/>
      <w:numFmt w:val="decimal"/>
      <w:suff w:val="nothing"/>
      <w:lvlText w:val="%1、"/>
      <w:lvlJc w:val="left"/>
      <w:rPr>
        <w:rFonts w:hint="default" w:ascii="Times New Roman Bold" w:hAnsi="Times New Roman Bold" w:cs="Times New Roman Bold"/>
        <w:b/>
        <w:bCs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UxYzdkNDExNzE0Nzc2ZDIxMWNiYmU0OTVkMDg3NWQifQ=="/>
  </w:docVars>
  <w:rsids>
    <w:rsidRoot w:val="E3FA79FC"/>
    <w:rsid w:val="33ED43B1"/>
    <w:rsid w:val="37BDB6DC"/>
    <w:rsid w:val="39FA594A"/>
    <w:rsid w:val="3DFFA219"/>
    <w:rsid w:val="3F362888"/>
    <w:rsid w:val="3FFC5E0B"/>
    <w:rsid w:val="3FFE74A9"/>
    <w:rsid w:val="3FFFCDFF"/>
    <w:rsid w:val="4BF45037"/>
    <w:rsid w:val="4E770F5E"/>
    <w:rsid w:val="507F9A97"/>
    <w:rsid w:val="55CD086D"/>
    <w:rsid w:val="5BA5D6A5"/>
    <w:rsid w:val="5BC707C4"/>
    <w:rsid w:val="5D6296A8"/>
    <w:rsid w:val="5DEB30CE"/>
    <w:rsid w:val="5FF32D80"/>
    <w:rsid w:val="67797E75"/>
    <w:rsid w:val="6EFBE5C9"/>
    <w:rsid w:val="6FCE1BE4"/>
    <w:rsid w:val="737738E9"/>
    <w:rsid w:val="757D9595"/>
    <w:rsid w:val="77E74AEC"/>
    <w:rsid w:val="77F3C9C7"/>
    <w:rsid w:val="78F5FBD4"/>
    <w:rsid w:val="796A7994"/>
    <w:rsid w:val="7ACFC29E"/>
    <w:rsid w:val="7DB4B689"/>
    <w:rsid w:val="7DDC4AF4"/>
    <w:rsid w:val="7DDF8D8A"/>
    <w:rsid w:val="7EFF5C4B"/>
    <w:rsid w:val="7F9D1C17"/>
    <w:rsid w:val="7FD3D460"/>
    <w:rsid w:val="8BD336CC"/>
    <w:rsid w:val="8DEF804E"/>
    <w:rsid w:val="97FD94EA"/>
    <w:rsid w:val="9BFF9B6B"/>
    <w:rsid w:val="9FFB8EB3"/>
    <w:rsid w:val="A57A18BF"/>
    <w:rsid w:val="A5FF0479"/>
    <w:rsid w:val="ABF76C43"/>
    <w:rsid w:val="B39F2C1E"/>
    <w:rsid w:val="B3BC91A0"/>
    <w:rsid w:val="B4757D84"/>
    <w:rsid w:val="B76FD361"/>
    <w:rsid w:val="B77D1079"/>
    <w:rsid w:val="B7FB639C"/>
    <w:rsid w:val="BDFF6BF1"/>
    <w:rsid w:val="BFFA51D5"/>
    <w:rsid w:val="BFFBDED2"/>
    <w:rsid w:val="C5E989FF"/>
    <w:rsid w:val="CF7F286C"/>
    <w:rsid w:val="D8BDD802"/>
    <w:rsid w:val="D8F7ACAE"/>
    <w:rsid w:val="D8FEBBFB"/>
    <w:rsid w:val="DBEB304F"/>
    <w:rsid w:val="DDDFF033"/>
    <w:rsid w:val="DF5BB3AF"/>
    <w:rsid w:val="DFAFA4BD"/>
    <w:rsid w:val="E3FA79FC"/>
    <w:rsid w:val="E7FDBB5B"/>
    <w:rsid w:val="EE7B0844"/>
    <w:rsid w:val="EFD12D86"/>
    <w:rsid w:val="EFDEC253"/>
    <w:rsid w:val="EFF3B3FA"/>
    <w:rsid w:val="F0EFFB97"/>
    <w:rsid w:val="F7DFA49A"/>
    <w:rsid w:val="F97BA6B1"/>
    <w:rsid w:val="FAFF5D3D"/>
    <w:rsid w:val="FBD714A9"/>
    <w:rsid w:val="FBED37A7"/>
    <w:rsid w:val="FD51C2BA"/>
    <w:rsid w:val="FD63F9C0"/>
    <w:rsid w:val="FD770864"/>
    <w:rsid w:val="FDFFBDE7"/>
    <w:rsid w:val="FE7F8B70"/>
    <w:rsid w:val="FF6C4DB6"/>
    <w:rsid w:val="FF730A13"/>
    <w:rsid w:val="FF7FE599"/>
    <w:rsid w:val="FF9E4639"/>
    <w:rsid w:val="FFFBA1F1"/>
    <w:rsid w:val="FFFDC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2026-02-26T21:27:00Z</dcterms:created>
  <dc:creator>真实的梦</dc:creator>
  <cp:lastModifiedBy>真实的梦</cp:lastModifiedBy>
  <dcterms:modified xsi:type="dcterms:W3CDTF">2026-04-19T13:38:26Z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33B289B5FE79E521CBD99F698E58F424_41</vt:lpwstr>
  </property>
</Properties>
</file>