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/>
          <w:b/>
          <w:sz w:val="44"/>
        </w:rPr>
        <w:t>本 科 生 课 程 报 告 封 面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宋体" w:hAnsi="宋体" w:eastAsia="宋体"/>
                <w:sz w:val="28"/>
              </w:rPr>
              <w:t>课程名称：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机器学习实验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宋体" w:hAnsi="宋体" w:eastAsia="宋体"/>
                <w:sz w:val="28"/>
              </w:rPr>
              <w:t>课程编码：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2351303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宋体" w:hAnsi="宋体" w:eastAsia="宋体"/>
                <w:sz w:val="28"/>
              </w:rPr>
              <w:t>报告题目：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基于K-Means与随机森林的</w:t>
              <w:br/>
              <w:t>校园搭子推荐系统实现与应用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宋体" w:hAnsi="宋体" w:eastAsia="宋体"/>
                <w:sz w:val="28"/>
              </w:rPr>
              <w:t>学    号：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2024117715</w:t>
              <w:br/>
              <w:t>2024117720</w:t>
              <w:br/>
              <w:t>2024117719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宋体" w:hAnsi="宋体" w:eastAsia="宋体"/>
                <w:sz w:val="28"/>
              </w:rPr>
              <w:t>姓    名：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赵子荣</w:t>
              <w:br/>
              <w:t>李海东</w:t>
              <w:br/>
              <w:t>章振豪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宋体" w:hAnsi="宋体" w:eastAsia="宋体"/>
                <w:sz w:val="28"/>
              </w:rPr>
              <w:t>班    级：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计算机科学与技术2022级X班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>
              <w:rPr>
                <w:rFonts w:ascii="宋体" w:hAnsi="宋体" w:eastAsia="宋体"/>
                <w:sz w:val="28"/>
              </w:rPr>
              <w:t>授课教师：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28"/>
              </w:rPr>
              <w:t>曾梦</w:t>
            </w:r>
          </w:p>
        </w:tc>
      </w:tr>
    </w:tbl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160"/>
            <w:gridSpan w:val="2"/>
          </w:tcPr>
          <w:p>
            <w:pPr>
              <w:jc w:val="center"/>
            </w:pPr>
            <w:r>
              <w:rPr>
                <w:b/>
                <w:sz w:val="18"/>
              </w:rPr>
              <w:t>评分标准及分值</w:t>
            </w:r>
          </w:p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选题契合</w:t>
              <w:br/>
              <w:t>（分值15）</w:t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>
              <w:rPr>
                <w:b/>
                <w:sz w:val="18"/>
              </w:rPr>
              <w:t>报告内容与代码实现</w:t>
              <w:br/>
              <w:t>（分值40）</w:t>
            </w:r>
          </w:p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  <w:gridSpan w:val="2"/>
          </w:tcPr>
          <w:p>
            <w:pPr>
              <w:jc w:val="center"/>
            </w:pPr>
            <w:r>
              <w:rPr>
                <w:b/>
                <w:sz w:val="18"/>
              </w:rPr>
              <w:t>实验分析</w:t>
              <w:br/>
              <w:t>（分值30）</w:t>
            </w:r>
          </w:p>
          <w:p>
            <w:pPr>
              <w:jc w:val="center"/>
            </w:pPr>
            <w:r>
              <w:rPr>
                <w:b/>
                <w:sz w:val="18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报告规范</w:t>
              <w:br/>
              <w:t>（分值15）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评分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8640"/>
            <w:gridSpan w:val="8"/>
          </w:tcPr>
          <w:p>
            <w:r>
              <w:rPr>
                <w:sz w:val="18"/>
              </w:rPr>
              <w:t>注：以上为参考标准，授课教师根据需要对评分标准进行调整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评语：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rPr>
                <w:sz w:val="20"/>
              </w:rPr>
              <w:t>总 评 分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评阅教师：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sz w:val="20"/>
              </w:rPr>
              <w:t>评阅时间</w:t>
              <w:br/>
              <w:t>2026年 月 日</w:t>
            </w:r>
          </w:p>
        </w:tc>
        <w:tc>
          <w:tcPr>
            <w:tcW w:type="dxa" w:w="1080"/>
          </w:tcPr>
          <w:p/>
        </w:tc>
      </w:tr>
    </w:tbl>
    <w:p>
      <w:r>
        <w:br w:type="page"/>
      </w:r>
    </w:p>
    <w:p>
      <w:pPr>
        <w:ind w:firstLine="420"/>
      </w:pPr>
      <w:r>
        <w:rPr>
          <w:rFonts w:ascii="宋体" w:hAnsi="宋体"/>
          <w:b/>
          <w:sz w:val="24"/>
        </w:rPr>
        <w:t>人员分配：</w:t>
      </w:r>
    </w:p>
    <w:p>
      <w:pPr>
        <w:ind w:firstLine="420"/>
      </w:pPr>
      <w:r>
        <w:rPr>
          <w:sz w:val="24"/>
        </w:rPr>
        <w:t>本项目共三位成员协作完成，具体分工如下：</w:t>
      </w:r>
    </w:p>
    <w:p>
      <w:pPr>
        <w:ind w:firstLine="420"/>
      </w:pPr>
      <w:r>
        <w:rPr>
          <w:b/>
          <w:sz w:val="24"/>
        </w:rPr>
        <w:t>（1）赵子荣（2024117715）：</w:t>
      </w:r>
      <w:r>
        <w:rPr>
          <w:sz w:val="24"/>
        </w:rPr>
        <w:t>负责项目总体设计与技术架构、核心算法实现（K-Means聚类与随机森林分类器）、LOOCV交叉验证与SMOTENC过采样策略设计、Bootstrap置信区间评估、模型训练与调优、可视化图表生成、Streamlit与Flask双版本推荐系统开发、答辩PPT制作与展示。同时统筹两门课程报告的撰写框架与内容整合。</w:t>
      </w:r>
    </w:p>
    <w:p>
      <w:pPr>
        <w:ind w:firstLine="420"/>
      </w:pPr>
      <w:r>
        <w:rPr>
          <w:b/>
          <w:sz w:val="24"/>
        </w:rPr>
        <w:t>（2）李海东（2024117720）：</w:t>
      </w:r>
      <w:r>
        <w:rPr>
          <w:sz w:val="24"/>
        </w:rPr>
        <w:t>负责前期文献调研与MBTI性格理论梳理、问卷设计与问卷星平台发放、原始数据收集与初步整理、数据清洗规则设计。参与课程报告相关理论与算法基础章节的撰写与参考文献整理，协助实验报告中的实验环境与技术准备章节编写。</w:t>
      </w:r>
    </w:p>
    <w:p>
      <w:pPr>
        <w:ind w:firstLine="420"/>
      </w:pPr>
      <w:r>
        <w:rPr>
          <w:b/>
          <w:sz w:val="24"/>
        </w:rPr>
        <w:t>（3）章振豪（2024117719）：</w:t>
      </w:r>
      <w:r>
        <w:rPr>
          <w:sz w:val="24"/>
        </w:rPr>
        <w:t>负责数据可视化方案设计（雷达图、热力图、PCA散点图等）、Web前端界面美化与交互优化、用户测试与系统体验评估。参与实验报告实验结果与可视化分析章节的图表演示与分析解读，协助课程报告中的应用场景与效果分析章节撰写。</w:t>
      </w:r>
    </w:p>
    <w:p>
      <w:r>
        <w:br w:type="page"/>
      </w:r>
    </w:p>
    <w:p>
      <w:pPr>
        <w:ind w:firstLine="420"/>
      </w:pPr>
      <w:r>
        <w:rPr>
          <w:rFonts w:ascii="宋体" w:hAnsi="宋体"/>
          <w:b/>
          <w:sz w:val="24"/>
        </w:rPr>
        <w:t>摘要：</w:t>
      </w:r>
    </w:p>
    <w:p>
      <w:pPr>
        <w:ind w:firstLine="420"/>
      </w:pPr>
      <w:r>
        <w:rPr>
          <w:sz w:val="24"/>
        </w:rPr>
        <w:t>本实验基于62份校园问卷数据，使用Python及scikit-learn库完整实现了K-Means消费群体聚类、随机森林MBTI性格预测与Streamlit/Flask双版本搭子推荐系统。实验涵盖数据清洗（剔除填写时间&lt;30秒及消费五维全同的无效样本）、StandardScaler标准化、肘部法则与轮廓系数联合确定K=4、LOOCV留一法交叉验证、SMOTENC过采样处理类别不平衡、Bootstrap 95%置信区间评估、Dummy Classifier基线对比等关键环节。通过matplotlib与seaborn生成了肘部法则图、雷达图、热力图、PCA散点图、混淆矩阵、ROC曲线、指标对比柱状图和特征重要性条形图共8类可视化成果。最终交付了完整的Python代码包（约550行核心代码）、训练好的模型文件（K-Means + 4个RF分类器 + 5个Scaler）以及可交互的Web推荐系统原型。</w:t>
      </w:r>
    </w:p>
    <w:p>
      <w:pPr>
        <w:ind w:firstLine="420"/>
      </w:pPr>
      <w:r>
        <w:rPr>
          <w:b/>
          <w:sz w:val="24"/>
        </w:rPr>
        <w:t>关键词：</w:t>
      </w:r>
      <w:r>
        <w:rPr>
          <w:sz w:val="24"/>
        </w:rPr>
        <w:t>K-Means聚类；随机森林；MBTI人格预测；SMOTENC过采样；校园搭子推荐系统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一、实验环境与技术准备</w:t>
      </w:r>
    </w:p>
    <w:p>
      <w:pPr>
        <w:ind w:firstLine="420"/>
      </w:pPr>
      <w:r>
        <w:rPr>
          <w:sz w:val="24"/>
        </w:rPr>
        <w:t>开发环境：Windows 11 + Visual Studio Code + Anaconda（虚拟环境ML_Course），Python 3.x。核心依赖库：pandas（v1.5+，数据读取与DataFrame清洗）、numpy（v1.23+，数值计算）、scikit-learn（v1.2+，K-Means、RandomForestClassifier、StandardScaler、PCA、LeaveOneOut、cosine_similarity等）、matplotlib（v3.7+）与seaborn（v0.12+，8类可视化图表输出）、imbalanced-learn（v0.11+，SMOTENC过采样）、streamlit（v1.25+，Web前端）、flask + flask_cors（后端API）、python-docx（报告自动化生成）、pickle（模型持久化）。</w:t>
      </w:r>
    </w:p>
    <w:p>
      <w:pPr>
        <w:ind w:firstLine="420"/>
      </w:pPr>
      <w:r>
        <w:rPr>
          <w:sz w:val="24"/>
        </w:rPr>
        <w:t>数据集来源：自行设计的MBTI性格与大学生消费行为关联问卷，通过问卷星平台在线发放与回收。问卷涵盖基础信息（性别、年级、生活费来源与区间）、细分消费结构（餐饮伙食、社交娱乐、服饰美妆、学习发展、数码游戏五维）、消费行为与认知（决策习惯、看重因素、兴趣投入意愿）、MBTI性格快速自测（E/I、S/N、T/F、J/P四维各1题）和社交偏好共5大模块19道题目。原始数据69份，经清洗后得62条有效记录，保存为data_cleaned.csv（UTF-8编码），后续所有实验均基于此数据集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二、实验原理与实验方案</w:t>
      </w:r>
    </w:p>
    <w:p>
      <w:pPr>
        <w:ind w:firstLine="420"/>
      </w:pPr>
      <w:r>
        <w:rPr>
          <w:sz w:val="24"/>
        </w:rPr>
        <w:t>本实验涉及两种核心算法的工程实现与四种关键技术的应用：（1）K-Means聚类——基于欧氏距离的划分式聚类，核心流程为StandardScaler标准化、K=2到8遍历、肘部法则（Inertia拐点）+轮廓系数、确定K=4、n_init=10执行最终聚类。输入为7维消费特征（5维消费明细+月预算+兴趣投入），输出为0-3的群体标签。（2）随机森林分类器——Bagging集成方法，n_estimators=100棵树投票，正则化参数max_depth=5（防止过拟合）、min_samples_leaf=3（保证叶节点代表性）、class_weight=balanced（自动加权缓解不均衡）。以12维特征（7维消费+3维人口学+2维消费行为）为输入，分别预测MBTI四个维度。关键技术依次为：LOOCV留一法——将62份样本逐一作为测试集，其余61份训练，共进行62轮训练-评估循环；SMOTENC——在每轮LOOCV训练前对训练集进行过采样，类别特征索引为[7,8,9,11]（decision_style、priority_factor、gender、income_source）；Bootstrap 95% CI——对最终预测结果进行2000次有放回重采样，计算2.5%和97.5%分位数作为置信区间上下界；Dummy Classifier——以most_frequent策略（始终预测训练集中最多的类别）建立基线，评估模型是否真正超越简单规则。</w:t>
      </w:r>
    </w:p>
    <w:p>
      <w:pPr>
        <w:ind w:firstLine="420"/>
      </w:pPr>
      <w:r>
        <w:rPr>
          <w:sz w:val="24"/>
        </w:rPr>
        <w:t>实验方案按三阶段组织：阶段一执行phase1_clustering.py，依次完成数据加载（pd.read_excel）、列名映射（COLUMN_MAP字典）、数据清洗（duration_sec&lt;30s标记+五维消费全同标记，合并剔除）、StandardScaler标准化、肘部法则+轮廓系数图、K=4 K-Means聚类、群体画像（消费均值+MBTI分布）、4张可视化图（肘部+轮廓系数、雷达图、热力图、PCA散点图）、保存模型和清洗数据。阶段二执行phase2_mbti_classifier.py，依次完成数据加载、12维特征定义+类别特征索引、四维LOOCV循环（每维：LeaveOneOut.split、SMOTENC、StandardScaler、RF训练、预测、累积结果）、多指标计算（Acc、Macro F1、Precision、Recall、AUC-ROC）、Bootstrap CI、Dummy基线、4张可视化图（混淆矩阵、ROC曲线、指标对比、特征重要性）、关键发现输出、保存模型。阶段三执行phase3_app.py（Streamlit）或app.py（Flask），加载全部模型、用户输入消费画像、K-Means聚类获得群体标签、RF预测MBTI、Cosine相似度+MBTI互补+预算匹配+场景契合、输出TOP-5搭子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三、实验过程与代码实现</w:t>
      </w:r>
    </w:p>
    <w:p>
      <w:pPr>
        <w:ind w:firstLine="420"/>
      </w:pPr>
      <w:r>
        <w:rPr>
          <w:sz w:val="24"/>
        </w:rPr>
        <w:t>实验代码分为三个独立Python脚本和两个Web应用文件，总计约550行核心逻辑代码。所有代码均包含详细的中文注释，采用模块化设计原则，各阶段通过CSV和pickle文件进行数据交换，实现松耦合。以下分阶段展示关键代码段及注释。</w:t>
      </w:r>
    </w:p>
    <w:p>
      <w:pPr>
        <w:pStyle w:val="Heading2"/>
      </w:pPr>
      <w:r>
        <w:rPr>
          <w:rFonts w:ascii="黑体" w:hAnsi="黑体" w:eastAsia="黑体"/>
        </w:rPr>
        <w:t>3.1 阶段一：数据清洗与聚类（phase1_clustering.py，约250行）</w:t>
      </w:r>
    </w:p>
    <w:p>
      <w:pPr>
        <w:ind w:firstLine="420"/>
      </w:pPr>
      <w:r>
        <w:rPr>
          <w:sz w:val="24"/>
        </w:rPr>
        <w:t>阶段一首先使用pd.read_excel加载原始69条数据，通过COLUMN_MAP字典将19道中文问卷题目映射为英文变量名（如每月餐饮伙食映射为consume_food），同时定义LABEL_MAP字典为每个编码值关联可读标签（如gender的{1:男, 2:女}）。数据清洗的核心逻辑如下所示——通过两个布尔掩码分别标记填写时间过短（&lt;30秒）和五维消费答案完全相同的无效样本，合并后使用~dirty_mask布尔索引获得干净数据集：</w:t>
      </w:r>
    </w:p>
    <w:p>
      <w:r>
        <w:rPr>
          <w:rFonts w:ascii="黑体" w:hAnsi="黑体" w:eastAsia="黑体"/>
          <w:b/>
          <w:sz w:val="22"/>
        </w:rPr>
        <w:t>代码 3-1：数据清洗核心逻辑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/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4.1 解析填写时间（去掉"秒"字）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df['duration_sec'] = df['duration'].str.replace('秒', '', regex=False).astype(int)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4.2 脏数据检测规则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print('\n========== 数据清洗 ==========')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标记：填写时间过短（&lt;30秒即乱填）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fast_mask = df['duration_sec'] &lt; 30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print(f'[清洗] 填写时间 &lt;30秒: {fast_mask.sum()} 人 (已标记)')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标记：所有消费维度答案完全相同（可能是"全部选A"的应付答卷）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consume_cols = ['consume_food', 'consume_social', 'consume_fashion',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'consume_study', 'consume_digital']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all_same_mask = df[consume_cols].nunique(axis=1) ==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print(f'[清洗] 五维消费答案完全相同: {all_same_mask.sum()} 人 (已标记)')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注：已移除"MBTI四维全同"规则。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审查发现全部11条被标记记录均为真实ISTJ类型（全选"1"），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其中真正乱填者（#9,#10,#38）已被"时长&lt;30s"和"消费全同"两条规则兜底覆盖，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其余8人均为消费有差异、填写时长正常的有效样本。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合并脏数据标记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dirty_mask = fast_mask | all_same_mask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df['is_dirty'] = dirty_mask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df_clean = df[~dirty_mask].copy()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print(f'[清洗] 清洗前: {len(df)} 份 → 清洗后: {len(df_clean)} 份')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print(f'[清洗] 剔除: {dirty_mask.sum()} 份脏数据')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... (后续代码省略)</w:t>
            </w:r>
          </w:p>
        </w:tc>
      </w:tr>
    </w:tbl>
    <w:p/>
    <w:p>
      <w:pPr>
        <w:ind w:firstLine="420"/>
      </w:pPr>
      <w:r>
        <w:rPr>
          <w:sz w:val="24"/>
        </w:rPr>
        <w:t>清洗后的62条有效记录被用于后续分析。聚类阶段提取7维特征（5维消费明细consume_food/consume_social/consume_fashion/consume_study/consume_digital + monthly_budget + hobby_spend），经StandardScaler标准化后，以K=2到8遍历K-Means（n_init=10, random_state=42），通过以下肘部法则和轮廓系数代码确定最优K值：</w:t>
      </w:r>
    </w:p>
    <w:p>
      <w:r>
        <w:rPr>
          <w:rFonts w:ascii="黑体" w:hAnsi="黑体" w:eastAsia="黑体"/>
          <w:b/>
          <w:sz w:val="22"/>
        </w:rPr>
        <w:t>代码 3-2：肘部法则 + K-Means聚类核心代码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/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7. 肘部法则 — 确定最优 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inertias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silhouettes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K_range = range(2, 9)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for k in K_range: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km = KMeans(n_clusters=k, random_state=42, n_init=10)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labels = km.fit_predict(X_scaled)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inertias.append(km.inertia_)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silhouettes.append(silhouette_score(X_scaled, labels))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fig, axes = plt.subplots(1, 2, figsize=(12, 4))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axes[0].plot(K_range, inertias, 'bo-')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axes[0].set_xlabel('K (聚类数)')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axes[0].set_ylabel('Inertia (簇内平方和)')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axes[0].set_title('肘部法则 — Elbow Method')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axes[0].grid(True, alpha=0.3)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axes[1].plot(K_range, silhouettes, 'ro-')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axes[1].set_xlabel('K (聚类数)')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axes[1].set_ylabel('Silhouette Score')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axes[1].set_title('轮廓系数 — Silhouette Score')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axes[1].grid(True, alpha=0.3)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plt.tight_layout()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plt.savefig('output_elbow_silhouette.png', dpi=150, bbox_inches='tight')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plt.close()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print('\n[图表] 肘部法则图已保存: output_elbow_silhouette.png')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8. 执行 K-Means 聚类（此处以 K=4 为例，可根据肘部图调整）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OPTIMAL_K = 4  # ← 运行后根据肘部图手动调整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kmeans = KMeans(n_clusters=OPTIMAL_K, random_state=42, n_init=10)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df_clean['cluster'] = kmeans.fit_predict(X_scaled)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print(f'\n========== K-Means 聚类结果 (K={OPTIMAL_K}) ==========')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cluster_sizes = df_clean['cluster'].value_counts().sort_index()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for c in range(OPTIMAL_K):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print(f'  群体 {c}: {cluster_sizes.get(c, 0)} 人')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... (后续代码省略)</w:t>
            </w:r>
          </w:p>
        </w:tc>
      </w:tr>
    </w:tbl>
    <w:p/>
    <w:p>
      <w:pPr>
        <w:ind w:firstLine="420"/>
      </w:pPr>
      <w:r>
        <w:rPr>
          <w:sz w:val="24"/>
        </w:rPr>
        <w:t>最终K=4执行聚类，计算cluster_profile（群体均值），使用LABEL_MAP字典将数值映射为可读标签。雷达图绘制代码以7维特征为轴、四色折线展示群体差异；PCA降维散点图将12维特征投影到2维平面，验证聚类结果的合理性：</w:t>
      </w:r>
    </w:p>
    <w:p>
      <w:r>
        <w:rPr>
          <w:rFonts w:ascii="黑体" w:hAnsi="黑体" w:eastAsia="黑体"/>
          <w:b/>
          <w:sz w:val="22"/>
        </w:rPr>
        <w:t>代码 3-3：雷达图与PCA散点图可视化代码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/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10. 可视化 — 雷达图（群体对比）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def plot_radar():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"""绘制各消费群体的雷达图"""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categories = ['餐饮伙食', '社交娱乐', '服饰美妆', '学习发展', '数码游戏']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N = len(categories)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angles = np.linspace(0, 2 * np.pi, N, endpoint=False).tolist()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angles += angles[:1]  # 闭合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fig, ax = plt.subplots(figsize=(7, 7), subplot_kw=dict(polar=True))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colors = ['#e74c3c', '#3498db', '#2ecc71', '#f39c12', '#9b59b6']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for c in range(OPTIMAL_K):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values = cluster_profile.loc[c, consume_cols].values.tolist()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values += values[:1]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ax.fill(angles, values, alpha=0.1, color=colors[c])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ax.plot(angles, values, 'o-', linewidth=2, color=colors[c],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label=f'群体{c} (n={cluster_sizes[c]})')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ax.set_xticks(angles[:-1])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ax.set_xticklabels(categories, fontsize=11)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ax.set_ylim(0, 4.5)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ax.set_title(f'消费群体雷达图 (K={OPTIMAL_K})', fontsize=14, pad=20)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ax.legend(loc='upper right', bbox_to_anchor=(1.3, 1.1))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plt.tight_layout()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plt.savefig('output_radar.png', dpi=150, bbox_inches='tight')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plt.close()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print('[图表] 雷达图已保存: output_radar.png')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plot_radar()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============================================================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</w:rPr>
        <w:t>3.2 阶段二：MBTI分类预测（phase2_mbti_classifier.py，约350行）</w:t>
      </w:r>
    </w:p>
    <w:p>
      <w:pPr>
        <w:ind w:firstLine="420"/>
      </w:pPr>
      <w:r>
        <w:rPr>
          <w:sz w:val="24"/>
        </w:rPr>
        <w:t>阶段二是本次更新的核心内容。首先加载data_cleaned.csv的62条数据，构建12维特征矩阵（5消费明细+2辅助消费+2行为特征+3人口学），标记4个类别特征索引供SMOTENC使用。Bootstrap CI工具函数为小样本下的评估提供了统计严谨性保障：</w:t>
      </w:r>
    </w:p>
    <w:p>
      <w:r>
        <w:rPr>
          <w:rFonts w:ascii="黑体" w:hAnsi="黑体" w:eastAsia="黑体"/>
          <w:b/>
          <w:sz w:val="22"/>
        </w:rPr>
        <w:t>代码 3-4：Bootstrap 95%置信区间工具函数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/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2. Bootstrap CI 工具函数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def bootstrap_ci(metric_fn, y_true, y_pred, n_bootstrap=2000, alpha=0.05, **kwargs):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n = len(y_true)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scores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rng = np.random.RandomState(42)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for _ in range(n_bootstrap):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idx = rng.randint(0, n, 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 = metric_fn(y_true[idx], y_pred[idx], **kwargs)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scores.append(s)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np.percentile(scores, 100*alpha/2), np.percentile(scores, 100*(1-alpha/2))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def bootstrap_ci_auc(y_true_bin, y_proba, n_bootstrap=2000, alpha=0.05):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n = len(y_true_bin)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scores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rng = np.random.RandomState(42)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for _ in range(n_bootstrap):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idx = rng.randint(0, n, 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try: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s = roc_auc_score(y_true_bin[idx], y_proba[idx])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except ValueError: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s = 0.5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scores.append(s)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np.percentile(scores, 100*alpha/2), np.percentile(scores, 100*(1-alpha/2))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def bootstrap_ci_auc_multiclass(y_true, y_proba, n_bootstrap=2000, alpha=0.05):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"""Bootstrap 95% CI for macro AUC-ROC (multi-class OvR)"""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n = len(y_true)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classes = sorted(np.unique(y_true))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scores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rng = np.random.RandomState(42)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for _ in range(n_bootstrap):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idx = rng.randint(0, n, 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try: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y_bin = label_binarize(y_true[idx], classes=classes)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s = roc_auc_score(y_bin, y_proba[idx], average="macro", multi_class="ovr")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except ValueError: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s = 0.5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... (后续代码省略)</w:t>
            </w:r>
          </w:p>
        </w:tc>
      </w:tr>
    </w:tbl>
    <w:p/>
    <w:p>
      <w:pPr>
        <w:ind w:firstLine="420"/>
      </w:pPr>
      <w:r>
        <w:rPr>
          <w:sz w:val="24"/>
        </w:rPr>
        <w:t>对四个MBTI维度逐一进行LOOCV评估的完整训练循环如下。在每折训练中，对训练集动态应用SMOTENC过采样（k_neighbors自适应调整以适应样本量极小的折），StandardScaler标准化后训练RandomForestClassifier（100棵树，max_depth=5），对测试样本进行预测并收集概率输出：</w:t>
      </w:r>
    </w:p>
    <w:p>
      <w:r>
        <w:rPr>
          <w:rFonts w:ascii="黑体" w:hAnsi="黑体" w:eastAsia="黑体"/>
          <w:b/>
          <w:sz w:val="22"/>
        </w:rPr>
        <w:t>代码 3-5：LOOCV + SMOTENC训练循环核心代码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/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4. LOOCV + SMOTENC 训练与逐维度评估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results = {}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all_feature_importances = {}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for dim_name, tinfo in TARGETS.items():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col = tinfo['col']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y = df[col].values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n_classes = tinfo['n_classes']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labels_dict = tinfo['labels']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class_counts = pd.Series(y).value_counts().sort_index()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print(f'\n{"="*60}')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print(f'维度: {dim_name}  ({n_classes}分类)')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print(f'{"="*60}')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for k, v in class_counts.items():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print(f'  {labels_dict.get(k, k)}: {v} 人 ({v/len(y)*100:.1f}%)')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# --- LOOCV ---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loo = LeaveOneOut()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y_true_all, y_pred_all, y_proba_all = [], [],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for train_idx, test_idx in loo.split(X_all):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X_train_raw = X_all.iloc[train_idx].values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y_train = y[train_idx]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X_test_raw = X_all.iloc[test_idx].values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y_test = y[test_idx]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min_class_count = np.min(np.bincount(y_train))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smote_k = min(3, max(1, min_class_count - 1))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try: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if smote_k &gt;= 1 and min_class_count &gt; 1: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smote = SMOTENC(categorical_features=CATEGORICAL_INDICES,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                k_neighbors=smote_k, random_state=42)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X_train, y_train = smote.fit_resample(X_train_raw, y_train)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else: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X_train, y_train = X_train_raw, y_train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except Exception: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X_train, y_train = X_train_raw, y_train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scaler = StandardScaler()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X_train_s = scaler.fit_transform(X_train)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X_test_s = scaler.transform(X_test_raw)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rf = RandomForestClassifier(n_estimators=100, max_depth=5,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                     min_samples_leaf=3, class_weight='balanced',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                     random_state=42)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rf.fit(X_train_s, y_train)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y_pred = rf.predict(X_test_s)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y_proba = rf.predict_proba(X_test_s)[0]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</w:rPr>
        <w:t>3.3 阶段三：推荐系统部署（app.py/phase3_app.py，约250行）</w:t>
      </w:r>
    </w:p>
    <w:p>
      <w:pPr>
        <w:ind w:firstLine="420"/>
      </w:pPr>
      <w:r>
        <w:rPr>
          <w:sz w:val="24"/>
        </w:rPr>
        <w:t>Flask后端（app.py）使用@app.route装饰器定义RESTful API接口。启动时加载K-Means模型、4个RF模型和对应的Scaler。推荐算法的核心逻辑实现了多因子加权匹配策略——综合消费相似度（Cosine）、预算相容性（差值&lt;=1档得1分）、MBTI互补性（E/I互补充1，T/F互补）和场景契合度（匹配得1分），加权求和后返回TOP-5推荐：</w:t>
      </w:r>
    </w:p>
    <w:p>
      <w:r>
        <w:rPr>
          <w:rFonts w:ascii="黑体" w:hAnsi="黑体" w:eastAsia="黑体"/>
          <w:b/>
          <w:sz w:val="22"/>
        </w:rPr>
        <w:t>代码 3-6：多因子加权推荐算法核心代码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/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def recommend_matches(user_vec_7, user_mbti_str, user_scene, top_k=5):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"""综合推荐搭子"""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mbti_complement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('ENFP', 'INTJ'), ('ENTP', 'INFJ'), ('ESFP', 'ISTJ'), ('ESTP', 'ISFJ'),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('ENFJ', 'INTP'), ('ENTJ', 'INFP'), ('ESFJ', 'ISTP'), ('ESTJ', 'ISFP'),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scores = []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for idx, row in df_full.iterrows():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target_vec = row[feat_cols_7].values.astype(float)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cos_sim = cosine_similarity([user_vec_7], [target_vec])[0][0]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sim_score = (cos_sim + 1) / 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budget_diff = abs(user_vec_7[5] - target_vec[5])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budget_score = 1.0 if budget_diff &lt;= 1 else 0.5 if budget_diff &lt;= 2 else 0.0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target_mbti = row['mbti_str']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comp = 0.3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for a, b in mbti_complement: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if (user_mbti_str.startswith(a[:2]) and target_mbti.startswith(b[:2])) or \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(user_mbti_str.startswith(b[:2]) and target_mbti.startswith(a[:2])):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comp = 1.0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    break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scene_score = 1.0 if user_scene == row['scene_pref'] else 0.0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total = 0.40 * sim_score + 0.20 * budget_score + 0.20 * comp + 0.20 * scene_score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scores.append({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'index': int(idx),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'total': round(total, 4),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'sim': round(sim_score, 4),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'budget': round(budget_score, 4),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'complement': round(comp, 4),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'scene': round(scene_score, 4),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'mbti': row['mbti_str'],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'cluster': int(row['cluster']),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'cluster_name': CLUSTER_NAMES.get(row['cluster'], '?'),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'scene_pref': int(row['scene_pref']),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'monthly_budget': int(row['monthly_budget']),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'consume_food': int(row['consume_food']),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'consume_social': int(row['consume_social']),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'consume_fashion': int(row['consume_fashion']),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'consume_study': int(row['consume_study']),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})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scores.sort(key=lambda x: x['total'], reverse=True)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scores[:top_k]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</w:tc>
      </w:tr>
    </w:tbl>
    <w:p/>
    <w:p>
      <w:pPr>
        <w:ind w:firstLine="420"/>
      </w:pPr>
      <w:r>
        <w:rPr>
          <w:sz w:val="24"/>
        </w:rPr>
        <w:t>Flask REST API接口接收POST请求中的12维用户消费特征，依次执行聚类预测、四维MBTI预测、推荐计算，返回JSON格式结果：</w:t>
      </w:r>
    </w:p>
    <w:p>
      <w:r>
        <w:rPr>
          <w:rFonts w:ascii="黑体" w:hAnsi="黑体" w:eastAsia="黑体"/>
          <w:b/>
          <w:sz w:val="22"/>
        </w:rPr>
        <w:t>代码 3-7：Flask REST API /api/analyze 接口实现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0F0" w:val="clear"/>
          </w:tcPr>
          <w:p/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def analyze():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data = request.get_json()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if not data: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return jsonify({'error': '请提供JSON数据'}), 400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user_consume_7 = np.array([[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data['food'], data['social'], data['fashion'],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data['study'], data['digital'], data['budget'], data['hobby']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]])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defaults = df_full[feat_cols_12].mode().iloc[0].values.astype(float)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user_full_12 = np.array([[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data['food'], data['social'], data['fashion'],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data['study'], data['digital'], data['budget'],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data['hobby'], defaults[7], defaults[8],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defaults[9], defaults[10], defaults[11],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]])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user_scaled = scaler_cluster.transform(user_consume_7)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cluster_id = int(kmeans.predict(user_scaled)[0])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cluster_mask = df_full['cluster'] == cluster_id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cluster_mean = df_full[cluster_mask][feat_cols_7[:5]].mean().values.tolist()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cluster_size = int(cluster_mask.sum())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mbti_pred, mbti_str = predict_mbti_features(user_full_12)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scene = data.get('scene', 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matches = recommend_matches(user_consume_7[0], mbti_str, scene, top_k=5)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return jsonify({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'cluster':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'id': cluster_id,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'name': CLUSTER_NAMES[cluster_id],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'color': CLUSTER_COLORS[cluster_id],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'description': CLUSTER_DESC[cluster_id],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'size': cluster_size,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    'mean': cluster_mean,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},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'mbti': mbti_pred,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'mbti_str': mbti_str,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 xml:space="preserve">        'user_consume': user_consume_7[0].tolist(),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 w:eastAsia="Consolas"/>
                <w:sz w:val="15"/>
              </w:rPr>
              <w:t># ... (后续代码省略)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四、实验结果与可视化分析</w:t>
      </w:r>
    </w:p>
    <w:p>
      <w:pPr>
        <w:pStyle w:val="Heading2"/>
      </w:pPr>
      <w:r>
        <w:rPr>
          <w:rFonts w:ascii="黑体" w:hAnsi="黑体" w:eastAsia="黑体"/>
        </w:rPr>
        <w:t>4.1 聚类实验结果</w:t>
      </w:r>
    </w:p>
    <w:p>
      <w:pPr>
        <w:ind w:firstLine="420"/>
      </w:pPr>
      <w:r>
        <w:rPr>
          <w:sz w:val="24"/>
        </w:rPr>
        <w:t>肘部法则图显示K=2到3到4时Inertia下降速率从33.0到21.5到14.7，K=4处出现明显拐点，此后速率趋于平缓（K=5到6仅下降约6个单位）。轮廓系数在K=4时达到局部峰值0.1775（高于K=3的0.1655和K=5的0.1708），两指标联合判定最优K=4。K=4聚类结果显示：群体0（高消费数码型，n=12）预算最高（4.08），数码消费突出（3.17），兴趣投入高（2.08），主流MBTI为XNTP。群体1（节俭生存型，n=23）五维消费全部垫底，月预算均值仅2.13，主流MBTI为ISFP。群体2（社交体验型，n=14）社交消费最高（2.64），服饰消费第二（2.21），兴趣投入最低（1.14），主流MBTI为XSFP。群体3（自我提升型，n=13）学习消费最高（3.0），服饰消费同样最高（2.77），兴趣投入最高（2.38），主流MBTI为XNFP。</w:t>
      </w:r>
    </w:p>
    <w:p>
      <w:pPr>
        <w:ind w:firstLine="420"/>
      </w:pPr>
      <w:r>
        <w:rPr>
          <w:sz w:val="24"/>
        </w:rPr>
        <w:t>以下是本次实验生成的可视化图表，请在对应位置插入图片文件：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【插入图片】output_elbow_silhouette.png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肘部法则图（左：Inertia-K曲线，右：轮廓系数-K曲线）。展示K=2~8区间内两项指标的变化趋势，K=4处Inertia出现明显拐点且轮廓系数达局部峰值，联合验证最优聚类数。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【插入图片】output_radar.png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四类消费群体雷达图。以7维特征（餐饮、社交、服饰、学习、数码、月预算、兴趣）为轴，四条不同颜色折线展示群体消费轮廓差异：群体0在数码轴突出、群体1全面收缩、群体2在社交轴隆起、群体3在学习和兴趣轴双双突出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【插入图片】output_heatmap.png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消费群体特征热力图。以颜色深浅（YlOrRd配色）呈现群体×7维特征的均值矩阵，vmin=1, vmax=4，annot=True标注具体均值，直观对比各群体在不同消费维度的等级差异。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【插入图片】output_pca.png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PCA降维散点图。将7维特征经PCA压缩至2维平面（PC1+PC2解释约55%方差），四色散点代表四类群体，黑色X标记聚类中心位置，验证群体间存在适度分离趋势。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</w:rPr>
        <w:t>4.2 MBTI分类实验结果</w:t>
      </w:r>
    </w:p>
    <w:p>
      <w:pPr>
        <w:ind w:firstLine="420"/>
      </w:pPr>
      <w:r>
        <w:rPr>
          <w:sz w:val="24"/>
        </w:rPr>
        <w:t>四维分类的完整评估结果汇总如下：J/P生活风格维度表现最佳（Acc=58.06%, F1=0.580, AUC=0.647, 超Dummy基线+6.45%），两类F1均衡（J=0.57, P=0.59），选购看重因素为最强特征（重要性0.167）。S/N信息处理维度Acc最高（61.29%），但Macro F1仅0.495且AUC偏低（0.437），低于Dummy基线6.45%，社交娱乐消费为最强特征（重要性0.218）。E/I精力恢复维度受9份外倾样本限制，E类完全无法预测（F1=0.00），整体Acc仅48.39%，数码消费和性别分别为重要性第2和第1特征。T/F决策标准维度Acc最低（45.16%），低于Dummy基线11.29%，服饰美妆消费为最强特征（重要性0.191），支持情感型更关注外在形象的假设。四维平均Acc为53.23%，平均AUC为0.470。</w:t>
      </w:r>
    </w:p>
    <w:p>
      <w:pPr>
        <w:ind w:firstLine="420"/>
      </w:pPr>
      <w:r>
        <w:rPr>
          <w:sz w:val="24"/>
        </w:rPr>
        <w:t>以下为Phase2生成的四类评估可视化图表，请在对应位置插入：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【插入图片】output_confusion_matrices.png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四维混淆矩阵。4个子图分别展示E/I、S/N、T/F、J/P四维的预测分布，对角线颜色深浅反映分类准确情况——J/P对角线颜色最深，S/N次之，E/I的E类对角线几乎无色（模型完全无法预测外倾类型）。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【插入图片】output_roc_curves.png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ROC曲线图。绘制S/N、T/F、J/P三个二分类维度的ROC曲线，J/P的曲线最接近左上角（AUC=0.647），T/F的曲线徘徊在对角线附近（AUC=0.505），展示各维度对不同类别的区分能力。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【插入图片】output_metrics_comparison.png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四维指标对比柱状图。并排展示Accuracy、Macro F1、AUC三项指标与Dummy基线，直观呈现各维度的预测难度差异：J/P维度各项优异，T/F维度低于Dummy基线。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4A90D9"/>
                <w:sz w:val="22"/>
              </w:rPr>
              <w:t>【插入图片】output_feature_importance.png</w:t>
            </w:r>
          </w:p>
          <w:p>
            <w:pPr>
              <w:jc w:val="center"/>
            </w:pPr>
            <w:r>
              <w:rPr>
                <w:color w:val="666666"/>
                <w:sz w:val="20"/>
              </w:rPr>
              <w:t>四维特征重要性条形图。4个子图分别展示12维特征对每个MBTI维度的预测贡献度（Gini importance），社交娱乐、性别、服饰美妆、看重因素分别在S/N、E/I、T/F、J/P维度中排名第一。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</w:rPr>
        <w:t>4.3 推荐系统演示</w:t>
      </w:r>
    </w:p>
    <w:p>
      <w:pPr>
        <w:ind w:firstLine="420"/>
      </w:pPr>
      <w:r>
        <w:rPr>
          <w:sz w:val="24"/>
        </w:rPr>
        <w:t>Streamlit Web应用实现了端到端的用户交互流程：用户通过滑块和下拉框输入12维消费画像后，系统实时返回聚类群体标签（如社交体验型）、MBTI四维预测结果（如ESFP）和TOP-5搭子推荐（含匹配得分、群体标签、MBTI类型和推荐理由）。在62份样本的内部测试中，推荐结果展现出合理的匹配逻辑：预算相近、消费结构相似的搭子排名靠前；MBTI互补的搭子（如E型推荐I型）获得额外加分；场景偏好匹配的用户排在同类场景用户前面。系统响应时间在Streamlit框架下保持在1秒以内（模型预加载+缓存机制），满足实时交互的体验要求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五、实验总结与反思</w:t>
      </w:r>
    </w:p>
    <w:p>
      <w:pPr>
        <w:ind w:firstLine="420"/>
      </w:pPr>
      <w:r>
        <w:rPr>
          <w:sz w:val="24"/>
        </w:rPr>
        <w:t>本实验成功完成以下目标：（1）掌握了K-Means聚类算法的完整实现流程，包括数据标准化、最优K值确定（肘部法则+轮廓系数联合验证）、聚类结果的多维可视化解读（雷达图、热力图、PCA散点图）。（2）深入实践了Random Forest分类器的训练、评估与调优，深刻理解了LOOCV在小样本场景下相较于传统train_test_split的显著优势。（3）掌握了SMOTENC对混合型数据类别不平衡的处理机制，以及Bootstrap置信区间对模型评估不确定性的量化方法。（4）运用Streamlit和Flask双框架将训练好的模型部署为可交互的Web推荐系统，实现了从数据到产品的完整机器学习项目闭环。（5）通过Dummy Classifier基线的引入，培养了批判性评估模型性能的科学态度——避免被高Accuracy误导。</w:t>
      </w:r>
    </w:p>
    <w:p>
      <w:pPr>
        <w:ind w:firstLine="420"/>
      </w:pPr>
      <w:r>
        <w:rPr>
          <w:sz w:val="24"/>
        </w:rPr>
        <w:t>反思实验过程，主要局限性与改进方向包括：（1）数据层面——62份样本在机器学习中属于极小样本，E/I维度仅9份E类样本是最大的瓶颈。未来可尝试使用SDV GaussianCopulaSynthesizer生成合成数据扩充至200-300条，或引入校园一卡通消费流水等客观数据源。（2）特征工程——当前的12维特征完全基于问卷设计，缺乏交叉特征和组合特征。可尝试多项式特征生成（PolynomialFeatures）或基于聚类的特征构造（Cluster Distance Features）来增强模型表达能力。（3）模型选择——当前仅使用RF一种分类器，未进行模型对比。后续可引入XGBoost、LightGBM、SVM、MLP等多种模型，通过统计检验（如McNemar检验）判断差异是否显著。（4）超参数调优——当前RF参数（max_depth=5等）由经验设定，可通过GridSearchCV或Optuna贝叶斯优化在LOOCV框架内进行超参数搜索。（5）聚类方法——K-Means对簇形状的球形假设在实际数据中可能不完全满足，可尝试DBSCAN（发现任意形状的簇）或GMM（支持非等方差的高斯混合模型）进行对比实验。</w:t>
      </w:r>
    </w:p>
    <w:p>
      <w:pPr>
        <w:ind w:firstLine="420"/>
      </w:pPr>
      <w:r>
        <w:rPr>
          <w:sz w:val="24"/>
        </w:rPr>
        <w:t>在技能成长方面，本次实验使团队成员在实践中掌握了：Python机器学习生态（scikit-learn + pandas + matplotlib）的完整使用、小样本场景下的模型评估策略设计、数据清洗的工程化方法（列名映射+脏数据标记+布尔索引过滤）、模型持久化和Web部署（pickle + Flask/Streamlit）等核心技能，为后续从事机器学习相关研究和工程开发奠定了坚实基础。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