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星地激光通信信号处理关键技术研究"/>
    <w:p>
      <w:pPr>
        <w:pStyle w:val="Heading1"/>
      </w:pPr>
      <w:r>
        <w:t xml:space="preserve">星地激光通信信号处理关键技术研究</w:t>
      </w:r>
    </w:p>
    <w:p>
      <w:pPr>
        <w:pStyle w:val="FirstParagraph"/>
      </w:pPr>
      <w:r>
        <w:t xml:space="preserve">（框架初稿，用于导师审阅）</w:t>
      </w:r>
    </w:p>
    <w:p>
      <w:r>
        <w:pict>
          <v:rect style="width:0;height:1.5pt" o:hralign="center" o:hrstd="t" o:hr="t"/>
        </w:pict>
      </w:r>
    </w:p>
    <w:bookmarkStart w:id="27" w:name="第一章-绪论"/>
    <w:p>
      <w:pPr>
        <w:pStyle w:val="Heading2"/>
      </w:pPr>
      <w:r>
        <w:t xml:space="preserve">第一章 绪论</w:t>
      </w:r>
    </w:p>
    <w:bookmarkStart w:id="20" w:name="研究背景与意义"/>
    <w:p>
      <w:pPr>
        <w:pStyle w:val="Heading3"/>
      </w:pPr>
      <w:r>
        <w:t xml:space="preserve">1.1 研究背景与意义</w:t>
      </w:r>
    </w:p>
    <w:p>
      <w:pPr>
        <w:pStyle w:val="FirstParagraph"/>
      </w:pPr>
      <w:r>
        <w:t xml:space="preserve">随着低轨（LEO）卫星星座的大规模部署，空间通信网络正从地面延伸至太空。以Starlink、OneWeb为代表的低轨星座已发射数千颗卫星，提供全球宽带覆盖服务</w:t>
      </w:r>
      <w:r>
        <w:rPr>
          <w:vertAlign w:val="superscript"/>
        </w:rPr>
        <w:t xml:space="preserve">[1]</w:t>
      </w:r>
      <w:r>
        <w:t xml:space="preserve">。射频通信受限于可用频谱资源和传输速率瓶颈，难以满足未来空间网络对超高速数据传输的需求。自由空间光（FSO）通信凭借宽频带、抗干扰、无需频段授权等优势，成为突破射频瓶颈的关键技术方向</w:t>
      </w:r>
      <w:r>
        <w:rPr>
          <w:vertAlign w:val="superscript"/>
        </w:rPr>
        <w:t xml:space="preserve">[2]</w:t>
      </w:r>
      <w:r>
        <w:t xml:space="preserve">。近年来，星地激光通信已从实验室走向工程实践。美国NASA的LCRD项目、欧洲ESA的EDRS系统以及中国的星地激光通信试验均验证了Gbps级星地激光链路的可行性。</w:t>
      </w:r>
    </w:p>
    <w:p>
      <w:pPr>
        <w:pStyle w:val="BodyText"/>
      </w:pPr>
      <w:r>
        <w:t xml:space="preserve">然而，星地激光链路面临的核心挑战在于大气信道。激光束穿过大气层时，大气衰减和湍流效应共同导致信号损伤。大气衰减造成确定性的功率损耗，大气湍流引发随机的光强起伏和相位扰动，是限制星地链路性能的主要因素。在Gamma-Gamma强湍流条件下，20 dB平均信噪比下系统误码率从</w:t>
      </w:r>
      <m:oMath>
        <m:sSup>
          <m:e>
            <m:r>
              <m:t>10</m:t>
            </m:r>
          </m:e>
          <m:sup>
            <m:r>
              <m:rPr>
                <m:sty m:val="p"/>
              </m:rPr>
              <m:t>−</m:t>
            </m:r>
            <m:r>
              <m:t>3</m:t>
            </m:r>
          </m:sup>
        </m:sSup>
      </m:oMath>
      <w:r>
        <w:t xml:space="preserve">恶化至0.34，几乎无法通信</w:t>
      </w:r>
      <w:r>
        <w:rPr>
          <w:vertAlign w:val="superscript"/>
        </w:rPr>
        <w:t xml:space="preserve">[3]</w:t>
      </w:r>
      <w:r>
        <w:t xml:space="preserve">。仅靠链路预算余量无法补偿湍流带来的损伤，必须依靠信号处理技术进行主动补偿。</w:t>
      </w:r>
    </w:p>
    <w:p>
      <w:pPr>
        <w:pStyle w:val="BodyText"/>
      </w:pPr>
      <w:r>
        <w:t xml:space="preserve">信号处理是应对大气湍流影响的关键手段，也是成本最低的技术路径。相较于自适应光学等硬件方案，数字信号处理在接收端以软件算法实现湍流补偿，无需额外光学器件，具有灵活性和可升级性。具体而言，三个信号处理环节构成星地激光通信的抗湍流核心：信道估计获取湍流信道状态信息，载波同步恢复相干检测所需的载波，均衡消除湍流引起的码间串扰。其中，信道估计和载波同步是相干检测系统的必要环节，其性能直接决定链路质量。</w:t>
      </w:r>
    </w:p>
    <w:p>
      <w:pPr>
        <w:pStyle w:val="BodyText"/>
      </w:pPr>
      <w:r>
        <w:t xml:space="preserve">因此，研究星地激光通信中的信号处理关键技术，对于提升低轨卫星通信系统的可靠性和传输容量具有理论意义和工程价值。本文围绕信道估计和载波同步两个核心环节，系统研究Gamma-Gamma湍流信道下的估计精度需求分析和湍流自适应载波同步算法，并完成FPGA硬件验证。</w:t>
      </w:r>
    </w:p>
    <w:bookmarkEnd w:id="20"/>
    <w:bookmarkStart w:id="24" w:name="国内外研究现状"/>
    <w:p>
      <w:pPr>
        <w:pStyle w:val="Heading3"/>
      </w:pPr>
      <w:r>
        <w:t xml:space="preserve">1.2 国内外研究现状</w:t>
      </w:r>
    </w:p>
    <w:bookmarkStart w:id="21" w:name="大气湍流信道估计研究现状"/>
    <w:p>
      <w:pPr>
        <w:pStyle w:val="Heading4"/>
      </w:pPr>
      <w:r>
        <w:t xml:space="preserve">1.2.1 大气湍流信道估计研究现状</w:t>
      </w:r>
    </w:p>
    <w:p>
      <w:pPr>
        <w:pStyle w:val="FirstParagraph"/>
      </w:pPr>
      <w:r>
        <w:t xml:space="preserve">大气湍流信道估计的目标是从含噪接收信号中恢复信道状态信息。传统方法基于导频辅助体制，主要包括最小二乘（LS）、最小均方误差（MMSE）和卡尔曼滤波三类。</w:t>
      </w:r>
    </w:p>
    <w:p>
      <w:pPr>
        <w:pStyle w:val="BodyText"/>
      </w:pPr>
      <w:r>
        <w:t xml:space="preserve">LS估计器结构简单、无需信道先验，但在低信噪比下噪声放大严重。在20 dB平均信噪比下，LS在三档湍流（弱、中、强）下的归一化均方误差（NMSE）为-19.6至-17.0 dB</w:t>
      </w:r>
      <w:r>
        <w:rPr>
          <w:vertAlign w:val="superscript"/>
        </w:rPr>
        <w:t xml:space="preserve">[4]</w:t>
      </w:r>
      <w:r>
        <w:t xml:space="preserve">。MMSE估计器利用信道二阶统计量抑制噪声，精度最优，但性能严重依赖信道统计先验知识的准确性。卡尔曼滤波通过自回归模型跟踪信道时变特性，适合湍流信道的慢衰落特点，但模型阶数选择直接影响跟踪性能。三类传统方法的共同局限在于需要导频序列，导频开销通常为5%至10%，等效信噪比损失约0.5至1 dB。</w:t>
      </w:r>
    </w:p>
    <w:p>
      <w:pPr>
        <w:pStyle w:val="BodyText"/>
      </w:pPr>
      <w:r>
        <w:t xml:space="preserve">近年来，深度学习方法为FSO信道估计提供了新的技术路径。该类方法的核心优势在于无需导频序列即可实现信道估计。Amirabadi等人提出基于神经网络的无导频信道估计方案，在弱湍流下与完美信道估计仅差1.5至2 dB，展现出逼近最优估计的潜力</w:t>
      </w:r>
      <w:r>
        <w:rPr>
          <w:vertAlign w:val="superscript"/>
        </w:rPr>
        <w:t xml:space="preserve">[5]</w:t>
      </w:r>
      <w:r>
        <w:t xml:space="preserve">。Elfiky和Rezzi进一步在Gamma-Gamma湍流信道下设计了双输入神经网络估计器，MSE性能与最优MMSE持平，且计算复杂度降低15%</w:t>
      </w:r>
      <w:r>
        <w:rPr>
          <w:vertAlign w:val="superscript"/>
        </w:rPr>
        <w:t xml:space="preserve">[6]</w:t>
      </w:r>
      <w:r>
        <w:t xml:space="preserve">。Mohammed等人结合CNN和BiLSTM提取空间-时间特征，在强湍流下仍保持稳定估计</w:t>
      </w:r>
      <w:r>
        <w:rPr>
          <w:vertAlign w:val="superscript"/>
        </w:rPr>
        <w:t xml:space="preserve">[7]</w:t>
      </w:r>
      <w:r>
        <w:t xml:space="preserve">。然而，深度学习方法存在泛化性边界。已有研究表明，当信噪比超过23 dB时，部分深度学习估计器出现性能退化，跨湍流强度的泛化能力仍需深入分析。</w:t>
      </w:r>
    </w:p>
    <w:p>
      <w:pPr>
        <w:pStyle w:val="BodyText"/>
      </w:pPr>
      <w:r>
        <w:t xml:space="preserve">总体而言，现有信道估计研究关注估计器本身的NMSE指标，但NMSE与载波同步等下游模块性能之间的定量级联关系尚未被建立。信道估计器的输出并非最终目标，其精度需满足后续载波同步的工作要求。估计器设计缺乏面向系统级性能的指导准则，这是当前研究的核心空白之一。</w:t>
      </w:r>
    </w:p>
    <w:bookmarkEnd w:id="21"/>
    <w:bookmarkStart w:id="22" w:name="低轨卫星激光通信载波同步研究现状"/>
    <w:p>
      <w:pPr>
        <w:pStyle w:val="Heading4"/>
      </w:pPr>
      <w:r>
        <w:t xml:space="preserve">1.2.2 低轨卫星激光通信载波同步研究现状</w:t>
      </w:r>
    </w:p>
    <w:p>
      <w:pPr>
        <w:pStyle w:val="FirstParagraph"/>
      </w:pPr>
      <w:r>
        <w:t xml:space="preserve">载波同步是相干检测系统的核心技术环节，包括频偏估计（FOE）和载波相位恢复（CPR）两个步骤。在光纤通信中，基于FFT的频偏估计和Viterbi-Viterbi（VV）/盲相位搜索（BPS）载波相位恢复已高度成熟。但星地激光通信面临新的挑战：低轨卫星运动引入的多普勒频偏范围可达</w:t>
      </w:r>
      <m:oMath>
        <m:r>
          <m:rPr>
            <m:sty m:val="p"/>
          </m:rPr>
          <m:t>±</m:t>
        </m:r>
        <m:r>
          <m:t>8</m:t>
        </m:r>
      </m:oMath>
      <w:r>
        <w:t xml:space="preserve"> </w:t>
      </w:r>
      <w:r>
        <w:t xml:space="preserve">GHz，变化率约150 MHz/s</w:t>
      </w:r>
      <w:r>
        <w:rPr>
          <w:vertAlign w:val="superscript"/>
        </w:rPr>
        <w:t xml:space="preserve">[8]</w:t>
      </w:r>
      <w:r>
        <w:t xml:space="preserve">，远超光纤通信中的频偏量级。</w:t>
      </w:r>
    </w:p>
    <w:p>
      <w:pPr>
        <w:pStyle w:val="BodyText"/>
      </w:pPr>
      <w:r>
        <w:t xml:space="preserve">针对LEO多普勒频偏，现有研究从两个方向展开。一是星历预补偿方案：利用卫星轨道参数预测多普勒频偏并进行预补偿，将残余频偏降至FFT-FOE可处理范围</w:t>
      </w:r>
      <w:r>
        <w:rPr>
          <w:vertAlign w:val="superscript"/>
        </w:rPr>
        <w:t xml:space="preserve">[9]</w:t>
      </w:r>
      <w:r>
        <w:t xml:space="preserve">。Fernandes等人提出自适应符号率与概率星座整形联合方案，在600 Gbps传输中有效抑制多普勒引起的非对称滤波损伤</w:t>
      </w:r>
      <w:r>
        <w:rPr>
          <w:vertAlign w:val="superscript"/>
        </w:rPr>
        <w:t xml:space="preserve">[9]</w:t>
      </w:r>
      <w:r>
        <w:t xml:space="preserve">。二是数字载波恢复方案：Zhao等人在LEO相干激光通信中实现联合多普勒和相位噪声补偿，固定参数下损失小于0.5 dB</w:t>
      </w:r>
      <w:r>
        <w:rPr>
          <w:vertAlign w:val="superscript"/>
        </w:rPr>
        <w:t xml:space="preserve">[8]</w:t>
      </w:r>
      <w:r>
        <w:t xml:space="preserve">。Wang等人设计了实时多普勒跟踪FPGA方案，覆盖</w:t>
      </w:r>
      <m:oMath>
        <m:r>
          <m:rPr>
            <m:sty m:val="p"/>
          </m:rPr>
          <m:t>±</m:t>
        </m:r>
        <m:r>
          <m:t>8</m:t>
        </m:r>
      </m:oMath>
      <w:r>
        <w:t xml:space="preserve"> </w:t>
      </w:r>
      <w:r>
        <w:t xml:space="preserve">GHz频偏范围</w:t>
      </w:r>
      <w:r>
        <w:rPr>
          <w:vertAlign w:val="superscript"/>
        </w:rPr>
        <w:t xml:space="preserve">[10]</w:t>
      </w:r>
      <w:r>
        <w:t xml:space="preserve">。</w:t>
      </w:r>
    </w:p>
    <w:p>
      <w:pPr>
        <w:pStyle w:val="BodyText"/>
      </w:pPr>
      <w:r>
        <w:t xml:space="preserve">然而，上述方案均未建模大气湍流对载波同步精度的影响。Gamma-Gamma湍流导致瞬时信噪比剧烈波动，直接影响FFT频偏估计的检测可靠性和VV载波相位恢复的方差。理论分析表明，在中强湍流下</w:t>
      </w:r>
      <m:oMath>
        <m:r>
          <m:t>E</m:t>
        </m:r>
        <m:d>
          <m:dPr>
            <m:begChr m:val="["/>
            <m:endChr m:val="]"/>
            <m:sepChr m:val=""/>
            <m:grow/>
          </m:dPr>
          <m:e>
            <m:r>
              <m:t>1</m:t>
            </m:r>
            <m:r>
              <m:rPr>
                <m:sty m:val="p"/>
              </m:rPr>
              <m:t>/</m:t>
            </m:r>
            <m:sSup>
              <m:e>
                <m:r>
                  <m:t>h</m:t>
                </m:r>
              </m:e>
              <m:sup>
                <m:r>
                  <m:t>2</m:t>
                </m:r>
              </m:sup>
            </m:sSup>
          </m:e>
        </m:d>
      </m:oMath>
      <w:r>
        <w:t xml:space="preserve">发散，固定参数VV算法的理论方差无穷大。这意味着固定参数方案在湍流环境下存在结构性缺陷。目前尚无文献提出根据湍流强度自适应调整载波同步参数的方案，FOE与CPR的联合参数优化也处于空白状态。Safi等人曾分析两级联链（信道估计到自适应编码），但仅限于IM/DD系统，未涉及相干检测中的载波同步</w:t>
      </w:r>
      <w:r>
        <w:rPr>
          <w:vertAlign w:val="superscript"/>
        </w:rPr>
        <w:t xml:space="preserve">[11]</w:t>
      </w:r>
      <w:r>
        <w:t xml:space="preserve">。</w:t>
      </w:r>
    </w:p>
    <w:bookmarkEnd w:id="22"/>
    <w:bookmarkStart w:id="23" w:name="现有研究不足与本文切入点"/>
    <w:p>
      <w:pPr>
        <w:pStyle w:val="Heading4"/>
      </w:pPr>
      <w:r>
        <w:t xml:space="preserve">1.2.3 现有研究不足与本文切入点</w:t>
      </w:r>
    </w:p>
    <w:p>
      <w:pPr>
        <w:pStyle w:val="FirstParagraph"/>
      </w:pPr>
      <w:r>
        <w:t xml:space="preserve">综合以上分析，当前星地激光通信信号处理研究存在三方面不足。</w:t>
      </w:r>
    </w:p>
    <w:p>
      <w:pPr>
        <w:pStyle w:val="BodyText"/>
      </w:pPr>
      <w:r>
        <w:t xml:space="preserve">其一，信道估计缺乏面向下游模块的精度需求分析。现有研究关注估计器本身的NMSE指标，但NMSE与载波同步误码率性能之间的定量级联关系未被建立。估计器设计缺乏面向系统级性能的指导，无法回答”估计精度需要达到多少才够”这一工程问题。</w:t>
      </w:r>
    </w:p>
    <w:p>
      <w:pPr>
        <w:pStyle w:val="BodyText"/>
      </w:pPr>
      <w:r>
        <w:t xml:space="preserve">其二，载波同步缺乏湍流自适应机制。现有载波同步方案假设信道为AWGN或已知衰落，未考虑Gamma-Gamma湍流导致的瞬时信噪比波动对频偏估计和载波相位恢复的影响。湍流自适应的FOE窗口长度、VV平滑窗口和DPLL环路带宽的解析设计均为空白。</w:t>
      </w:r>
    </w:p>
    <w:p>
      <w:pPr>
        <w:pStyle w:val="BodyText"/>
      </w:pPr>
      <w:r>
        <w:t xml:space="preserve">其三，从信道估计到载波同步的端到端设计指导缺失。信道估计精度如何影响载波同步性能，两者之间的灵敏度差异如何，估计器设计应优先满足何种精度需求——这些问题没有系统性的定量回答。</w:t>
      </w:r>
    </w:p>
    <w:p>
      <w:pPr>
        <w:pStyle w:val="BodyText"/>
      </w:pPr>
      <w:r>
        <w:t xml:space="preserve">本文从上述不足切入，以Gamma-Gamma湍流信道为统一模型，研究信道估计精度对下游信号处理模块的级联灵敏度差异，并设计湍流自适应的载波同步算法。</w:t>
      </w:r>
    </w:p>
    <w:bookmarkEnd w:id="23"/>
    <w:bookmarkEnd w:id="24"/>
    <w:bookmarkStart w:id="25" w:name="论文主要研究内容与章节安排"/>
    <w:p>
      <w:pPr>
        <w:pStyle w:val="Heading3"/>
      </w:pPr>
      <w:r>
        <w:t xml:space="preserve">1.3 论文主要研究内容与章节安排</w:t>
      </w:r>
    </w:p>
    <w:p>
      <w:pPr>
        <w:pStyle w:val="FirstParagraph"/>
      </w:pPr>
      <w:r>
        <w:t xml:space="preserve">本文围绕星地激光通信信号处理的关键技术展开研究，全文共六章，各章内容安排如下。</w:t>
      </w:r>
    </w:p>
    <w:p>
      <w:pPr>
        <w:pStyle w:val="BodyText"/>
      </w:pPr>
      <w:r>
        <w:t xml:space="preserve">第二章建立星地激光通信系统与信道模型。定义QPSK相干检测系统架构、信号模型和噪声模型，引入Gamma-Gamma大气湍流信道分布及其参数确定方法，完成星地链路预算分析，为后续章节提供统一的模型基础和参数体系。</w:t>
      </w:r>
    </w:p>
    <w:p>
      <w:pPr>
        <w:pStyle w:val="BodyText"/>
      </w:pPr>
      <w:r>
        <w:t xml:space="preserve">第三章研究大气湍流信道估计技术。对比LS、MMSE、卡尔曼滤波和深度学习四类估计方法在不同湍流强度下的性能。本章核心贡献在于量化估计精度对载波同步和功率预补偿的级联灵敏度差异——载波同步对估计误差鲁棒，功率预补偿对估计误差极度敏感——为估计器设计提供面向系统的精度需求指导。</w:t>
      </w:r>
    </w:p>
    <w:p>
      <w:pPr>
        <w:pStyle w:val="BodyText"/>
      </w:pPr>
      <w:r>
        <w:t xml:space="preserve">第四章设计低轨星地载波同步算法。基于第三章的设计约束，提出湍流强度自适应的载波同步方案，推导FFT频偏估计自适应窗口、VV载波相位恢复最优窗口和DPLL最优环路带宽三个解析公式，实现从弱到强湍流的全覆盖。</w:t>
      </w:r>
    </w:p>
    <w:p>
      <w:pPr>
        <w:pStyle w:val="BodyText"/>
      </w:pPr>
      <w:r>
        <w:t xml:space="preserve">第五章完成关键算法的FPGA设计与实现。将第四章的自适应载波同步算法映射到FPGA硬件平台，完成资源评估、时序约束和功能验证。</w:t>
      </w:r>
    </w:p>
    <w:p>
      <w:pPr>
        <w:pStyle w:val="BodyText"/>
      </w:pPr>
      <w:r>
        <w:t xml:space="preserve">第六章总结全文工作，并对未来研究方向进行展望。</w:t>
      </w:r>
    </w:p>
    <w:p>
      <w:pPr>
        <w:pStyle w:val="BodyText"/>
      </w:pPr>
      <w:r>
        <w:t xml:space="preserve">各章之间的递进关系为：第二章建立模型基础，第三章在模型基础上研究信道估计并分析精度需求，第四章基于精度需求设计载波同步算法，第五章完成硬件实现验证，第六章总结与展望。从建模到估计、从估计到同步、从算法到硬件，形成完整的论证链条。</w:t>
      </w:r>
    </w:p>
    <w:bookmarkEnd w:id="25"/>
    <w:bookmarkStart w:id="26" w:name="本文创新点"/>
    <w:p>
      <w:pPr>
        <w:pStyle w:val="Heading3"/>
      </w:pPr>
      <w:r>
        <w:t xml:space="preserve">1.4 本文创新点</w:t>
      </w:r>
    </w:p>
    <w:p>
      <w:pPr>
        <w:pStyle w:val="FirstParagraph"/>
      </w:pPr>
      <w:r>
        <w:t xml:space="preserve">本文的主要创新点包括以下三个方面。</w:t>
      </w:r>
    </w:p>
    <w:p>
      <w:pPr>
        <w:pStyle w:val="BodyText"/>
      </w:pPr>
      <w:r>
        <w:t xml:space="preserve">（1）首次系统分析了Gamma-Gamma湍流信道估计精度对不同下游信号处理模块的级联灵敏度差异。通过定量实验揭示载波同步对估计误差的鲁棒性与功率预补偿对估计误差的脆弱性之间的巨大差距。NMSE</w:t>
      </w:r>
      <m:oMath>
        <m:r>
          <m:rPr>
            <m:sty m:val="p"/>
          </m:rPr>
          <m:t>≥</m:t>
        </m:r>
        <m:r>
          <m:rPr>
            <m:sty m:val="p"/>
          </m:rPr>
          <m:t>−</m:t>
        </m:r>
        <m:r>
          <m:t>10</m:t>
        </m:r>
      </m:oMath>
      <w:r>
        <w:t xml:space="preserve"> </w:t>
      </w:r>
      <w:r>
        <w:t xml:space="preserve">dB时载波同步6/6场景全部通过，而功率预补偿在任意噪声下全部失败。该结果为星地激光通信系统的估计器设计提供了面向系统级性能的定量指导准则。</w:t>
      </w:r>
    </w:p>
    <w:p>
      <w:pPr>
        <w:pStyle w:val="BodyText"/>
      </w:pPr>
      <w:r>
        <w:t xml:space="preserve">（2）提出了湍流强度自适应的LEO星地载波同步算法。推导了三个解析公式：频偏估计自适应窗口</w:t>
      </w:r>
      <m:oMath>
        <m:sSub>
          <m:e>
            <m:r>
              <m:t>N</m:t>
            </m:r>
          </m:e>
          <m:sub>
            <m:r>
              <m:rPr>
                <m:nor/>
                <m:sty m:val="p"/>
              </m:rPr>
              <m:t>opt</m:t>
            </m:r>
          </m:sub>
        </m:sSub>
        <m:r>
          <m:rPr>
            <m:sty m:val="p"/>
          </m:rPr>
          <m:t>=</m:t>
        </m:r>
        <m:r>
          <m:t>80</m:t>
        </m:r>
        <m:r>
          <m:rPr>
            <m:sty m:val="p"/>
          </m:rPr>
          <m:t>/</m:t>
        </m:r>
        <m:d>
          <m:dPr>
            <m:begChr m:val="("/>
            <m:endChr m:val=")"/>
            <m:sepChr m:val=""/>
            <m:grow/>
          </m:dPr>
          <m:e>
            <m:acc>
              <m:accPr>
                <m:chr m:val="‾"/>
              </m:accPr>
              <m:e>
                <m:r>
                  <m:t>γ</m:t>
                </m:r>
              </m:e>
            </m:acc>
            <m:r>
              <m:rPr>
                <m:sty m:val="p"/>
              </m:rPr>
              <m:t>⋅</m:t>
            </m:r>
            <m:sSup>
              <m:e>
                <m:r>
                  <m:t>h</m:t>
                </m:r>
              </m:e>
              <m:sup>
                <m:r>
                  <m:t>4</m:t>
                </m:r>
              </m:sup>
            </m:sSup>
          </m:e>
        </m:d>
      </m:oMath>
      <w:r>
        <w:t xml:space="preserve">、载波相位恢复最优窗口</w:t>
      </w:r>
      <m:oMath>
        <m:sSub>
          <m:e>
            <m:r>
              <m:t>M</m:t>
            </m:r>
          </m:e>
          <m:sub>
            <m:r>
              <m:rPr>
                <m:nor/>
                <m:sty m:val="p"/>
              </m:rPr>
              <m:t>opt</m:t>
            </m:r>
          </m:sub>
        </m:sSub>
        <m:r>
          <m:rPr>
            <m:sty m:val="p"/>
          </m:rPr>
          <m:t>=</m:t>
        </m:r>
        <m:sSub>
          <m:e>
            <m:r>
              <m:t>K</m:t>
            </m:r>
          </m:e>
          <m:sub>
            <m:r>
              <m:t>M</m:t>
            </m:r>
          </m:sub>
        </m:sSub>
        <m:r>
          <m:rPr>
            <m:sty m:val="p"/>
          </m:rPr>
          <m:t>⋅</m:t>
        </m:r>
        <m:sSup>
          <m:e>
            <m:d>
              <m:dPr>
                <m:begChr m:val="("/>
                <m:endChr m:val=")"/>
                <m:sepChr m:val=""/>
                <m:grow/>
              </m:dPr>
              <m:e>
                <m:acc>
                  <m:accPr>
                    <m:chr m:val="‾"/>
                  </m:accPr>
                  <m:e>
                    <m:r>
                      <m:t>γ</m:t>
                    </m:r>
                  </m:e>
                </m:acc>
                <m:r>
                  <m:rPr>
                    <m:sty m:val="p"/>
                  </m:rPr>
                  <m:t>⋅</m:t>
                </m:r>
                <m:sSup>
                  <m:e>
                    <m:r>
                      <m:t>h</m:t>
                    </m:r>
                  </m:e>
                  <m:sup>
                    <m:r>
                      <m:t>2</m:t>
                    </m:r>
                  </m:sup>
                </m:sSup>
              </m:e>
            </m:d>
          </m:e>
          <m:sup>
            <m:r>
              <m:rPr>
                <m:sty m:val="p"/>
              </m:rPr>
              <m:t>−</m:t>
            </m:r>
            <m:r>
              <m:t>1</m:t>
            </m:r>
            <m:r>
              <m:rPr>
                <m:sty m:val="p"/>
              </m:rPr>
              <m:t>/</m:t>
            </m:r>
            <m:r>
              <m:t>5</m:t>
            </m:r>
          </m:sup>
        </m:sSup>
        <m:r>
          <m:rPr>
            <m:sty m:val="p"/>
          </m:rPr>
          <m:t>⋅</m:t>
        </m:r>
        <m:sSup>
          <m:e>
            <m:d>
              <m:dPr>
                <m:begChr m:val="("/>
                <m:endChr m:val=")"/>
                <m:sepChr m:val=""/>
                <m:grow/>
              </m:dPr>
              <m:e>
                <m:r>
                  <m:t>Δ</m:t>
                </m:r>
                <m:r>
                  <m:t>f</m:t>
                </m:r>
                <m:r>
                  <m:rPr>
                    <m:sty m:val="p"/>
                  </m:rPr>
                  <m:t>⋅</m:t>
                </m:r>
                <m:sSub>
                  <m:e>
                    <m:r>
                      <m:t>T</m:t>
                    </m:r>
                  </m:e>
                  <m:sub>
                    <m:r>
                      <m:t>s</m:t>
                    </m:r>
                  </m:sub>
                </m:sSub>
              </m:e>
            </m:d>
          </m:e>
          <m:sup>
            <m:r>
              <m:rPr>
                <m:sty m:val="p"/>
              </m:rPr>
              <m:t>−</m:t>
            </m:r>
            <m:r>
              <m:t>2</m:t>
            </m:r>
            <m:r>
              <m:rPr>
                <m:sty m:val="p"/>
              </m:rPr>
              <m:t>/</m:t>
            </m:r>
            <m:r>
              <m:t>5</m:t>
            </m:r>
          </m:sup>
        </m:sSup>
      </m:oMath>
      <w:r>
        <w:t xml:space="preserve">、以及DPLL最优环路带宽</w:t>
      </w:r>
      <m:oMath>
        <m:sSub>
          <m:e>
            <m:r>
              <m:t>B</m:t>
            </m:r>
          </m:e>
          <m:sub>
            <m:r>
              <m:rPr>
                <m:nor/>
                <m:sty m:val="p"/>
              </m:rPr>
              <m:t>L,opt</m:t>
            </m:r>
          </m:sub>
        </m:sSub>
        <m:r>
          <m:rPr>
            <m:sty m:val="p"/>
          </m:rPr>
          <m:t>=</m:t>
        </m:r>
        <m:sSub>
          <m:e>
            <m:r>
              <m:t>B</m:t>
            </m:r>
          </m:e>
          <m:sub>
            <m:r>
              <m:t>0</m:t>
            </m:r>
          </m:sub>
        </m:sSub>
        <m:r>
          <m:rPr>
            <m:sty m:val="p"/>
          </m:rPr>
          <m:t>⋅</m:t>
        </m:r>
        <m:r>
          <m:t>h</m:t>
        </m:r>
      </m:oMath>
      <w:r>
        <w:t xml:space="preserve">。三个公式分别对应</w:t>
      </w:r>
      <m:oMath>
        <m:sSup>
          <m:e>
            <m:r>
              <m:t>h</m:t>
            </m:r>
          </m:e>
          <m:sup>
            <m:r>
              <m:rPr>
                <m:sty m:val="p"/>
              </m:rPr>
              <m:t>−</m:t>
            </m:r>
            <m:r>
              <m:t>4</m:t>
            </m:r>
          </m:sup>
        </m:sSup>
      </m:oMath>
      <w:r>
        <w:t xml:space="preserve">（阈值效应）、</w:t>
      </w:r>
      <m:oMath>
        <m:sSup>
          <m:e>
            <m:r>
              <m:t>h</m:t>
            </m:r>
          </m:e>
          <m:sup>
            <m:r>
              <m:rPr>
                <m:sty m:val="p"/>
              </m:rPr>
              <m:t>−</m:t>
            </m:r>
            <m:r>
              <m:t>2</m:t>
            </m:r>
            <m:r>
              <m:rPr>
                <m:sty m:val="p"/>
              </m:rPr>
              <m:t>/</m:t>
            </m:r>
            <m:r>
              <m:t>5</m:t>
            </m:r>
          </m:sup>
        </m:sSup>
      </m:oMath>
      <w:r>
        <w:t xml:space="preserve">（平滑效应）和</w:t>
      </w:r>
      <m:oMath>
        <m:sSup>
          <m:e>
            <m:r>
              <m:t>h</m:t>
            </m:r>
          </m:e>
          <m:sup>
            <m:r>
              <m:t>1</m:t>
            </m:r>
          </m:sup>
        </m:sSup>
      </m:oMath>
      <w:r>
        <w:t xml:space="preserve">（线性效应）三种不同的湍流依赖形态，从弱到强湍流均有解析解。</w:t>
      </w:r>
    </w:p>
    <w:p>
      <w:pPr>
        <w:pStyle w:val="BodyText"/>
      </w:pPr>
      <w:r>
        <w:t xml:space="preserve">（3）完成了自适应载波同步算法的FPGA设计与实现验证，验证了算法在硬件平台的可实现性和资源开销可控性。</w:t>
      </w:r>
    </w:p>
    <w:p>
      <w:r>
        <w:pict>
          <v:rect style="width:0;height:1.5pt" o:hralign="center" o:hrstd="t" o:hr="t"/>
        </w:pict>
      </w:r>
    </w:p>
    <w:bookmarkEnd w:id="26"/>
    <w:bookmarkEnd w:id="27"/>
    <w:bookmarkStart w:id="39" w:name="第二章-星地激光通信系统与信道模型"/>
    <w:p>
      <w:pPr>
        <w:pStyle w:val="Heading2"/>
      </w:pPr>
      <w:r>
        <w:t xml:space="preserve">第二章 星地激光通信系统与信道模型</w:t>
      </w:r>
    </w:p>
    <w:p>
      <w:pPr>
        <w:pStyle w:val="FirstParagraph"/>
      </w:pPr>
      <w:r>
        <w:t xml:space="preserve">本章建立统一的系统与信道模型框架。首先描述QPSK相干检测星地激光通信系统的组成与信号模型，包括接收信号</w:t>
      </w:r>
      <m:oMath>
        <m:r>
          <m:t>r</m:t>
        </m:r>
        <m:d>
          <m:dPr>
            <m:begChr m:val="["/>
            <m:endChr m:val="]"/>
            <m:sepChr m:val=""/>
            <m:grow/>
          </m:dPr>
          <m:e>
            <m:r>
              <m:t>k</m:t>
            </m:r>
          </m:e>
        </m:d>
        <m:r>
          <m:rPr>
            <m:sty m:val="p"/>
          </m:rPr>
          <m:t>=</m:t>
        </m:r>
        <m:r>
          <m:t>h</m:t>
        </m:r>
        <m:d>
          <m:dPr>
            <m:begChr m:val="["/>
            <m:endChr m:val="]"/>
            <m:sepChr m:val=""/>
            <m:grow/>
          </m:dPr>
          <m:e>
            <m:r>
              <m:t>k</m:t>
            </m:r>
          </m:e>
        </m:d>
        <m:r>
          <m:rPr>
            <m:sty m:val="p"/>
          </m:rPr>
          <m:t>⋅</m:t>
        </m:r>
        <m:r>
          <m:t>s</m:t>
        </m:r>
        <m:d>
          <m:dPr>
            <m:begChr m:val="["/>
            <m:endChr m:val="]"/>
            <m:sepChr m:val=""/>
            <m:grow/>
          </m:dPr>
          <m:e>
            <m:r>
              <m:t>k</m:t>
            </m:r>
          </m:e>
        </m:d>
        <m:r>
          <m:rPr>
            <m:sty m:val="p"/>
          </m:rPr>
          <m:t>⋅</m:t>
        </m:r>
        <m:r>
          <m:rPr>
            <m:sty m:val="p"/>
          </m:rPr>
          <m:t>exp</m:t>
        </m:r>
        <m:d>
          <m:dPr>
            <m:begChr m:val="("/>
            <m:endChr m:val=")"/>
            <m:sepChr m:val=""/>
            <m:grow/>
          </m:dPr>
          <m:e>
            <m:r>
              <m:t>j</m:t>
            </m:r>
            <m:r>
              <m:t>φ</m:t>
            </m:r>
            <m:d>
              <m:dPr>
                <m:begChr m:val="["/>
                <m:endChr m:val="]"/>
                <m:sepChr m:val=""/>
                <m:grow/>
              </m:dPr>
              <m:e>
                <m:r>
                  <m:t>k</m:t>
                </m:r>
              </m:e>
            </m:d>
          </m:e>
        </m:d>
        <m:r>
          <m:rPr>
            <m:sty m:val="p"/>
          </m:rPr>
          <m:t>+</m:t>
        </m:r>
        <m:r>
          <m:t>n</m:t>
        </m:r>
        <m:d>
          <m:dPr>
            <m:begChr m:val="["/>
            <m:endChr m:val="]"/>
            <m:sepChr m:val=""/>
            <m:grow/>
          </m:dPr>
          <m:e>
            <m:r>
              <m:t>k</m:t>
            </m:r>
          </m:e>
        </m:d>
      </m:oMath>
      <w:r>
        <w:t xml:space="preserve">的数学表达和噪声模型。然后详细分析大气信道传输特性，重点推导Gamma-Gamma湍流分布模型</w:t>
      </w:r>
      <m:oMath>
        <m:r>
          <m:t>h</m:t>
        </m:r>
        <m:r>
          <m:rPr>
            <m:sty m:val="p"/>
          </m:rPr>
          <m:t>=</m:t>
        </m:r>
        <m:r>
          <m:t>X</m:t>
        </m:r>
        <m:r>
          <m:rPr>
            <m:sty m:val="p"/>
          </m:rPr>
          <m:t>⋅</m:t>
        </m:r>
        <m:r>
          <m:t>Y</m:t>
        </m:r>
      </m:oMath>
      <w:r>
        <w:t xml:space="preserve">及其参数</w:t>
      </w:r>
      <m:oMath>
        <m:r>
          <m:t>α</m:t>
        </m:r>
        <m:r>
          <m:rPr>
            <m:sty m:val="p"/>
          </m:rPr>
          <m:t>,</m:t>
        </m:r>
        <m:r>
          <m:t>β</m:t>
        </m:r>
      </m:oMath>
      <w:r>
        <w:t xml:space="preserve">与物理参数的映射关系，揭示</w:t>
      </w:r>
      <m:oMath>
        <m:r>
          <m:t>E</m:t>
        </m:r>
        <m:d>
          <m:dPr>
            <m:begChr m:val="["/>
            <m:endChr m:val="]"/>
            <m:sepChr m:val=""/>
            <m:grow/>
          </m:dPr>
          <m:e>
            <m:r>
              <m:t>1</m:t>
            </m:r>
            <m:r>
              <m:rPr>
                <m:sty m:val="p"/>
              </m:rPr>
              <m:t>/</m:t>
            </m:r>
            <m:sSup>
              <m:e>
                <m:r>
                  <m:t>h</m:t>
                </m:r>
              </m:e>
              <m:sup>
                <m:r>
                  <m:t>2</m:t>
                </m:r>
              </m:sup>
            </m:sSup>
          </m:e>
        </m:d>
      </m:oMath>
      <w:r>
        <w:t xml:space="preserve">在中强湍流下发散的数学特征——这一发散性是第四章湍流自适应机制的理论必然性基础。最后完成星地链路预算分析，综合系统参数和信道参数建立端到端信噪比预算，给出典型LEO参数（轨道高度500 km、仰角范围、通过时间等）。</w:t>
      </w:r>
    </w:p>
    <w:bookmarkStart w:id="28" w:name="引言"/>
    <w:p>
      <w:pPr>
        <w:pStyle w:val="Heading3"/>
      </w:pPr>
      <w:r>
        <w:t xml:space="preserve">2.1 引言</w:t>
      </w:r>
    </w:p>
    <w:bookmarkEnd w:id="28"/>
    <w:bookmarkStart w:id="29" w:name="星地激光通信系统模型"/>
    <w:p>
      <w:pPr>
        <w:pStyle w:val="Heading3"/>
      </w:pPr>
      <w:r>
        <w:t xml:space="preserve">2.2 星地激光通信系统模型</w:t>
      </w:r>
    </w:p>
    <w:bookmarkEnd w:id="29"/>
    <w:bookmarkStart w:id="30" w:name="相干检测系统组成"/>
    <w:p>
      <w:pPr>
        <w:pStyle w:val="Heading3"/>
      </w:pPr>
      <w:r>
        <w:t xml:space="preserve">2.2.1 相干检测系统组成</w:t>
      </w:r>
    </w:p>
    <w:bookmarkEnd w:id="30"/>
    <w:bookmarkStart w:id="31" w:name="qpsk信号模型"/>
    <w:p>
      <w:pPr>
        <w:pStyle w:val="Heading3"/>
      </w:pPr>
      <w:r>
        <w:t xml:space="preserve">2.2.2 QPSK信号模型</w:t>
      </w:r>
    </w:p>
    <w:bookmarkEnd w:id="31"/>
    <w:bookmarkStart w:id="32" w:name="接收端噪声模型与信噪比定义"/>
    <w:p>
      <w:pPr>
        <w:pStyle w:val="Heading3"/>
      </w:pPr>
      <w:r>
        <w:t xml:space="preserve">2.2.3 接收端噪声模型与信噪比定义</w:t>
      </w:r>
    </w:p>
    <w:bookmarkEnd w:id="32"/>
    <w:bookmarkStart w:id="33" w:name="大气信道传输特性"/>
    <w:p>
      <w:pPr>
        <w:pStyle w:val="Heading3"/>
      </w:pPr>
      <w:r>
        <w:t xml:space="preserve">2.3 大气信道传输特性</w:t>
      </w:r>
    </w:p>
    <w:bookmarkEnd w:id="33"/>
    <w:bookmarkStart w:id="34" w:name="大气衰减"/>
    <w:p>
      <w:pPr>
        <w:pStyle w:val="Heading3"/>
      </w:pPr>
      <w:r>
        <w:t xml:space="preserve">2.3.1 大气衰减</w:t>
      </w:r>
    </w:p>
    <w:bookmarkEnd w:id="34"/>
    <w:bookmarkStart w:id="35" w:name="大气湍流效应与gamma-gamma分布模型"/>
    <w:p>
      <w:pPr>
        <w:pStyle w:val="Heading3"/>
      </w:pPr>
      <w:r>
        <w:t xml:space="preserve">2.3.2 大气湍流效应与Gamma-Gamma分布模型</w:t>
      </w:r>
    </w:p>
    <w:bookmarkEnd w:id="35"/>
    <w:bookmarkStart w:id="36" w:name="gamma-gamma模型参数确定"/>
    <w:p>
      <w:pPr>
        <w:pStyle w:val="Heading3"/>
      </w:pPr>
      <w:r>
        <w:t xml:space="preserve">2.3.3 Gamma-Gamma模型参数确定</w:t>
      </w:r>
    </w:p>
    <w:bookmarkEnd w:id="36"/>
    <w:bookmarkStart w:id="37" w:name="星地链路预算分析"/>
    <w:p>
      <w:pPr>
        <w:pStyle w:val="Heading3"/>
      </w:pPr>
      <w:r>
        <w:t xml:space="preserve">2.4 星地链路预算分析</w:t>
      </w:r>
    </w:p>
    <w:bookmarkEnd w:id="37"/>
    <w:bookmarkStart w:id="38" w:name="本章小结"/>
    <w:p>
      <w:pPr>
        <w:pStyle w:val="Heading3"/>
      </w:pPr>
      <w:r>
        <w:t xml:space="preserve">2.5 本章小结</w:t>
      </w:r>
    </w:p>
    <w:p>
      <w:r>
        <w:pict>
          <v:rect style="width:0;height:1.5pt" o:hralign="center" o:hrstd="t" o:hr="t"/>
        </w:pict>
      </w:r>
    </w:p>
    <w:bookmarkEnd w:id="38"/>
    <w:bookmarkEnd w:id="39"/>
    <w:bookmarkStart w:id="58" w:name="第三章-大气湍流信道估计技术"/>
    <w:p>
      <w:pPr>
        <w:pStyle w:val="Heading2"/>
      </w:pPr>
      <w:r>
        <w:t xml:space="preserve">第三章 大气湍流信道估计技术</w:t>
      </w:r>
    </w:p>
    <w:p>
      <w:pPr>
        <w:pStyle w:val="FirstParagraph"/>
      </w:pPr>
      <w:r>
        <w:t xml:space="preserve">本章研究Gamma-Gamma湍流信道下的估计方法及其对下游信号处理的级联影响。首先建立信道估计问题的数学模型，定义导频设计和NMSE评价指标。然后对比LS、MMSE、卡尔曼滤波和深度学习四类估计方法在不同湍流强度下的NMSE性能，其中传统方法（LS、MMSE、卡尔曼）为主线，深度学习方法作为对比实验。核心贡献在§3.4的级联灵敏度分析：定量揭示估计误差对载波同步（鲁棒端：NMSE</w:t>
      </w:r>
      <m:oMath>
        <m:r>
          <m:rPr>
            <m:sty m:val="p"/>
          </m:rPr>
          <m:t>≥</m:t>
        </m:r>
        <m:r>
          <m:rPr>
            <m:sty m:val="p"/>
          </m:rPr>
          <m:t>−</m:t>
        </m:r>
        <m:r>
          <m:t>10</m:t>
        </m:r>
      </m:oMath>
      <w:r>
        <w:t xml:space="preserve"> </w:t>
      </w:r>
      <w:r>
        <w:t xml:space="preserve">dB时6/6场景全部通过，增益+0.8至+14.1 dB）和功率预补偿（脆弱端：任意噪声下全部失败）的截然不同的影响机制。§3.4.2证明功率预补偿在真实估计噪声下不可行（根因是</w:t>
      </w:r>
      <m:oMath>
        <m:r>
          <m:t>1</m:t>
        </m:r>
        <m:r>
          <m:rPr>
            <m:sty m:val="p"/>
          </m:rPr>
          <m:t>/</m:t>
        </m:r>
        <m:sSup>
          <m:e>
            <m:r>
              <m:t>h</m:t>
            </m:r>
          </m:e>
          <m:sup>
            <m:r>
              <m:t>2</m:t>
            </m:r>
          </m:sup>
        </m:sSup>
      </m:oMath>
      <w:r>
        <w:t xml:space="preserve">功率反演对误差极度敏感），论证了接收端载波同步的必要性。§3.4.3总结级联灵敏度差异，给出工程指导：LS估计精度（-17至-20 dB）远超载波同步需求，估计器设计应优先满足载波同步而非追求极高精度。</w:t>
      </w:r>
    </w:p>
    <w:bookmarkStart w:id="40" w:name="引言-1"/>
    <w:p>
      <w:pPr>
        <w:pStyle w:val="Heading3"/>
      </w:pPr>
      <w:r>
        <w:t xml:space="preserve">3.1 引言</w:t>
      </w:r>
    </w:p>
    <w:bookmarkEnd w:id="40"/>
    <w:bookmarkStart w:id="41" w:name="湍流信道估计问题建模"/>
    <w:p>
      <w:pPr>
        <w:pStyle w:val="Heading3"/>
      </w:pPr>
      <w:r>
        <w:t xml:space="preserve">3.2 湍流信道估计问题建模</w:t>
      </w:r>
    </w:p>
    <w:bookmarkEnd w:id="41"/>
    <w:bookmarkStart w:id="42" w:name="信道估计问题描述"/>
    <w:p>
      <w:pPr>
        <w:pStyle w:val="Heading3"/>
      </w:pPr>
      <w:r>
        <w:t xml:space="preserve">3.2.1 信道估计问题描述</w:t>
      </w:r>
    </w:p>
    <w:bookmarkEnd w:id="42"/>
    <w:bookmarkStart w:id="43" w:name="导频设计与信号模型"/>
    <w:p>
      <w:pPr>
        <w:pStyle w:val="Heading3"/>
      </w:pPr>
      <w:r>
        <w:t xml:space="preserve">3.2.2 导频设计与信号模型</w:t>
      </w:r>
    </w:p>
    <w:bookmarkEnd w:id="43"/>
    <w:bookmarkStart w:id="44" w:name="信道估计方法"/>
    <w:p>
      <w:pPr>
        <w:pStyle w:val="Heading3"/>
      </w:pPr>
      <w:r>
        <w:t xml:space="preserve">3.3 信道估计方法</w:t>
      </w:r>
    </w:p>
    <w:bookmarkEnd w:id="44"/>
    <w:bookmarkStart w:id="45" w:name="ls与mmse信道估计"/>
    <w:p>
      <w:pPr>
        <w:pStyle w:val="Heading3"/>
      </w:pPr>
      <w:r>
        <w:t xml:space="preserve">3.3.1 LS与MMSE信道估计</w:t>
      </w:r>
    </w:p>
    <w:bookmarkEnd w:id="45"/>
    <w:bookmarkStart w:id="46" w:name="卡尔曼滤波信道估计"/>
    <w:p>
      <w:pPr>
        <w:pStyle w:val="Heading3"/>
      </w:pPr>
      <w:r>
        <w:t xml:space="preserve">3.3.2 卡尔曼滤波信道估计</w:t>
      </w:r>
    </w:p>
    <w:bookmarkEnd w:id="46"/>
    <w:bookmarkStart w:id="47" w:name="基于深度学习的信道估计方法"/>
    <w:p>
      <w:pPr>
        <w:pStyle w:val="Heading3"/>
      </w:pPr>
      <w:r>
        <w:t xml:space="preserve">3.3.3 基于深度学习的信道估计方法</w:t>
      </w:r>
    </w:p>
    <w:bookmarkEnd w:id="47"/>
    <w:bookmarkStart w:id="48" w:name="估计精度对下游信号处理的影响分析"/>
    <w:p>
      <w:pPr>
        <w:pStyle w:val="Heading3"/>
      </w:pPr>
      <w:r>
        <w:t xml:space="preserve">3.4 估计精度对下游信号处理的影响分析</w:t>
      </w:r>
    </w:p>
    <w:bookmarkEnd w:id="48"/>
    <w:bookmarkStart w:id="49" w:name="估计误差对载波同步性能的影响"/>
    <w:p>
      <w:pPr>
        <w:pStyle w:val="Heading3"/>
      </w:pPr>
      <w:r>
        <w:t xml:space="preserve">3.4.1 估计误差对载波同步性能的影响</w:t>
      </w:r>
    </w:p>
    <w:bookmarkEnd w:id="49"/>
    <w:bookmarkStart w:id="50" w:name="估计误差对功率预补偿可行性的影响"/>
    <w:p>
      <w:pPr>
        <w:pStyle w:val="Heading3"/>
      </w:pPr>
      <w:r>
        <w:t xml:space="preserve">3.4.2 估计误差对功率预补偿可行性的影响</w:t>
      </w:r>
    </w:p>
    <w:bookmarkEnd w:id="50"/>
    <w:bookmarkStart w:id="51" w:name="下游模块灵敏度差异分析"/>
    <w:p>
      <w:pPr>
        <w:pStyle w:val="Heading3"/>
      </w:pPr>
      <w:r>
        <w:t xml:space="preserve">3.4.3 下游模块灵敏度差异分析</w:t>
      </w:r>
    </w:p>
    <w:bookmarkEnd w:id="51"/>
    <w:bookmarkStart w:id="52" w:name="仿真结果与分析"/>
    <w:p>
      <w:pPr>
        <w:pStyle w:val="Heading3"/>
      </w:pPr>
      <w:r>
        <w:t xml:space="preserve">3.5 仿真结果与分析</w:t>
      </w:r>
    </w:p>
    <w:bookmarkEnd w:id="52"/>
    <w:bookmarkStart w:id="53" w:name="仿真参数设置与评价指标"/>
    <w:p>
      <w:pPr>
        <w:pStyle w:val="Heading3"/>
      </w:pPr>
      <w:r>
        <w:t xml:space="preserve">3.5.1 仿真参数设置与评价指标</w:t>
      </w:r>
    </w:p>
    <w:bookmarkEnd w:id="53"/>
    <w:bookmarkStart w:id="54" w:name="各估计方法性能对比"/>
    <w:p>
      <w:pPr>
        <w:pStyle w:val="Heading3"/>
      </w:pPr>
      <w:r>
        <w:t xml:space="preserve">3.5.2 各估计方法性能对比</w:t>
      </w:r>
    </w:p>
    <w:bookmarkEnd w:id="54"/>
    <w:bookmarkStart w:id="55" w:name="不同湍流强度下性能分析"/>
    <w:p>
      <w:pPr>
        <w:pStyle w:val="Heading3"/>
      </w:pPr>
      <w:r>
        <w:t xml:space="preserve">3.5.3 不同湍流强度下性能分析</w:t>
      </w:r>
    </w:p>
    <w:bookmarkEnd w:id="55"/>
    <w:bookmarkStart w:id="56" w:name="级联灵敏度分析与工程指导"/>
    <w:p>
      <w:pPr>
        <w:pStyle w:val="Heading3"/>
      </w:pPr>
      <w:r>
        <w:t xml:space="preserve">3.5.4 级联灵敏度分析与工程指导</w:t>
      </w:r>
    </w:p>
    <w:bookmarkEnd w:id="56"/>
    <w:bookmarkStart w:id="57" w:name="本章小结-1"/>
    <w:p>
      <w:pPr>
        <w:pStyle w:val="Heading3"/>
      </w:pPr>
      <w:r>
        <w:t xml:space="preserve">3.6 本章小结</w:t>
      </w:r>
    </w:p>
    <w:p>
      <w:r>
        <w:pict>
          <v:rect style="width:0;height:1.5pt" o:hralign="center" o:hrstd="t" o:hr="t"/>
        </w:pict>
      </w:r>
    </w:p>
    <w:bookmarkEnd w:id="57"/>
    <w:bookmarkEnd w:id="58"/>
    <w:bookmarkStart w:id="77" w:name="第四章-低轨星地载波同步算法"/>
    <w:p>
      <w:pPr>
        <w:pStyle w:val="Heading2"/>
      </w:pPr>
      <w:r>
        <w:t xml:space="preserve">第四章 低轨星地载波同步算法</w:t>
      </w:r>
    </w:p>
    <w:p>
      <w:pPr>
        <w:pStyle w:val="FirstParagraph"/>
      </w:pPr>
      <w:r>
        <w:t xml:space="preserve">本章基于第三章的设计约束（NMSE</w:t>
      </w:r>
      <m:oMath>
        <m:r>
          <m:rPr>
            <m:sty m:val="p"/>
          </m:rPr>
          <m:t>≥</m:t>
        </m:r>
        <m:r>
          <m:rPr>
            <m:sty m:val="p"/>
          </m:rPr>
          <m:t>−</m:t>
        </m:r>
        <m:r>
          <m:t>10</m:t>
        </m:r>
      </m:oMath>
      <w:r>
        <w:t xml:space="preserve"> </w:t>
      </w:r>
      <w:r>
        <w:t xml:space="preserve">dB即可保证载波同步可靠工作），研究湍流自适应载波同步算法。首先建立包含多普勒频偏（</w:t>
      </w:r>
      <m:oMath>
        <m:r>
          <m:rPr>
            <m:sty m:val="p"/>
          </m:rPr>
          <m:t>±</m:t>
        </m:r>
        <m:r>
          <m:t>8</m:t>
        </m:r>
      </m:oMath>
      <w:r>
        <w:t xml:space="preserve"> </w:t>
      </w:r>
      <w:r>
        <w:t xml:space="preserve">GHz，150 MHz/s变化率）、Gamma-Gamma湍流衰落和激光相位噪声（</w:t>
      </w:r>
      <m:oMath>
        <m:r>
          <m:t>Δ</m:t>
        </m:r>
        <m:sSub>
          <m:e>
            <m:r>
              <m:t>ν</m:t>
            </m:r>
          </m:e>
          <m:sub>
            <m:r>
              <m:t>L</m:t>
            </m:r>
          </m:sub>
        </m:sSub>
        <m:r>
          <m:rPr>
            <m:sty m:val="p"/>
          </m:rPr>
          <m:t>=</m:t>
        </m:r>
        <m:r>
          <m:t>10</m:t>
        </m:r>
      </m:oMath>
      <w:r>
        <w:t xml:space="preserve"> </w:t>
      </w:r>
      <w:r>
        <w:t xml:space="preserve">kHz）的联合同步系统模型，明确载波恢复链架构：接收信号</w:t>
      </w:r>
      <m:oMath>
        <m:r>
          <m:rPr>
            <m:sty m:val="p"/>
          </m:rPr>
          <m:t>→</m:t>
        </m:r>
      </m:oMath>
      <w:r>
        <w:t xml:space="preserve">星历预补偿</w:t>
      </w:r>
      <m:oMath>
        <m:r>
          <m:rPr>
            <m:sty m:val="p"/>
          </m:rPr>
          <m:t>→</m:t>
        </m:r>
      </m:oMath>
      <w:r>
        <w:t xml:space="preserve">FFT-FOE</w:t>
      </w:r>
      <m:oMath>
        <m:r>
          <m:rPr>
            <m:sty m:val="p"/>
          </m:rPr>
          <m:t>→</m:t>
        </m:r>
      </m:oMath>
      <w:r>
        <w:t xml:space="preserve">二阶DPLL</w:t>
      </w:r>
      <m:oMath>
        <m:r>
          <m:rPr>
            <m:sty m:val="p"/>
          </m:rPr>
          <m:t>→</m:t>
        </m:r>
      </m:oMath>
      <w:r>
        <w:t xml:space="preserve">VV/BPS CPR</w:t>
      </w:r>
      <m:oMath>
        <m:r>
          <m:rPr>
            <m:sty m:val="p"/>
          </m:rPr>
          <m:t>→</m:t>
        </m:r>
      </m:oMath>
      <w:r>
        <w:t xml:space="preserve">判决。然后分别设计湍流自适应的FFT频偏估计策略和VV/BPS载波相位恢复策略，推导三个解析公式及其物理意义。关键发现：在Gsps符号率下，FFT窗口长度不受多普勒漂移限制（仅61 Hz），而受深衰落下四次方信噪比过低的限制——这解释了为何</w:t>
      </w:r>
      <m:oMath>
        <m:sSub>
          <m:e>
            <m:r>
              <m:t>N</m:t>
            </m:r>
          </m:e>
          <m:sub>
            <m:r>
              <m:rPr>
                <m:nor/>
                <m:sty m:val="p"/>
              </m:rPr>
              <m:t>opt</m:t>
            </m:r>
          </m:sub>
        </m:sSub>
      </m:oMath>
      <w:r>
        <w:t xml:space="preserve">呈</w:t>
      </w:r>
      <m:oMath>
        <m:sSup>
          <m:e>
            <m:r>
              <m:t>h</m:t>
            </m:r>
          </m:e>
          <m:sup>
            <m:r>
              <m:rPr>
                <m:sty m:val="p"/>
              </m:rPr>
              <m:t>−</m:t>
            </m:r>
            <m:r>
              <m:t>4</m:t>
            </m:r>
          </m:sup>
        </m:sSup>
      </m:oMath>
      <w:r>
        <w:t xml:space="preserve">的阈值依赖。仿真验证自适应方案在弱到强湍流下的性能优势，特别是固定参数方案在中强湍流2%至8%衰落块中失效的问题被自适应方案消除。</w:t>
      </w:r>
    </w:p>
    <w:bookmarkStart w:id="59" w:name="引言-2"/>
    <w:p>
      <w:pPr>
        <w:pStyle w:val="Heading3"/>
      </w:pPr>
      <w:r>
        <w:t xml:space="preserve">4.1 引言</w:t>
      </w:r>
    </w:p>
    <w:bookmarkEnd w:id="59"/>
    <w:bookmarkStart w:id="60" w:name="载波同步系统模型"/>
    <w:p>
      <w:pPr>
        <w:pStyle w:val="Heading3"/>
      </w:pPr>
      <w:r>
        <w:t xml:space="preserve">4.2 载波同步系统模型</w:t>
      </w:r>
    </w:p>
    <w:bookmarkEnd w:id="60"/>
    <w:bookmarkStart w:id="61" w:name="leo多普勒频偏模型与预补偿"/>
    <w:p>
      <w:pPr>
        <w:pStyle w:val="Heading3"/>
      </w:pPr>
      <w:r>
        <w:t xml:space="preserve">4.2.1 LEO多普勒频偏模型与预补偿</w:t>
      </w:r>
    </w:p>
    <w:bookmarkEnd w:id="61"/>
    <w:bookmarkStart w:id="62" w:name="大气湍流对载波同步的影响"/>
    <w:p>
      <w:pPr>
        <w:pStyle w:val="Heading3"/>
      </w:pPr>
      <w:r>
        <w:t xml:space="preserve">4.2.2 大气湍流对载波同步的影响</w:t>
      </w:r>
    </w:p>
    <w:bookmarkEnd w:id="62"/>
    <w:bookmarkStart w:id="63" w:name="联合同步系统模型"/>
    <w:p>
      <w:pPr>
        <w:pStyle w:val="Heading3"/>
      </w:pPr>
      <w:r>
        <w:t xml:space="preserve">4.2.3 联合同步系统模型</w:t>
      </w:r>
    </w:p>
    <w:bookmarkEnd w:id="63"/>
    <w:bookmarkStart w:id="64" w:name="湍流自适应频偏估计算法"/>
    <w:p>
      <w:pPr>
        <w:pStyle w:val="Heading3"/>
      </w:pPr>
      <w:r>
        <w:t xml:space="preserve">4.3 湍流自适应频偏估计算法</w:t>
      </w:r>
    </w:p>
    <w:bookmarkEnd w:id="64"/>
    <w:bookmarkStart w:id="65" w:name="基于fft的频偏估计算法"/>
    <w:p>
      <w:pPr>
        <w:pStyle w:val="Heading3"/>
      </w:pPr>
      <w:r>
        <w:t xml:space="preserve">4.3.1 基于FFT的频偏估计算法</w:t>
      </w:r>
    </w:p>
    <w:bookmarkEnd w:id="65"/>
    <w:bookmarkStart w:id="66" w:name="湍流强度自适应频偏估计策略"/>
    <w:p>
      <w:pPr>
        <w:pStyle w:val="Heading3"/>
      </w:pPr>
      <w:r>
        <w:t xml:space="preserve">4.3.2 湍流强度自适应频偏估计策略</w:t>
      </w:r>
    </w:p>
    <w:bookmarkEnd w:id="66"/>
    <w:bookmarkStart w:id="67" w:name="湍流自适应载波相位恢复算法"/>
    <w:p>
      <w:pPr>
        <w:pStyle w:val="Heading3"/>
      </w:pPr>
      <w:r>
        <w:t xml:space="preserve">4.4 湍流自适应载波相位恢复算法</w:t>
      </w:r>
    </w:p>
    <w:bookmarkEnd w:id="67"/>
    <w:bookmarkStart w:id="68" w:name="viterbi-viterbi载波相位恢复原理"/>
    <w:p>
      <w:pPr>
        <w:pStyle w:val="Heading3"/>
      </w:pPr>
      <w:r>
        <w:t xml:space="preserve">4.4.1 Viterbi-Viterbi载波相位恢复原理</w:t>
      </w:r>
    </w:p>
    <w:bookmarkEnd w:id="68"/>
    <w:bookmarkStart w:id="69" w:name="湍流强度自适应cpr策略"/>
    <w:p>
      <w:pPr>
        <w:pStyle w:val="Heading3"/>
      </w:pPr>
      <w:r>
        <w:t xml:space="preserve">4.4.2 湍流强度自适应CPR策略</w:t>
      </w:r>
    </w:p>
    <w:bookmarkEnd w:id="69"/>
    <w:bookmarkStart w:id="70" w:name="dpll环路带宽自适应设计"/>
    <w:p>
      <w:pPr>
        <w:pStyle w:val="Heading3"/>
      </w:pPr>
      <w:r>
        <w:t xml:space="preserve">4.4.3 DPLL环路带宽自适应设计</w:t>
      </w:r>
    </w:p>
    <w:bookmarkEnd w:id="70"/>
    <w:bookmarkStart w:id="71" w:name="仿真结果与分析-1"/>
    <w:p>
      <w:pPr>
        <w:pStyle w:val="Heading3"/>
      </w:pPr>
      <w:r>
        <w:t xml:space="preserve">4.5 仿真结果与分析</w:t>
      </w:r>
    </w:p>
    <w:bookmarkEnd w:id="71"/>
    <w:bookmarkStart w:id="72" w:name="仿真参数设置"/>
    <w:p>
      <w:pPr>
        <w:pStyle w:val="Heading3"/>
      </w:pPr>
      <w:r>
        <w:t xml:space="preserve">4.5.1 仿真参数设置</w:t>
      </w:r>
    </w:p>
    <w:bookmarkEnd w:id="72"/>
    <w:bookmarkStart w:id="73" w:name="固定参数与自适应方案性能对比"/>
    <w:p>
      <w:pPr>
        <w:pStyle w:val="Heading3"/>
      </w:pPr>
      <w:r>
        <w:t xml:space="preserve">4.5.2 固定参数与自适应方案性能对比</w:t>
      </w:r>
    </w:p>
    <w:bookmarkEnd w:id="73"/>
    <w:bookmarkStart w:id="74" w:name="不同湍流强度下自适应算法性能"/>
    <w:p>
      <w:pPr>
        <w:pStyle w:val="Heading3"/>
      </w:pPr>
      <w:r>
        <w:t xml:space="preserve">4.5.3 不同湍流强度下自适应算法性能</w:t>
      </w:r>
    </w:p>
    <w:bookmarkEnd w:id="74"/>
    <w:bookmarkStart w:id="75" w:name="与现有方法对比"/>
    <w:p>
      <w:pPr>
        <w:pStyle w:val="Heading3"/>
      </w:pPr>
      <w:r>
        <w:t xml:space="preserve">4.5.4 与现有方法对比</w:t>
      </w:r>
    </w:p>
    <w:bookmarkEnd w:id="75"/>
    <w:bookmarkStart w:id="76" w:name="本章小结-2"/>
    <w:p>
      <w:pPr>
        <w:pStyle w:val="Heading3"/>
      </w:pPr>
      <w:r>
        <w:t xml:space="preserve">4.6 本章小结</w:t>
      </w:r>
    </w:p>
    <w:p>
      <w:r>
        <w:pict>
          <v:rect style="width:0;height:1.5pt" o:hralign="center" o:hrstd="t" o:hr="t"/>
        </w:pict>
      </w:r>
    </w:p>
    <w:bookmarkEnd w:id="76"/>
    <w:bookmarkEnd w:id="77"/>
    <w:bookmarkStart w:id="87" w:name="第五章-fpga设计与实现"/>
    <w:p>
      <w:pPr>
        <w:pStyle w:val="Heading2"/>
      </w:pPr>
      <w:r>
        <w:t xml:space="preserve">第五章 FPGA设计与实现</w:t>
      </w:r>
    </w:p>
    <w:p>
      <w:pPr>
        <w:pStyle w:val="FirstParagraph"/>
      </w:pPr>
      <w:r>
        <w:t xml:space="preserve">本章完成关键算法的FPGA硬件实现。基于第四章的自适应载波同步算法，设计FPGA系统架构，包括FFT频偏估计模块、VV载波相位恢复模块和DPLL环路模块的实现方案。重点解决三个硬件映射问题：自适应窗口长度</w:t>
      </w:r>
      <m:oMath>
        <m:sSub>
          <m:e>
            <m:r>
              <m:t>N</m:t>
            </m:r>
          </m:e>
          <m:sub>
            <m:r>
              <m:rPr>
                <m:nor/>
                <m:sty m:val="p"/>
              </m:rPr>
              <m:t>opt</m:t>
            </m:r>
          </m:sub>
        </m:sSub>
      </m:oMath>
      <w:r>
        <w:t xml:space="preserve">的实时计算与FFT IP核参数动态配置、</w:t>
      </w:r>
      <m:oMath>
        <m:sSup>
          <m:e>
            <m:r>
              <m:t>h</m:t>
            </m:r>
          </m:e>
          <m:sup>
            <m:r>
              <m:rPr>
                <m:sty m:val="p"/>
              </m:rPr>
              <m:t>−</m:t>
            </m:r>
            <m:r>
              <m:t>4</m:t>
            </m:r>
          </m:sup>
        </m:sSup>
      </m:oMath>
      <w:r>
        <w:t xml:space="preserve">非线性运算的定点化精度、以及VV/BPS模块的流水线设计。完成资源利用率评估（LUT、FF、DSP、BRAM）、时序约束分析（目标时钟频率）和功能验证（与MATLAB仿真结果比特一致）。</w:t>
      </w:r>
    </w:p>
    <w:bookmarkStart w:id="78" w:name="引言-3"/>
    <w:p>
      <w:pPr>
        <w:pStyle w:val="Heading3"/>
      </w:pPr>
      <w:r>
        <w:t xml:space="preserve">5.1 引言</w:t>
      </w:r>
    </w:p>
    <w:bookmarkEnd w:id="78"/>
    <w:bookmarkStart w:id="79" w:name="fpga开发平台与设计流程"/>
    <w:p>
      <w:pPr>
        <w:pStyle w:val="Heading3"/>
      </w:pPr>
      <w:r>
        <w:t xml:space="preserve">5.2 FPGA开发平台与设计流程</w:t>
      </w:r>
    </w:p>
    <w:bookmarkEnd w:id="79"/>
    <w:bookmarkStart w:id="80" w:name="自适应载波同步算法的fpga实现"/>
    <w:p>
      <w:pPr>
        <w:pStyle w:val="Heading3"/>
      </w:pPr>
      <w:r>
        <w:t xml:space="preserve">5.3 自适应载波同步算法的FPGA实现</w:t>
      </w:r>
    </w:p>
    <w:bookmarkEnd w:id="80"/>
    <w:bookmarkStart w:id="81" w:name="系统总体架构设计"/>
    <w:p>
      <w:pPr>
        <w:pStyle w:val="Heading3"/>
      </w:pPr>
      <w:r>
        <w:t xml:space="preserve">5.3.1 系统总体架构设计</w:t>
      </w:r>
    </w:p>
    <w:bookmarkEnd w:id="81"/>
    <w:bookmarkStart w:id="82" w:name="fft频偏估计模块实现"/>
    <w:p>
      <w:pPr>
        <w:pStyle w:val="Heading3"/>
      </w:pPr>
      <w:r>
        <w:t xml:space="preserve">5.3.2 FFT频偏估计模块实现</w:t>
      </w:r>
    </w:p>
    <w:bookmarkEnd w:id="82"/>
    <w:bookmarkStart w:id="83" w:name="载波相位恢复模块实现"/>
    <w:p>
      <w:pPr>
        <w:pStyle w:val="Heading3"/>
      </w:pPr>
      <w:r>
        <w:t xml:space="preserve">5.3.3 载波相位恢复模块实现</w:t>
      </w:r>
    </w:p>
    <w:bookmarkEnd w:id="83"/>
    <w:bookmarkStart w:id="84" w:name="dpll环路模块实现"/>
    <w:p>
      <w:pPr>
        <w:pStyle w:val="Heading3"/>
      </w:pPr>
      <w:r>
        <w:t xml:space="preserve">5.3.4 DPLL环路模块实现</w:t>
      </w:r>
    </w:p>
    <w:bookmarkEnd w:id="84"/>
    <w:bookmarkStart w:id="85" w:name="仿真验证与资源评估"/>
    <w:p>
      <w:pPr>
        <w:pStyle w:val="Heading3"/>
      </w:pPr>
      <w:r>
        <w:t xml:space="preserve">5.4 仿真验证与资源评估</w:t>
      </w:r>
    </w:p>
    <w:bookmarkEnd w:id="85"/>
    <w:bookmarkStart w:id="86" w:name="本章小结-3"/>
    <w:p>
      <w:pPr>
        <w:pStyle w:val="Heading3"/>
      </w:pPr>
      <w:r>
        <w:t xml:space="preserve">5.5 本章小结</w:t>
      </w:r>
    </w:p>
    <w:p>
      <w:r>
        <w:pict>
          <v:rect style="width:0;height:1.5pt" o:hralign="center" o:hrstd="t" o:hr="t"/>
        </w:pict>
      </w:r>
    </w:p>
    <w:bookmarkEnd w:id="86"/>
    <w:bookmarkEnd w:id="87"/>
    <w:bookmarkStart w:id="90" w:name="第六章-总结与展望"/>
    <w:p>
      <w:pPr>
        <w:pStyle w:val="Heading2"/>
      </w:pPr>
      <w:r>
        <w:t xml:space="preserve">第六章 总结与展望</w:t>
      </w:r>
    </w:p>
    <w:bookmarkStart w:id="88" w:name="全文总结"/>
    <w:p>
      <w:pPr>
        <w:pStyle w:val="Heading3"/>
      </w:pPr>
      <w:r>
        <w:t xml:space="preserve">6.1 全文总结</w:t>
      </w:r>
    </w:p>
    <w:p>
      <w:pPr>
        <w:pStyle w:val="FirstParagraph"/>
      </w:pPr>
      <w:r>
        <w:t xml:space="preserve">本文以星地激光通信信号处理为研究对象，围绕Gamma-Gamma大气湍流信道下的信道估计和载波同步两个核心问题展开系统研究。主要工作包括：（1）建立QPSK相干检测系统模型和Gamma-Gamma湍流信道模型；（2）对比四类信道估计方法，首次定量揭示估计精度对载波同步和功率预补偿的级联灵敏度差异；（3）提出湍流自适应载波同步算法，推导三个解析公式实现全湍流覆盖；（4）完成FPGA硬件实现验证。</w:t>
      </w:r>
    </w:p>
    <w:bookmarkEnd w:id="88"/>
    <w:bookmarkStart w:id="89" w:name="研究展望"/>
    <w:p>
      <w:pPr>
        <w:pStyle w:val="Heading3"/>
      </w:pPr>
      <w:r>
        <w:t xml:space="preserve">6.2 研究展望</w:t>
      </w:r>
    </w:p>
    <w:p>
      <w:pPr>
        <w:pStyle w:val="FirstParagraph"/>
      </w:pPr>
      <w:r>
        <w:t xml:space="preserve">未来研究可从以下方向拓展：（1）将湍流自适应机制扩展至更高阶调制格式（16QAM等）；（2）结合自适应光学与数字信号处理的混合补偿方案；（3）多用户MIMO-FSO场景下的联合信道估计与载波同步；（4）基于实测星地链路数据的算法验证。</w:t>
      </w:r>
    </w:p>
    <w:p>
      <w:r>
        <w:pict>
          <v:rect style="width:0;height:1.5pt" o:hralign="center" o:hrstd="t" o:hr="t"/>
        </w:pict>
      </w:r>
    </w:p>
    <w:bookmarkEnd w:id="89"/>
    <w:bookmarkEnd w:id="90"/>
    <w:bookmarkStart w:id="104" w:name="参考文献"/>
    <w:p>
      <w:pPr>
        <w:pStyle w:val="Heading2"/>
      </w:pPr>
      <w:r>
        <w:t xml:space="preserve">参考文献</w:t>
      </w:r>
    </w:p>
    <w:p>
      <w:pPr>
        <w:pStyle w:val="FirstParagraph"/>
      </w:pPr>
      <w:r>
        <w:t xml:space="preserve">参考文献由pandoc从</w:t>
      </w:r>
      <w:r>
        <w:rPr>
          <w:rStyle w:val="VerbatimChar"/>
        </w:rPr>
        <w:t xml:space="preserve">references.bib</w:t>
      </w:r>
      <w:r>
        <w:t xml:space="preserve">自动生成，采用GB/T 7714-2015引用格式。</w:t>
      </w:r>
    </w:p>
    <w:bookmarkStart w:id="103" w:name="refs"/>
    <w:bookmarkStart w:id="91" w:name="ref-khalighi2014"/>
    <w:p>
      <w:pPr>
        <w:pStyle w:val="Bibliography"/>
      </w:pPr>
      <w:r>
        <w:t xml:space="preserve">[1]</w:t>
      </w:r>
      <w:r>
        <w:t xml:space="preserve"> </w:t>
      </w:r>
      <w:r>
        <w:t xml:space="preserve">	</w:t>
      </w:r>
      <w:r>
        <w:t xml:space="preserve">KHALIGHI M U. Survey on Free Space Optical Communication: A Communication Theory Perspective[J]. IEEE Communications Surveys &amp; Tutorials, 2014, 16(4): 2231-2258.</w:t>
      </w:r>
    </w:p>
    <w:bookmarkEnd w:id="91"/>
    <w:bookmarkStart w:id="92" w:name="ref-kaushal2016"/>
    <w:p>
      <w:pPr>
        <w:pStyle w:val="Bibliography"/>
      </w:pPr>
      <w:r>
        <w:t xml:space="preserve">[2]</w:t>
      </w:r>
      <w:r>
        <w:t xml:space="preserve"> </w:t>
      </w:r>
      <w:r>
        <w:t xml:space="preserve">	</w:t>
      </w:r>
      <w:r>
        <w:t xml:space="preserve">KAUSHAL H, JAIN V K, KAR S. Optical Communication in Space: Challenges and Mitigation Techniques[J]. Journal of Lightwave Technology, 2016, 34(6): 1525-1538.</w:t>
      </w:r>
    </w:p>
    <w:bookmarkEnd w:id="92"/>
    <w:bookmarkStart w:id="93" w:name="ref-zhangdai2018"/>
    <w:p>
      <w:pPr>
        <w:pStyle w:val="Bibliography"/>
      </w:pPr>
      <w:r>
        <w:t xml:space="preserve">[3]</w:t>
      </w:r>
      <w:r>
        <w:t xml:space="preserve"> </w:t>
      </w:r>
      <w:r>
        <w:t xml:space="preserve">	</w:t>
      </w:r>
      <w:r>
        <w:t xml:space="preserve">张岱. 星地相干激光通信大气信道特征及信号处理技术研究[D]. 国防科技大学, 2018.</w:t>
      </w:r>
    </w:p>
    <w:bookmarkEnd w:id="93"/>
    <w:bookmarkStart w:id="94" w:name="ref-lixueliang2018"/>
    <w:p>
      <w:pPr>
        <w:pStyle w:val="Bibliography"/>
      </w:pPr>
      <w:r>
        <w:t xml:space="preserve">[4]</w:t>
      </w:r>
      <w:r>
        <w:t xml:space="preserve"> </w:t>
      </w:r>
      <w:r>
        <w:t xml:space="preserve">	</w:t>
      </w:r>
      <w:r>
        <w:t xml:space="preserve">李学良. 大气激光通信数字相干探测关键技术研究[D]. 中国科学院长春光学精密机械与物理研究所, 2018.</w:t>
      </w:r>
    </w:p>
    <w:bookmarkEnd w:id="94"/>
    <w:bookmarkStart w:id="95" w:name="ref-amirabadi2020"/>
    <w:p>
      <w:pPr>
        <w:pStyle w:val="Bibliography"/>
      </w:pPr>
      <w:r>
        <w:t xml:space="preserve">[5]</w:t>
      </w:r>
      <w:r>
        <w:t xml:space="preserve"> </w:t>
      </w:r>
      <w:r>
        <w:t xml:space="preserve">	</w:t>
      </w:r>
      <w:r>
        <w:t xml:space="preserve">AMIRABADI M, VEHKAPERA M, CHATZINOTAS S, et al. Deep Learning for Channel Estimation in FSO Communication System[J]. Optik, 2020, 219: 165065.</w:t>
      </w:r>
    </w:p>
    <w:bookmarkEnd w:id="95"/>
    <w:bookmarkStart w:id="96" w:name="ref-elfiky2024"/>
    <w:p>
      <w:pPr>
        <w:pStyle w:val="Bibliography"/>
      </w:pPr>
      <w:r>
        <w:t xml:space="preserve">[6]</w:t>
      </w:r>
      <w:r>
        <w:t xml:space="preserve"> </w:t>
      </w:r>
      <w:r>
        <w:t xml:space="preserve">	</w:t>
      </w:r>
      <w:r>
        <w:t xml:space="preserve">ELFIKY I, REZKI A. Symbol Detection and Channel Estimation for Satellite Optical Communication Using Neural Networks and Autoencoder[J]. IEEE Transactions on Machine Learning in Communications and Networking, 2024, 1: 726-739.</w:t>
      </w:r>
    </w:p>
    <w:bookmarkEnd w:id="96"/>
    <w:bookmarkStart w:id="97" w:name="ref-mohammed2026"/>
    <w:p>
      <w:pPr>
        <w:pStyle w:val="Bibliography"/>
      </w:pPr>
      <w:r>
        <w:t xml:space="preserve">[7]</w:t>
      </w:r>
      <w:r>
        <w:t xml:space="preserve"> </w:t>
      </w:r>
      <w:r>
        <w:t xml:space="preserve">	</w:t>
      </w:r>
      <w:r>
        <w:t xml:space="preserve">MOHAMMED S S et al. Free Space Optical Turbulent Channel Estimation Based on CNN+BiLSTM[J]. Journal of Optical Communications, 2026.</w:t>
      </w:r>
    </w:p>
    <w:bookmarkEnd w:id="97"/>
    <w:bookmarkStart w:id="98" w:name="ref-zhao2025"/>
    <w:p>
      <w:pPr>
        <w:pStyle w:val="Bibliography"/>
      </w:pPr>
      <w:r>
        <w:t xml:space="preserve">[8]</w:t>
      </w:r>
      <w:r>
        <w:t xml:space="preserve"> </w:t>
      </w:r>
      <w:r>
        <w:t xml:space="preserve">	</w:t>
      </w:r>
      <w:r>
        <w:t xml:space="preserve">ZHAO Y et al. Joint Doppler and Phase Noise Compensation for Inter-Satellite Coherent Laser Communication[C]//International Conference on Communication, Signal Processing, and their Applications (ICCSN). 2025.</w:t>
      </w:r>
    </w:p>
    <w:bookmarkEnd w:id="98"/>
    <w:bookmarkStart w:id="100" w:name="ref-fernandes2023"/>
    <w:p>
      <w:pPr>
        <w:pStyle w:val="Bibliography"/>
      </w:pPr>
      <w:r>
        <w:t xml:space="preserve">[9]</w:t>
      </w:r>
      <w:r>
        <w:t xml:space="preserve"> </w:t>
      </w:r>
      <w:r>
        <w:t xml:space="preserve">	</w:t>
      </w:r>
      <w:r>
        <w:t xml:space="preserve">FERNANDES D et al. Digitally Mitigating Doppler Shift in High-Capacity Coherent FSO LEO-to-Earth Links[J/OL]. Journal of Lightwave Technology, 2023, 41(11): 3367-3375. DOI:</w:t>
      </w:r>
      <w:hyperlink r:id="rId99">
        <w:r>
          <w:rPr>
            <w:rStyle w:val="Hyperlink"/>
          </w:rPr>
          <w:t xml:space="preserve">10.1109/JLT.2023.3322697</w:t>
        </w:r>
      </w:hyperlink>
      <w:r>
        <w:t xml:space="preserve">.</w:t>
      </w:r>
    </w:p>
    <w:bookmarkEnd w:id="100"/>
    <w:bookmarkStart w:id="101" w:name="ref-wang2025a"/>
    <w:p>
      <w:pPr>
        <w:pStyle w:val="Bibliography"/>
      </w:pPr>
      <w:r>
        <w:t xml:space="preserve">[10]</w:t>
      </w:r>
      <w:r>
        <w:t xml:space="preserve"> </w:t>
      </w:r>
      <w:r>
        <w:t xml:space="preserve">	</w:t>
      </w:r>
      <w:r>
        <w:t xml:space="preserve">WANG J et al. Real-Time Doppler Shift Tracking Scheme for LEO Satellite-Ground Links[C]//Asia Communications and Photonics Conference (ACP). 2025.</w:t>
      </w:r>
    </w:p>
    <w:bookmarkEnd w:id="101"/>
    <w:bookmarkStart w:id="102" w:name="ref-safi2019"/>
    <w:p>
      <w:pPr>
        <w:pStyle w:val="Bibliography"/>
      </w:pPr>
      <w:r>
        <w:t xml:space="preserve">[11]</w:t>
      </w:r>
      <w:r>
        <w:t xml:space="preserve"> </w:t>
      </w:r>
      <w:r>
        <w:t xml:space="preserve">	</w:t>
      </w:r>
      <w:r>
        <w:t xml:space="preserve">SAFI H et al. Adaptive Channel Coding and Power Control for Practical FSO Under Channel Estimation Error[J]. IEEE Transactions on Vehicular Technology, 2019, 68(8): 7566-7579.</w:t>
      </w:r>
    </w:p>
    <w:bookmarkEnd w:id="102"/>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doi.org/10.1109/JLT.2023.3322697"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109/JLT.2023.33226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2026-05-30T08:01:21Z</dcterms:created>
  <dcterms:modified xsi:type="dcterms:W3CDTF">2026-05-30T08:01:21Z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/mnt/d/code/study/research-protocol/projects/thesis-fso/references.bib</vt:lpwstr>
  </property>
  <property fmtid="{D5CDD505-2E9C-101B-9397-08002B2CF9AE}" pid="3" name="csl">
    <vt:lpwstr>/mnt/d/code/study/research-protocol/projects/thesis-figures/gb7714-2015.csl</vt:lpwstr>
  </property>
</Properties>
</file>