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8"/>
        <w:spacing w:line="440" w:lineRule="exact" w:afterLines="50" w:before="0"/>
        <w:jc w:val="both"/>
      </w:pPr>
      <w:r>
        <w:rPr>
          <w:rFonts w:ascii="Times New Roman" w:hAnsi="Times New Roman" w:eastAsia="宋体"/>
          <w:b w:val="0"/>
          <w:sz w:val="24"/>
        </w:rPr>
        <w:t xml:space="preserve">星地相干激光通信信号处理关键技术研究文献综述</w:t>
      </w:r>
    </w:p>
    <w:p>
      <w:pPr>
        <w:pStyle w:val="Author"/>
        <w:spacing w:line="440" w:lineRule="exact" w:afterLines="50" w:before="0"/>
        <w:jc w:val="both"/>
      </w:pPr>
      <w:r>
        <w:rPr>
          <w:rFonts w:ascii="Times New Roman" w:hAnsi="Times New Roman" w:eastAsia="宋体"/>
          <w:b w:val="0"/>
          <w:sz w:val="24"/>
        </w:rPr>
        <w:t xml:space="preserve">作者</w:t>
      </w:r>
    </w:p>
    <w:p>
      <w:pPr>
        <w:pStyle w:val="Date"/>
        <w:spacing w:line="440" w:lineRule="exact" w:afterLines="50" w:before="0"/>
        <w:jc w:val="both"/>
      </w:pPr>
      <w:r>
        <w:rPr>
          <w:rFonts w:ascii="Times New Roman" w:hAnsi="Times New Roman" w:eastAsia="宋体"/>
          <w:b w:val="0"/>
          <w:sz w:val="24"/>
        </w:rPr>
        <w:t xml:space="preserve">2026年6月</w:t>
      </w:r>
    </w:p>
    <w:bookmarkStart w:id="20" w:name="引言"/>
    <w:p>
      <w:pPr>
        <w:pStyle w:val="2"/>
        <w:ind w:firstLine="0" w:left="0"/>
        <w:jc w:val="center"/>
        <w:spacing w:beforeLines="50" w:afterLines="100" w:line="360" w:lineRule="auto"/>
      </w:pPr>
      <w:r>
        <w:rPr>
          <w:rFonts w:ascii="Times New Roman" w:hAnsi="Times New Roman" w:eastAsia="黑体"/>
          <w:b/>
          <w:sz w:val="32"/>
        </w:rPr>
        <w:t xml:space="preserve">第1章 引言</w:t>
      </w:r>
    </w:p>
    <w:p>
      <w:pPr>
        <w:pStyle w:val="FirstParagraph"/>
        <w:spacing w:line="440" w:lineRule="exact" w:afterLines="50" w:before="0"/>
        <w:jc w:val="both"/>
      </w:pPr>
      <w:r>
        <w:rPr>
          <w:rFonts w:ascii="Times New Roman" w:hAnsi="Times New Roman" w:eastAsia="宋体"/>
          <w:b w:val="0"/>
          <w:sz w:val="24"/>
        </w:rPr>
        <w:t xml:space="preserve">随着低轨卫星星座的大规模部署与全球宽带通信需求的持续增长，星地链路面临传输速率从Gbps向Tbps量级跨越的迫切需求</w:t>
      </w:r>
      <w:r>
        <w:rPr>
          <w:rFonts w:ascii="Times New Roman" w:hAnsi="Times New Roman" w:eastAsia="宋体"/>
          <w:b w:val="0"/>
          <w:sz w:val="24"/>
          <w:vertAlign w:val="superscript"/>
        </w:rPr>
        <w:t xml:space="preserve">[</w:t>
      </w:r>
      <w:hyperlink w:anchor="ref-khalighi2014">
        <w:r>
          <w:rPr>
            <w:rStyle w:val="25"/>
            <w:vertAlign w:val="superscript"/>
          </w:rPr>
          <w:t xml:space="preserve">1</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。自由空间光通信以激光为载波，利用近红外波段的光束传输信息，可用带宽资源远超射频通信，已成为解决星地高速数据传输瓶颈最具前景的技术途径</w:t>
      </w:r>
      <w:r>
        <w:rPr>
          <w:rFonts w:ascii="Times New Roman" w:hAnsi="Times New Roman" w:eastAsia="宋体"/>
          <w:b w:val="0"/>
          <w:sz w:val="24"/>
          <w:vertAlign w:val="superscript"/>
        </w:rPr>
        <w:t xml:space="preserve">[</w:t>
      </w:r>
      <w:hyperlink w:anchor="ref-chan2026jstqe">
        <w:r>
          <w:rPr>
            <w:rStyle w:val="25"/>
            <w:vertAlign w:val="superscript"/>
          </w:rPr>
          <w:t xml:space="preserve">2</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。相干探测利用本振光与信号光的混频效应，相比强度调制/直接检测具有约20 dB的接收灵敏度优势</w:t>
      </w:r>
      <w:r>
        <w:rPr>
          <w:rFonts w:ascii="Times New Roman" w:hAnsi="Times New Roman" w:eastAsia="宋体"/>
          <w:b w:val="0"/>
          <w:sz w:val="24"/>
          <w:vertAlign w:val="superscript"/>
        </w:rPr>
        <w:t xml:space="preserve">[</w:t>
      </w:r>
      <w:hyperlink w:anchor="ref-zhu2009diversity">
        <w:r>
          <w:rPr>
            <w:rStyle w:val="25"/>
            <w:vertAlign w:val="superscript"/>
          </w:rPr>
          <w:t xml:space="preserve">3</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，使得正交相移键控等高阶调制格式和波分复用技术的应用成为可能。然而，相干检测对信号光与本振光之间的相位一致性高度敏感，大气湍流效应导致接收信号同时产生幅度衰落和相位扰动</w:t>
      </w:r>
      <w:r>
        <w:rPr>
          <w:rFonts w:ascii="Times New Roman" w:hAnsi="Times New Roman" w:eastAsia="宋体"/>
          <w:b w:val="0"/>
          <w:sz w:val="24"/>
          <w:vertAlign w:val="superscript"/>
        </w:rPr>
        <w:t xml:space="preserve">[</w:t>
      </w:r>
      <w:hyperlink w:anchor="ref-andrews2005">
        <w:r>
          <w:rPr>
            <w:rStyle w:val="25"/>
            <w:vertAlign w:val="superscript"/>
          </w:rPr>
          <w:t xml:space="preserve">4</w:t>
        </w:r>
      </w:hyperlink>
      <w:r>
        <w:rPr>
          <w:rFonts w:ascii="Times New Roman" w:hAnsi="Times New Roman" w:eastAsia="宋体"/>
          <w:b w:val="0"/>
          <w:sz w:val="24"/>
          <w:vertAlign w:val="superscript"/>
        </w:rPr>
        <w:t xml:space="preserve">,</w:t>
      </w:r>
      <w:hyperlink w:anchor="ref-xu2025">
        <w:r>
          <w:rPr>
            <w:rStyle w:val="25"/>
            <w:vertAlign w:val="superscript"/>
          </w:rPr>
          <w:t xml:space="preserve">5</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，使得载波同步成为星地相干激光通信的核心技术瓶颈。</w:t>
      </w:r>
    </w:p>
    <w:p>
      <w:pPr>
        <w:pStyle w:val="8"/>
        <w:spacing w:line="440" w:lineRule="exact" w:afterLines="50" w:before="0"/>
        <w:jc w:val="both"/>
      </w:pPr>
      <w:r>
        <w:rPr>
          <w:rFonts w:ascii="Times New Roman" w:hAnsi="Times New Roman" w:eastAsia="宋体"/>
          <w:b w:val="0"/>
          <w:sz w:val="24"/>
        </w:rPr>
        <w:t xml:space="preserve">本文围绕星地相干激光通信接收端信号处理的关键技术，对国内外研究文献进行系统梳理和评述。综述范围涵盖大气湍流信道建模、信道估计方法和载波同步方法三个核心方向，聚焦Gamma-Gamma湍流条件下的技术挑战。检索来源包括IEEE Xplore、Web of Science、CNKI等数据库，检索时间范围为2000年至2026年，纳入标准为SCI/EI核心期刊论文、权威专著和代表性学位论文。</w:t>
      </w:r>
    </w:p>
    <w:bookmarkEnd w:id="20"/>
    <w:bookmarkStart w:id="21" w:name="大气湍流信道模型与湍流效应"/>
    <w:p>
      <w:pPr>
        <w:pStyle w:val="2"/>
        <w:ind w:firstLine="0" w:left="0"/>
        <w:jc w:val="center"/>
        <w:spacing w:beforeLines="50" w:afterLines="100" w:line="360" w:lineRule="auto"/>
      </w:pPr>
      <w:r>
        <w:rPr>
          <w:rFonts w:ascii="Times New Roman" w:hAnsi="Times New Roman" w:eastAsia="黑体"/>
          <w:b/>
          <w:sz w:val="32"/>
        </w:rPr>
        <w:t xml:space="preserve">第2章 大气湍流信道模型与湍流效应</w:t>
      </w:r>
    </w:p>
    <w:p>
      <w:pPr>
        <w:pStyle w:val="FirstParagraph"/>
        <w:spacing w:line="440" w:lineRule="exact" w:afterLines="50" w:before="0"/>
        <w:jc w:val="both"/>
      </w:pPr>
      <w:r>
        <w:rPr>
          <w:rFonts w:ascii="Times New Roman" w:hAnsi="Times New Roman" w:eastAsia="宋体"/>
          <w:b w:val="0"/>
          <w:sz w:val="24"/>
        </w:rPr>
        <w:t xml:space="preserve">大气湍流引起折射率随机起伏，导致接收端光强随机波动和相位扰动，是影响星地相干激光通信系统性能的核心物理因素。准确建立湍流信道模型是后续研究信道估计和载波同步方法的基础。</w:t>
      </w:r>
    </w:p>
    <w:p>
      <w:pPr>
        <w:pStyle w:val="8"/>
        <w:spacing w:line="440" w:lineRule="exact" w:afterLines="50" w:before="0"/>
        <w:jc w:val="both"/>
      </w:pPr>
      <w:r>
        <w:rPr>
          <w:rFonts w:ascii="Times New Roman" w:hAnsi="Times New Roman" w:eastAsia="宋体"/>
          <w:b w:val="0"/>
          <w:sz w:val="24"/>
        </w:rPr>
        <w:t xml:space="preserve">湍流信道建模经历了从简单到复杂的演进过程。早期研究采用对数正态模型描述弱湍流条件下的光强起伏，但该模型仅适用于Rytov方差</w:t>
      </w:r>
      <m:oMath>
        <m:sSubSup>
          <m:e>
            <m:r>
              <m:t>σ</m:t>
            </m:r>
          </m:e>
          <m:sub>
            <m:r>
              <m:t>R</m:t>
            </m:r>
          </m:sub>
          <m:sup>
            <m:r>
              <m:t>2</m:t>
            </m:r>
          </m:sup>
        </m:sSubSup>
        <m:r>
          <m:rPr>
            <m:sty m:val="p"/>
          </m:rPr>
          <m:t>&lt;</m:t>
        </m:r>
        <m:r>
          <m:t>1</m:t>
        </m:r>
      </m:oMath>
      <w:r>
        <w:rPr>
          <w:rFonts w:ascii="Times New Roman" w:hAnsi="Times New Roman" w:eastAsia="宋体"/>
          <w:b w:val="0"/>
          <w:sz w:val="24"/>
        </w:rPr>
        <w:t xml:space="preserve">的弱湍流场景，在中强湍流下预测值与实验数据偏差显著。Andrews和Phillips系统发展的Gamma-Gamma分布模型</w:t>
      </w:r>
      <w:r>
        <w:rPr>
          <w:rFonts w:ascii="Times New Roman" w:hAnsi="Times New Roman" w:eastAsia="宋体"/>
          <w:b w:val="0"/>
          <w:sz w:val="24"/>
          <w:vertAlign w:val="superscript"/>
        </w:rPr>
        <w:t xml:space="preserve">[</w:t>
      </w:r>
      <w:hyperlink w:anchor="ref-andrews2005">
        <w:r>
          <w:rPr>
            <w:rStyle w:val="25"/>
            <w:vertAlign w:val="superscript"/>
          </w:rPr>
          <w:t xml:space="preserve">4</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将归一化辐照度</w:t>
      </w:r>
      <m:oMath>
        <m:r>
          <m:t>h</m:t>
        </m:r>
      </m:oMath>
      <w:r>
        <w:rPr>
          <w:rFonts w:ascii="Times New Roman" w:hAnsi="Times New Roman" w:eastAsia="宋体"/>
          <w:b w:val="0"/>
          <w:sz w:val="24"/>
        </w:rPr>
        <w:t xml:space="preserve">分解为大尺度衰落分量</w:t>
      </w:r>
      <m:oMath>
        <m:r>
          <m:t>X</m:t>
        </m:r>
      </m:oMath>
      <w:r>
        <w:rPr>
          <w:rFonts w:ascii="Times New Roman" w:hAnsi="Times New Roman" w:eastAsia="宋体"/>
          <w:b w:val="0"/>
          <w:sz w:val="24"/>
        </w:rPr>
        <w:t xml:space="preserve">和小尺度衰落分量</w:t>
      </w:r>
      <m:oMath>
        <m:r>
          <m:t>Y</m:t>
        </m:r>
      </m:oMath>
      <w:r>
        <w:rPr>
          <w:rFonts w:ascii="Times New Roman" w:hAnsi="Times New Roman" w:eastAsia="宋体"/>
          <w:b w:val="0"/>
          <w:sz w:val="24"/>
        </w:rPr>
        <w:t xml:space="preserve">的乘积，其中</w:t>
      </w:r>
      <m:oMath>
        <m:r>
          <m:t>X</m:t>
        </m:r>
        <m:r>
          <m:rPr>
            <m:sty m:val="p"/>
          </m:rPr>
          <m:t>∼</m:t>
        </m:r>
        <m:r>
          <m:rPr>
            <m:nor/>
            <m:sty m:val="p"/>
          </m:rPr>
          <m:t>Gamma</m:t>
        </m:r>
        <m:d>
          <m:dPr>
            <m:begChr m:val="("/>
            <m:endChr m:val=")"/>
            <m:sepChr m:val=""/>
            <m:grow/>
          </m:dPr>
          <m:e>
            <m:r>
              <m:t>α</m:t>
            </m:r>
            <m:r>
              <m:rPr>
                <m:sty m:val="p"/>
              </m:rPr>
              <m:t>,</m:t>
            </m:r>
            <m:r>
              <m:t>1</m:t>
            </m:r>
            <m:r>
              <m:rPr>
                <m:sty m:val="p"/>
              </m:rPr>
              <m:t>/</m:t>
            </m:r>
            <m:r>
              <m:t>α</m:t>
            </m:r>
          </m:e>
        </m:d>
      </m:oMath>
      <w:r>
        <w:rPr>
          <w:rFonts w:ascii="Times New Roman" w:hAnsi="Times New Roman" w:eastAsia="宋体"/>
          <w:b w:val="0"/>
          <w:sz w:val="24"/>
        </w:rPr>
        <w:t xml:space="preserve">，</w:t>
      </w:r>
      <m:oMath>
        <m:r>
          <m:t>Y</m:t>
        </m:r>
        <m:r>
          <m:rPr>
            <m:sty m:val="p"/>
          </m:rPr>
          <m:t>∼</m:t>
        </m:r>
        <m:r>
          <m:rPr>
            <m:nor/>
            <m:sty m:val="p"/>
          </m:rPr>
          <m:t>Gamma</m:t>
        </m:r>
        <m:d>
          <m:dPr>
            <m:begChr m:val="("/>
            <m:endChr m:val=")"/>
            <m:sepChr m:val=""/>
            <m:grow/>
          </m:dPr>
          <m:e>
            <m:r>
              <m:t>β</m:t>
            </m:r>
            <m:r>
              <m:rPr>
                <m:sty m:val="p"/>
              </m:rPr>
              <m:t>,</m:t>
            </m:r>
            <m:r>
              <m:t>1</m:t>
            </m:r>
            <m:r>
              <m:rPr>
                <m:sty m:val="p"/>
              </m:rPr>
              <m:t>/</m:t>
            </m:r>
            <m:r>
              <m:t>β</m:t>
            </m:r>
          </m:e>
        </m:d>
      </m:oMath>
      <w:r>
        <w:rPr>
          <w:rFonts w:ascii="Times New Roman" w:hAnsi="Times New Roman" w:eastAsia="宋体"/>
          <w:b w:val="0"/>
          <w:sz w:val="24"/>
        </w:rPr>
        <w:t xml:space="preserve">，参数</w:t>
      </w:r>
      <m:oMath>
        <m:r>
          <m:t>α</m:t>
        </m:r>
      </m:oMath>
      <w:r>
        <w:rPr>
          <w:rFonts w:ascii="Times New Roman" w:hAnsi="Times New Roman" w:eastAsia="宋体"/>
          <w:b w:val="0"/>
          <w:sz w:val="24"/>
        </w:rPr>
        <w:t xml:space="preserve">和</w:t>
      </w:r>
      <m:oMath>
        <m:r>
          <m:t>β</m:t>
        </m:r>
      </m:oMath>
      <w:r>
        <w:rPr>
          <w:rFonts w:ascii="Times New Roman" w:hAnsi="Times New Roman" w:eastAsia="宋体"/>
          <w:b w:val="0"/>
          <w:sz w:val="24"/>
        </w:rPr>
        <w:t xml:space="preserve">分别与大尺度和小尺度湍流效应相关，取值取决于折射率结构常数</w:t>
      </w:r>
      <m:oMath>
        <m:sSubSup>
          <m:e>
            <m:r>
              <m:t>C</m:t>
            </m:r>
          </m:e>
          <m:sub>
            <m:r>
              <m:t>n</m:t>
            </m:r>
          </m:sub>
          <m:sup>
            <m:r>
              <m:t>2</m:t>
            </m:r>
          </m:sup>
        </m:sSubSup>
      </m:oMath>
      <w:r>
        <w:rPr>
          <w:rFonts w:ascii="Times New Roman" w:hAnsi="Times New Roman" w:eastAsia="宋体"/>
          <w:b w:val="0"/>
          <w:sz w:val="24"/>
        </w:rPr>
        <w:t xml:space="preserve">、传播距离和接收孔径尺寸等物理量。该模型能够刻画弱到强湍流条件下的光强起伏</w:t>
      </w:r>
      <w:r>
        <w:rPr>
          <w:rFonts w:ascii="Times New Roman" w:hAnsi="Times New Roman" w:eastAsia="宋体"/>
          <w:b w:val="0"/>
          <w:sz w:val="24"/>
          <w:vertAlign w:val="superscript"/>
        </w:rPr>
        <w:t xml:space="preserve">[</w:t>
      </w:r>
      <w:hyperlink w:anchor="ref-alhabash2001">
        <w:r>
          <w:rPr>
            <w:rStyle w:val="25"/>
            <w:vertAlign w:val="superscript"/>
          </w:rPr>
          <w:t xml:space="preserve">6</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，已成为FSO系统性能分析的主流模型。在此基础上，Málaga分布作为GG模型的推广，通过引入额外参数提供更强的表达能力，可退化为GG和对数正态模型，但参数更多，工程应用中需权衡复杂度。</w:t>
      </w:r>
    </w:p>
    <w:p>
      <w:pPr>
        <w:pStyle w:val="8"/>
        <w:spacing w:line="440" w:lineRule="exact" w:afterLines="50" w:before="0"/>
        <w:jc w:val="both"/>
      </w:pPr>
      <w:r>
        <w:rPr>
          <w:rFonts w:ascii="Times New Roman" w:hAnsi="Times New Roman" w:eastAsia="宋体"/>
          <w:b w:val="0"/>
          <w:sz w:val="24"/>
        </w:rPr>
        <w:t xml:space="preserve">Gamma-Gamma湍流模型对相干检测信号处理的影响体现在两个层面。在幅度层面，湍流引起的乘性衰落使接收信号功率随机波动，瞬时信噪比</w:t>
      </w:r>
      <m:oMath>
        <m:r>
          <m:t>γ</m:t>
        </m:r>
        <m:r>
          <m:rPr>
            <m:sty m:val="p"/>
          </m:rPr>
          <m:t>=</m:t>
        </m:r>
        <m:acc>
          <m:accPr>
            <m:chr m:val="‾"/>
          </m:accPr>
          <m:e>
            <m:r>
              <m:t>γ</m:t>
            </m:r>
          </m:e>
        </m:acc>
        <m:r>
          <m:rPr>
            <m:sty m:val="p"/>
          </m:rPr>
          <m:t>⋅</m:t>
        </m:r>
        <m:r>
          <m:t>h</m:t>
        </m:r>
      </m:oMath>
      <w:r>
        <w:rPr>
          <w:rFonts w:ascii="Times New Roman" w:hAnsi="Times New Roman" w:eastAsia="宋体"/>
          <w:b w:val="0"/>
          <w:sz w:val="24"/>
        </w:rPr>
        <w:t xml:space="preserve">随归一化辐照度</w:t>
      </w:r>
      <m:oMath>
        <m:r>
          <m:t>h</m:t>
        </m:r>
      </m:oMath>
      <w:r>
        <w:rPr>
          <w:rFonts w:ascii="Times New Roman" w:hAnsi="Times New Roman" w:eastAsia="宋体"/>
          <w:b w:val="0"/>
          <w:sz w:val="24"/>
        </w:rPr>
        <w:t xml:space="preserve">线性变化。在相位层面，大气湍流引入非平稳随机相位扰动，与激光器线宽导致的维纳型相位噪声和低轨卫星高速运动引入的多普勒频移叠加，形成复合相位扰动。特别地，当GG参数</w:t>
      </w:r>
      <m:oMath>
        <m:r>
          <m:t>β</m:t>
        </m:r>
        <m:r>
          <m:rPr>
            <m:sty m:val="p"/>
          </m:rPr>
          <m:t>&lt;</m:t>
        </m:r>
        <m:r>
          <m:t>1</m:t>
        </m:r>
      </m:oMath>
      <w:r>
        <w:rPr>
          <w:rFonts w:ascii="Times New Roman" w:hAnsi="Times New Roman" w:eastAsia="宋体"/>
          <w:b w:val="0"/>
          <w:sz w:val="24"/>
        </w:rPr>
        <w:t xml:space="preserve">时，归一化辐照度倒数期望</w:t>
      </w:r>
      <m:oMath>
        <m:r>
          <m:t>E</m:t>
        </m:r>
        <m:d>
          <m:dPr>
            <m:begChr m:val="["/>
            <m:endChr m:val="]"/>
            <m:sepChr m:val=""/>
            <m:grow/>
          </m:dPr>
          <m:e>
            <m:r>
              <m:t>1</m:t>
            </m:r>
            <m:r>
              <m:rPr>
                <m:sty m:val="p"/>
              </m:rPr>
              <m:t>/</m:t>
            </m:r>
            <m:r>
              <m:t>h</m:t>
            </m:r>
          </m:e>
        </m:d>
      </m:oMath>
      <w:r>
        <w:rPr>
          <w:rFonts w:ascii="Times New Roman" w:hAnsi="Times New Roman" w:eastAsia="宋体"/>
          <w:b w:val="0"/>
          <w:sz w:val="24"/>
        </w:rPr>
        <w:t xml:space="preserve">发散，这一数学性质直接影响前馈类信号处理方法的适用性。国内学者在GG湍流下开展了系统性能分析工作</w:t>
      </w:r>
      <w:r>
        <w:rPr>
          <w:rFonts w:ascii="Times New Roman" w:hAnsi="Times New Roman" w:eastAsia="宋体"/>
          <w:b w:val="0"/>
          <w:sz w:val="24"/>
          <w:vertAlign w:val="superscript"/>
        </w:rPr>
        <w:t xml:space="preserve">[</w:t>
      </w:r>
      <w:hyperlink w:anchor="ref-caominghua2020">
        <w:r>
          <w:rPr>
            <w:rStyle w:val="25"/>
            <w:vertAlign w:val="superscript"/>
          </w:rPr>
          <w:t xml:space="preserve">7</w:t>
        </w:r>
      </w:hyperlink>
      <w:r>
        <w:rPr>
          <w:rFonts w:ascii="Times New Roman" w:hAnsi="Times New Roman" w:eastAsia="宋体"/>
          <w:b w:val="0"/>
          <w:sz w:val="24"/>
          <w:vertAlign w:val="superscript"/>
        </w:rPr>
        <w:t xml:space="preserve">–</w:t>
      </w:r>
      <w:hyperlink w:anchor="ref-hanliqiang2011">
        <w:r>
          <w:rPr>
            <w:rStyle w:val="25"/>
            <w:vertAlign w:val="superscript"/>
          </w:rPr>
          <w:t xml:space="preserve">9</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，验证了该模型在不同湍流强度下的适用性。</w:t>
      </w:r>
    </w:p>
    <w:p>
      <w:pPr>
        <w:pStyle w:val="8"/>
        <w:spacing w:line="440" w:lineRule="exact" w:afterLines="50" w:before="0"/>
        <w:jc w:val="both"/>
      </w:pPr>
      <w:r>
        <w:rPr>
          <w:rFonts w:ascii="Times New Roman" w:hAnsi="Times New Roman" w:eastAsia="宋体"/>
          <w:b w:val="0"/>
          <w:sz w:val="24"/>
        </w:rPr>
        <w:t xml:space="preserve">GG模型在中强湍流条件下与实验数据吻合良好，已成为FSO系统性能分析的标准工具。然而，现有建模研究多聚焦于光强闪烁的统计描述，针对相干检测场景的联合幅度-相位统计模型仍有完善空间。湍流对光波相位的调制效应不依赖于强度闪烁的简单映射，需要更精细的物理建模来支撑载波同步算法的设计与分析。</w:t>
      </w:r>
    </w:p>
    <w:bookmarkEnd w:id="21"/>
    <w:bookmarkStart w:id="25" w:name="大气湍流信道估计方法"/>
    <w:p>
      <w:pPr>
        <w:pStyle w:val="2"/>
        <w:ind w:firstLine="0" w:left="0"/>
        <w:jc w:val="center"/>
        <w:spacing w:beforeLines="50" w:afterLines="100" w:line="360" w:lineRule="auto"/>
      </w:pPr>
      <w:r>
        <w:rPr>
          <w:rFonts w:ascii="Times New Roman" w:hAnsi="Times New Roman" w:eastAsia="黑体"/>
          <w:b/>
          <w:sz w:val="32"/>
        </w:rPr>
        <w:t xml:space="preserve">第3章 大气湍流信道估计方法</w:t>
      </w:r>
    </w:p>
    <w:p>
      <w:pPr>
        <w:pStyle w:val="FirstParagraph"/>
        <w:spacing w:line="440" w:lineRule="exact" w:afterLines="50" w:before="0"/>
        <w:jc w:val="both"/>
      </w:pPr>
      <w:r>
        <w:rPr>
          <w:rFonts w:ascii="Times New Roman" w:hAnsi="Times New Roman" w:eastAsia="宋体"/>
          <w:b w:val="0"/>
          <w:sz w:val="24"/>
        </w:rPr>
        <w:t xml:space="preserve">信道估计的核心任务是从含噪接收信号中恢复归一化辐照度</w:t>
      </w:r>
      <m:oMath>
        <m:r>
          <m:t>h</m:t>
        </m:r>
      </m:oMath>
      <w:r>
        <w:rPr>
          <w:rFonts w:ascii="Times New Roman" w:hAnsi="Times New Roman" w:eastAsia="宋体"/>
          <w:b w:val="0"/>
          <w:sz w:val="24"/>
        </w:rPr>
        <w:t xml:space="preserve">，为后续信号检测和载波同步提供信道参数</w:t>
      </w:r>
      <w:r>
        <w:rPr>
          <w:rFonts w:ascii="Times New Roman" w:hAnsi="Times New Roman" w:eastAsia="宋体"/>
          <w:b w:val="0"/>
          <w:sz w:val="24"/>
          <w:vertAlign w:val="superscript"/>
        </w:rPr>
        <w:t xml:space="preserve">[</w:t>
      </w:r>
      <w:hyperlink w:anchor="ref-zhang2024jlt">
        <w:r>
          <w:rPr>
            <w:rStyle w:val="25"/>
            <w:vertAlign w:val="superscript"/>
          </w:rPr>
          <w:t xml:space="preserve">10</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。导频辅助LS和MMSE估计构成经典框架，Kalman滤波引入时变跟踪能力，深度学习方法则试图突破导频依赖。各类方法的适用边界及其与下游载波同步模块的关联分析如下。</w:t>
      </w:r>
    </w:p>
    <w:bookmarkStart w:id="22" w:name="导频辅助经典方法"/>
    <w:p>
      <w:pPr>
        <w:pStyle w:val="3"/>
        <w:ind w:firstLine="0" w:left="0"/>
        <w:jc w:val="left"/>
        <w:spacing w:beforeLines="50" w:afterLines="0" w:line="360" w:lineRule="auto"/>
      </w:pPr>
      <w:r>
        <w:rPr>
          <w:rFonts w:ascii="Times New Roman" w:hAnsi="Times New Roman" w:eastAsia="黑体"/>
          <w:b/>
          <w:sz w:val="28"/>
        </w:rPr>
        <w:t xml:space="preserve">3.1 导频辅助经典方法</w:t>
      </w:r>
    </w:p>
    <w:p>
      <w:pPr>
        <w:pStyle w:val="FirstParagraph"/>
        <w:spacing w:line="440" w:lineRule="exact" w:afterLines="50" w:before="0"/>
        <w:jc w:val="both"/>
      </w:pPr>
      <w:r>
        <w:rPr>
          <w:rFonts w:ascii="Times New Roman" w:hAnsi="Times New Roman" w:eastAsia="宋体"/>
          <w:b w:val="0"/>
          <w:sz w:val="24"/>
        </w:rPr>
        <w:t xml:space="preserve">导频辅助方案构成信道估计的主流框架：在发送数据帧中周期性插入已知符号作为导频，接收端利用导频位置的接收信号估计信道状态。</w:t>
      </w:r>
    </w:p>
    <w:p>
      <w:pPr>
        <w:pStyle w:val="8"/>
        <w:spacing w:line="440" w:lineRule="exact" w:afterLines="50" w:before="0"/>
        <w:jc w:val="both"/>
      </w:pPr>
      <w:r>
        <w:rPr>
          <w:rFonts w:ascii="Times New Roman" w:hAnsi="Times New Roman" w:eastAsia="宋体"/>
          <w:b w:val="0"/>
          <w:sz w:val="24"/>
        </w:rPr>
        <w:t xml:space="preserve">LS估计器结构简洁、无需信道先验知识，但其估计过程将观测噪声等比例放大至估计结果中，在低信噪比条件下精度严重受限</w:t>
      </w:r>
      <w:r>
        <w:rPr>
          <w:rFonts w:ascii="Times New Roman" w:hAnsi="Times New Roman" w:eastAsia="宋体"/>
          <w:b w:val="0"/>
          <w:sz w:val="24"/>
          <w:vertAlign w:val="superscript"/>
        </w:rPr>
        <w:t xml:space="preserve">[</w:t>
      </w:r>
      <w:hyperlink w:anchor="ref-gong2015">
        <w:r>
          <w:rPr>
            <w:rStyle w:val="25"/>
            <w:vertAlign w:val="superscript"/>
          </w:rPr>
          <w:t xml:space="preserve">11</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。在GG湍流信道下，LS估计精度随湍流强度增大而持续恶化。MMSE估计引入信道的二阶统计量对LS估计结果进行加权滤波，在先验信息准确时估计精度优于LS</w:t>
      </w:r>
      <w:r>
        <w:rPr>
          <w:rFonts w:ascii="Times New Roman" w:hAnsi="Times New Roman" w:eastAsia="宋体"/>
          <w:b w:val="0"/>
          <w:sz w:val="24"/>
          <w:vertAlign w:val="superscript"/>
        </w:rPr>
        <w:t xml:space="preserve">[</w:t>
      </w:r>
      <w:hyperlink w:anchor="ref-zhang2018">
        <w:r>
          <w:rPr>
            <w:rStyle w:val="25"/>
            <w:vertAlign w:val="superscript"/>
          </w:rPr>
          <w:t xml:space="preserve">12</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。然而，MMSE的性能对信道统计先验知识高度敏感：当先验模型参数与实际信道失配时，加权矩阵偏离最优值，估计精度反而劣于LS。这一问题在GG湍流信道中尤为突出，因其模型参数</w:t>
      </w:r>
      <m:oMath>
        <m:r>
          <m:t>α</m:t>
        </m:r>
      </m:oMath>
      <w:r>
        <w:rPr>
          <w:rFonts w:ascii="Times New Roman" w:hAnsi="Times New Roman" w:eastAsia="宋体"/>
          <w:b w:val="0"/>
          <w:sz w:val="24"/>
        </w:rPr>
        <w:t xml:space="preserve">、</w:t>
      </w:r>
      <m:oMath>
        <m:r>
          <m:t>β</m:t>
        </m:r>
      </m:oMath>
      <w:r>
        <w:rPr>
          <w:rFonts w:ascii="Times New Roman" w:hAnsi="Times New Roman" w:eastAsia="宋体"/>
          <w:b w:val="0"/>
          <w:sz w:val="24"/>
        </w:rPr>
        <w:t xml:space="preserve">的推导依赖于链路几何参数和气象条件，参数估计本身引入的误差会传播至MMSE估计结果。此外，MMSE涉及矩阵求逆运算，计算复杂度随导频数量增加呈立方增长。</w:t>
      </w:r>
    </w:p>
    <w:p>
      <w:pPr>
        <w:pStyle w:val="8"/>
        <w:spacing w:line="440" w:lineRule="exact" w:afterLines="50" w:before="0"/>
        <w:jc w:val="both"/>
      </w:pPr>
      <w:r>
        <w:rPr>
          <w:rFonts w:ascii="Times New Roman" w:hAnsi="Times New Roman" w:eastAsia="宋体"/>
          <w:b w:val="0"/>
          <w:sz w:val="24"/>
        </w:rPr>
        <w:t xml:space="preserve">Kalman滤波通过自回归模型刻画信道的时变衰落特性，以递推方式实现信道状态的动态跟踪。自适应Kalman方案通过在线调整过程噪声协方差以适应信道环境变化</w:t>
      </w:r>
      <w:r>
        <w:rPr>
          <w:rFonts w:ascii="Times New Roman" w:hAnsi="Times New Roman" w:eastAsia="宋体"/>
          <w:b w:val="0"/>
          <w:sz w:val="24"/>
          <w:vertAlign w:val="superscript"/>
        </w:rPr>
        <w:t xml:space="preserve">[</w:t>
      </w:r>
      <w:hyperlink w:anchor="ref-zhang2023kf">
        <w:r>
          <w:rPr>
            <w:rStyle w:val="25"/>
            <w:vertAlign w:val="superscript"/>
          </w:rPr>
          <w:t xml:space="preserve">13</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，自适应过程噪声协方差优化在宽范围信噪比下亦优于固定参数配置</w:t>
      </w:r>
      <w:r>
        <w:rPr>
          <w:rFonts w:ascii="Times New Roman" w:hAnsi="Times New Roman" w:eastAsia="宋体"/>
          <w:b w:val="0"/>
          <w:sz w:val="24"/>
          <w:vertAlign w:val="superscript"/>
        </w:rPr>
        <w:t xml:space="preserve">[</w:t>
      </w:r>
      <w:hyperlink w:anchor="ref-xiang2018">
        <w:r>
          <w:rPr>
            <w:rStyle w:val="25"/>
            <w:vertAlign w:val="superscript"/>
          </w:rPr>
          <w:t xml:space="preserve">14</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。SR-UKF已应用于星地链路载波恢复场景</w:t>
      </w:r>
      <w:r>
        <w:rPr>
          <w:rFonts w:ascii="Times New Roman" w:hAnsi="Times New Roman" w:eastAsia="宋体"/>
          <w:b w:val="0"/>
          <w:sz w:val="24"/>
          <w:vertAlign w:val="superscript"/>
        </w:rPr>
        <w:t xml:space="preserve">[</w:t>
      </w:r>
      <w:hyperlink w:anchor="ref-sun2020">
        <w:r>
          <w:rPr>
            <w:rStyle w:val="25"/>
            <w:vertAlign w:val="superscript"/>
          </w:rPr>
          <w:t xml:space="preserve">15</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。然而，AR模型阶数的选择构成新的设计难题，且上述三类方法共享一个固有局限：依赖导频序列。导频开销通常为5%至10%，等效SNR损失约0.5至1 dB。</w:t>
      </w:r>
    </w:p>
    <w:bookmarkEnd w:id="22"/>
    <w:bookmarkStart w:id="23" w:name="数据驱动方法"/>
    <w:p>
      <w:pPr>
        <w:pStyle w:val="3"/>
        <w:ind w:firstLine="0" w:left="0"/>
        <w:jc w:val="left"/>
        <w:spacing w:beforeLines="50" w:afterLines="0" w:line="360" w:lineRule="auto"/>
      </w:pPr>
      <w:r>
        <w:rPr>
          <w:rFonts w:ascii="Times New Roman" w:hAnsi="Times New Roman" w:eastAsia="黑体"/>
          <w:b/>
          <w:sz w:val="28"/>
        </w:rPr>
        <w:t xml:space="preserve">3.2 数据驱动方法</w:t>
      </w:r>
    </w:p>
    <w:p>
      <w:pPr>
        <w:pStyle w:val="FirstParagraph"/>
        <w:spacing w:line="440" w:lineRule="exact" w:afterLines="50" w:before="0"/>
        <w:jc w:val="both"/>
      </w:pPr>
      <w:r>
        <w:rPr>
          <w:rFonts w:ascii="Times New Roman" w:hAnsi="Times New Roman" w:eastAsia="宋体"/>
          <w:b w:val="0"/>
          <w:sz w:val="24"/>
        </w:rPr>
        <w:t xml:space="preserve">深度学习方法的核心优势在于无需导频序列即可实现信道估计。基于神经网络的无导频信道估计方案已在FSO湍流场景中得到验证，估计性能接近理想CSI</w:t>
      </w:r>
      <w:r>
        <w:rPr>
          <w:rFonts w:ascii="Times New Roman" w:hAnsi="Times New Roman" w:eastAsia="宋体"/>
          <w:b w:val="0"/>
          <w:sz w:val="24"/>
          <w:vertAlign w:val="superscript"/>
        </w:rPr>
        <w:t xml:space="preserve">[</w:t>
      </w:r>
      <w:hyperlink w:anchor="ref-chen2023dl">
        <w:r>
          <w:rPr>
            <w:rStyle w:val="25"/>
            <w:vertAlign w:val="superscript"/>
          </w:rPr>
          <w:t xml:space="preserve">16</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。将神经网络与自编码器结合的方案已在空间光通信湍流信道中实现符号检测与信道估计的联合优化</w:t>
      </w:r>
      <w:r>
        <w:rPr>
          <w:rFonts w:ascii="Times New Roman" w:hAnsi="Times New Roman" w:eastAsia="宋体"/>
          <w:b w:val="0"/>
          <w:sz w:val="24"/>
          <w:vertAlign w:val="superscript"/>
        </w:rPr>
        <w:t xml:space="preserve">[</w:t>
      </w:r>
      <w:hyperlink w:anchor="ref-elfiky2024">
        <w:r>
          <w:rPr>
            <w:rStyle w:val="25"/>
            <w:vertAlign w:val="superscript"/>
          </w:rPr>
          <w:t xml:space="preserve">17</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。混合辅助数据与深度学习的两阶段方案在低轨OFDM系统中实现了较优的信道估计精度，表明DL与导频辅助并非互斥关系</w:t>
      </w:r>
      <w:r>
        <w:rPr>
          <w:rFonts w:ascii="Times New Roman" w:hAnsi="Times New Roman" w:eastAsia="宋体"/>
          <w:b w:val="0"/>
          <w:sz w:val="24"/>
          <w:vertAlign w:val="superscript"/>
        </w:rPr>
        <w:t xml:space="preserve">[</w:t>
      </w:r>
      <w:hyperlink w:anchor="ref-rustum2026iet">
        <w:r>
          <w:rPr>
            <w:rStyle w:val="25"/>
            <w:vertAlign w:val="superscript"/>
          </w:rPr>
          <w:t xml:space="preserve">18</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。然而，深度学习方法的泛化性边界尚未得到充分验证：当SNR超出训练数据范围时估计误差可增长一个数量级以上，跨湍流强度的泛化能力和训练数据与实际信道的分布偏移问题仍待解决。</w:t>
      </w:r>
    </w:p>
    <w:bookmarkEnd w:id="23"/>
    <w:bookmarkStart w:id="24" w:name="估计误差对系统性能的影响"/>
    <w:p>
      <w:pPr>
        <w:pStyle w:val="3"/>
        <w:ind w:firstLine="0" w:left="0"/>
        <w:jc w:val="left"/>
        <w:spacing w:beforeLines="50" w:afterLines="0" w:line="360" w:lineRule="auto"/>
      </w:pPr>
      <w:r>
        <w:rPr>
          <w:rFonts w:ascii="Times New Roman" w:hAnsi="Times New Roman" w:eastAsia="黑体"/>
          <w:b/>
          <w:sz w:val="28"/>
        </w:rPr>
        <w:t xml:space="preserve">3.3 估计误差对系统性能的影响</w:t>
      </w:r>
    </w:p>
    <w:p>
      <w:pPr>
        <w:pStyle w:val="FirstParagraph"/>
        <w:spacing w:line="440" w:lineRule="exact" w:afterLines="50" w:before="0"/>
        <w:jc w:val="both"/>
      </w:pPr>
      <w:r>
        <w:rPr>
          <w:rFonts w:ascii="Times New Roman" w:hAnsi="Times New Roman" w:eastAsia="宋体"/>
          <w:b w:val="0"/>
          <w:sz w:val="24"/>
        </w:rPr>
        <w:t xml:space="preserve">信道估计精度提升本身并非最终目标，估计误差将沿信号处理链传播并影响系统整体性能。Han等人定量分析了信道估计误差与指向误差对FSO系统中断概率的联合影响，给出了估计误差到链路性能的显式关系</w:t>
      </w:r>
      <w:r>
        <w:rPr>
          <w:rFonts w:ascii="Times New Roman" w:hAnsi="Times New Roman" w:eastAsia="宋体"/>
          <w:b w:val="0"/>
          <w:sz w:val="24"/>
          <w:vertAlign w:val="superscript"/>
        </w:rPr>
        <w:t xml:space="preserve">[</w:t>
      </w:r>
      <w:hyperlink w:anchor="ref-han2022jlt">
        <w:r>
          <w:rPr>
            <w:rStyle w:val="25"/>
            <w:vertAlign w:val="superscript"/>
          </w:rPr>
          <w:t xml:space="preserve">19</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。Brandao等人的100 Gbps FSO外场试验验证了发射端功率自适应方案的有效性</w:t>
      </w:r>
      <w:r>
        <w:rPr>
          <w:rFonts w:ascii="Times New Roman" w:hAnsi="Times New Roman" w:eastAsia="宋体"/>
          <w:b w:val="0"/>
          <w:sz w:val="24"/>
          <w:vertAlign w:val="superscript"/>
        </w:rPr>
        <w:t xml:space="preserve">[</w:t>
      </w:r>
      <w:hyperlink w:anchor="ref-brandao2024">
        <w:r>
          <w:rPr>
            <w:rStyle w:val="25"/>
            <w:vertAlign w:val="superscript"/>
          </w:rPr>
          <w:t xml:space="preserve">20</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。Safi等人将信道状态信息纳入系统性能建模</w:t>
      </w:r>
      <w:r>
        <w:rPr>
          <w:rFonts w:ascii="Times New Roman" w:hAnsi="Times New Roman" w:eastAsia="宋体"/>
          <w:b w:val="0"/>
          <w:sz w:val="24"/>
          <w:vertAlign w:val="superscript"/>
        </w:rPr>
        <w:t xml:space="preserve">[</w:t>
      </w:r>
      <w:hyperlink w:anchor="ref-safi2019">
        <w:r>
          <w:rPr>
            <w:rStyle w:val="25"/>
            <w:vertAlign w:val="superscript"/>
          </w:rPr>
          <w:t xml:space="preserve">21</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。然而，上述工作均未进一步分析估计误差如何沿信号处理链的中间环节传播和放大，不同信号处理方法对估计误差的灵敏度差异亦未被纳入考量。</w:t>
      </w:r>
    </w:p>
    <w:p>
      <w:pPr>
        <w:pStyle w:val="8"/>
        <w:spacing w:line="440" w:lineRule="exact" w:afterLines="50" w:before="0"/>
        <w:jc w:val="both"/>
      </w:pPr>
      <w:r>
        <w:rPr>
          <w:rFonts w:ascii="Times New Roman" w:hAnsi="Times New Roman" w:eastAsia="宋体"/>
          <w:b w:val="0"/>
          <w:sz w:val="24"/>
        </w:rPr>
        <w:t xml:space="preserve">LS、MMSE、Kalman三类导频辅助方法在估计精度上逐层改进但共享导频开销矛盾，深度学习方法有效缓解了导频依赖但泛化边界待验证。上述进展共同指向一个尚未解决的关键问题：现有研究以NMSE为核心评价指标，关注估计器本身的精度极限，但NMSE与载波同步等后续信号处理模块性能之间的定量映射关系尚不清晰。设计者缺乏从同步模块性能需求反推信道估计精度目标的定量依据，难以确定估计精度做到多少才能满足同步需求。这一缺口将在第5章与载波同步方向的空白形成因果链接。</w:t>
      </w:r>
    </w:p>
    <w:bookmarkEnd w:id="24"/>
    <w:bookmarkEnd w:id="25"/>
    <w:bookmarkStart w:id="30" w:name="湍流下载波同步方法"/>
    <w:p>
      <w:pPr>
        <w:pStyle w:val="2"/>
        <w:ind w:firstLine="0" w:left="0"/>
        <w:jc w:val="center"/>
        <w:spacing w:beforeLines="50" w:afterLines="100" w:line="360" w:lineRule="auto"/>
      </w:pPr>
      <w:r>
        <w:rPr>
          <w:rFonts w:ascii="Times New Roman" w:hAnsi="Times New Roman" w:eastAsia="黑体"/>
          <w:b/>
          <w:sz w:val="32"/>
        </w:rPr>
        <w:t xml:space="preserve">第4章 湍流下载波同步方法</w:t>
      </w:r>
    </w:p>
    <w:p>
      <w:pPr>
        <w:pStyle w:val="FirstParagraph"/>
        <w:spacing w:line="440" w:lineRule="exact" w:afterLines="50" w:before="0"/>
        <w:jc w:val="both"/>
      </w:pPr>
      <w:r>
        <w:rPr>
          <w:rFonts w:ascii="Times New Roman" w:hAnsi="Times New Roman" w:eastAsia="宋体"/>
          <w:b w:val="0"/>
          <w:sz w:val="24"/>
        </w:rPr>
        <w:t xml:space="preserve">相干光卫星接收机的信号处理可划分为定时恢复、载波同步和自适应均衡三个关键子系统</w:t>
      </w:r>
      <w:r>
        <w:rPr>
          <w:rFonts w:ascii="Times New Roman" w:hAnsi="Times New Roman" w:eastAsia="宋体"/>
          <w:b w:val="0"/>
          <w:sz w:val="24"/>
          <w:vertAlign w:val="superscript"/>
        </w:rPr>
        <w:t xml:space="preserve">[</w:t>
      </w:r>
      <w:hyperlink w:anchor="ref-valjus2025dsp">
        <w:r>
          <w:rPr>
            <w:rStyle w:val="25"/>
            <w:vertAlign w:val="superscript"/>
          </w:rPr>
          <w:t xml:space="preserve">22</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。其中，定时恢复在现有符号率条件下性能影响有限（通常小于0.2 dB），自适应均衡在无码间干扰的FSO场景中需求有限，而载波同步对系统误码率的影响最为显著。本节聚焦载波同步子系统，从光纤场景下的成熟理论出发，逐层分析湍流场景下的挑战与研究现状。</w:t>
      </w:r>
    </w:p>
    <w:bookmarkStart w:id="26" w:name="多普勒频偏处理"/>
    <w:p>
      <w:pPr>
        <w:pStyle w:val="3"/>
        <w:ind w:firstLine="0" w:left="0"/>
        <w:jc w:val="left"/>
        <w:spacing w:beforeLines="50" w:afterLines="0" w:line="360" w:lineRule="auto"/>
      </w:pPr>
      <w:r>
        <w:rPr>
          <w:rFonts w:ascii="Times New Roman" w:hAnsi="Times New Roman" w:eastAsia="黑体"/>
          <w:b/>
          <w:sz w:val="28"/>
        </w:rPr>
        <w:t xml:space="preserve">4.1 多普勒频偏处理</w:t>
      </w:r>
    </w:p>
    <w:p>
      <w:pPr>
        <w:pStyle w:val="FirstParagraph"/>
        <w:spacing w:line="440" w:lineRule="exact" w:afterLines="50" w:before="0"/>
        <w:jc w:val="both"/>
      </w:pPr>
      <w:r>
        <w:rPr>
          <w:rFonts w:ascii="Times New Roman" w:hAnsi="Times New Roman" w:eastAsia="宋体"/>
          <w:b w:val="0"/>
          <w:sz w:val="24"/>
        </w:rPr>
        <w:t xml:space="preserve">低轨卫星的高速运动引入大多普勒频偏，以轨道高度500 km为例，频偏可达$</w:t>
      </w:r>
      <w:r>
        <w:rPr>
          <w:rFonts w:ascii="Times New Roman" w:hAnsi="Times New Roman" w:eastAsia="宋体"/>
          <w:b w:val="0"/>
          <w:sz w:val="24"/>
        </w:rPr>
        <w:t xml:space="preserve">$5 GHz，变化率约40–150 MHz/s</w:t>
      </w:r>
      <w:r>
        <w:rPr>
          <w:rFonts w:ascii="Times New Roman" w:hAnsi="Times New Roman" w:eastAsia="宋体"/>
          <w:b w:val="0"/>
          <w:sz w:val="24"/>
          <w:vertAlign w:val="superscript"/>
        </w:rPr>
        <w:t xml:space="preserve">[</w:t>
      </w:r>
      <w:hyperlink w:anchor="ref-fernandes2023">
        <w:r>
          <w:rPr>
            <w:rStyle w:val="25"/>
            <w:vertAlign w:val="superscript"/>
          </w:rPr>
          <w:t xml:space="preserve">23</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。研究形成了发射端预补偿与接收端数字跟踪两条技术路径：预补偿方案利用卫星轨道参数在发射信号中预叠加补偿相位</w:t>
      </w:r>
      <w:r>
        <w:rPr>
          <w:rFonts w:ascii="Times New Roman" w:hAnsi="Times New Roman" w:eastAsia="宋体"/>
          <w:b w:val="0"/>
          <w:sz w:val="24"/>
          <w:vertAlign w:val="superscript"/>
        </w:rPr>
        <w:t xml:space="preserve">[</w:t>
      </w:r>
      <w:hyperlink w:anchor="ref-almonacil2020">
        <w:r>
          <w:rPr>
            <w:rStyle w:val="25"/>
            <w:vertAlign w:val="superscript"/>
          </w:rPr>
          <w:t xml:space="preserve">24</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；数字补偿方案在符号率2.5 Gsps条件下将残余频偏降至CPR可处理范围</w:t>
      </w:r>
      <w:r>
        <w:rPr>
          <w:rFonts w:ascii="Times New Roman" w:hAnsi="Times New Roman" w:eastAsia="宋体"/>
          <w:b w:val="0"/>
          <w:sz w:val="24"/>
          <w:vertAlign w:val="superscript"/>
        </w:rPr>
        <w:t xml:space="preserve">[</w:t>
      </w:r>
      <w:hyperlink w:anchor="ref-fernandes2023">
        <w:r>
          <w:rPr>
            <w:rStyle w:val="25"/>
            <w:vertAlign w:val="superscript"/>
          </w:rPr>
          <w:t xml:space="preserve">23</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。联合多普勒与相位噪声补偿方案已实现小于0.5 dB的性能损失</w:t>
      </w:r>
      <w:r>
        <w:rPr>
          <w:rFonts w:ascii="Times New Roman" w:hAnsi="Times New Roman" w:eastAsia="宋体"/>
          <w:b w:val="0"/>
          <w:sz w:val="24"/>
          <w:vertAlign w:val="superscript"/>
        </w:rPr>
        <w:t xml:space="preserve">[</w:t>
      </w:r>
      <w:hyperlink w:anchor="ref-zhao2025">
        <w:r>
          <w:rPr>
            <w:rStyle w:val="25"/>
            <w:vertAlign w:val="superscript"/>
          </w:rPr>
          <w:t xml:space="preserve">25</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，FPGA平台上的实时跟踪亦验证了工程可行性</w:t>
      </w:r>
      <w:r>
        <w:rPr>
          <w:rFonts w:ascii="Times New Roman" w:hAnsi="Times New Roman" w:eastAsia="宋体"/>
          <w:b w:val="0"/>
          <w:sz w:val="24"/>
          <w:vertAlign w:val="superscript"/>
        </w:rPr>
        <w:t xml:space="preserve">[</w:t>
      </w:r>
      <w:hyperlink w:anchor="ref-wang2025a">
        <w:r>
          <w:rPr>
            <w:rStyle w:val="25"/>
            <w:vertAlign w:val="superscript"/>
          </w:rPr>
          <w:t xml:space="preserve">26</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。综合上述研究，多普勒频偏通过预补偿与数字跟踪的联合处理已基本解决，残余频偏通常在CPR算法的容忍范围内。</w:t>
      </w:r>
    </w:p>
    <w:bookmarkEnd w:id="26"/>
    <w:bookmarkStart w:id="27" w:name="载波相位恢复方法"/>
    <w:p>
      <w:pPr>
        <w:pStyle w:val="3"/>
        <w:ind w:firstLine="0" w:left="0"/>
        <w:jc w:val="left"/>
        <w:spacing w:beforeLines="50" w:afterLines="0" w:line="360" w:lineRule="auto"/>
      </w:pPr>
      <w:r>
        <w:rPr>
          <w:rFonts w:ascii="Times New Roman" w:hAnsi="Times New Roman" w:eastAsia="黑体"/>
          <w:b/>
          <w:sz w:val="28"/>
        </w:rPr>
        <w:t xml:space="preserve">4.2 载波相位恢复方法</w:t>
      </w:r>
    </w:p>
    <w:p>
      <w:pPr>
        <w:pStyle w:val="FirstParagraph"/>
        <w:spacing w:line="440" w:lineRule="exact" w:afterLines="50" w:before="0"/>
        <w:jc w:val="both"/>
      </w:pPr>
      <w:r>
        <w:rPr>
          <w:rFonts w:ascii="Times New Roman" w:hAnsi="Times New Roman" w:eastAsia="宋体"/>
          <w:b w:val="0"/>
          <w:sz w:val="24"/>
        </w:rPr>
        <w:t xml:space="preserve">在残余频偏得到抑制后，CPR成为保证相干解调性能的关键环节。各类方法按其技术路线分述如下。</w:t>
      </w:r>
    </w:p>
    <w:p>
      <w:pPr>
        <w:pStyle w:val="8"/>
        <w:spacing w:line="440" w:lineRule="exact" w:afterLines="50" w:before="0"/>
        <w:jc w:val="both"/>
      </w:pPr>
      <w:r>
        <w:rPr>
          <w:rFonts w:ascii="Times New Roman" w:hAnsi="Times New Roman" w:eastAsia="宋体"/>
          <w:b w:val="0"/>
          <w:sz w:val="24"/>
        </w:rPr>
        <w:t xml:space="preserve">VV算法通过对信号进行</w:t>
      </w:r>
      <m:oMath>
        <m:r>
          <m:t>M</m:t>
        </m:r>
      </m:oMath>
      <w:r>
        <w:rPr>
          <w:rFonts w:ascii="Times New Roman" w:hAnsi="Times New Roman" w:eastAsia="宋体"/>
          <w:b w:val="0"/>
          <w:sz w:val="24"/>
        </w:rPr>
        <w:t xml:space="preserve">次幂运算消除调制信息，凭借结构简洁的优势成为QPSK系统的主流前馈方法</w:t>
      </w:r>
      <w:r>
        <w:rPr>
          <w:rFonts w:ascii="Times New Roman" w:hAnsi="Times New Roman" w:eastAsia="宋体"/>
          <w:b w:val="0"/>
          <w:sz w:val="24"/>
          <w:vertAlign w:val="superscript"/>
        </w:rPr>
        <w:t xml:space="preserve">[</w:t>
      </w:r>
      <w:hyperlink w:anchor="ref-viterbi1983">
        <w:r>
          <w:rPr>
            <w:rStyle w:val="25"/>
            <w:vertAlign w:val="superscript"/>
          </w:rPr>
          <w:t xml:space="preserve">27</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，但</w:t>
      </w:r>
      <m:oMath>
        <m:r>
          <m:t>M</m:t>
        </m:r>
      </m:oMath>
      <w:r>
        <w:rPr>
          <w:rFonts w:ascii="Times New Roman" w:hAnsi="Times New Roman" w:eastAsia="宋体"/>
          <w:b w:val="0"/>
          <w:sz w:val="24"/>
        </w:rPr>
        <w:t xml:space="preserve">次幂运算引入相位噪声放大效应，平均窗口长度的选择面临噪声平滑与跟踪灵敏度的折中</w:t>
      </w:r>
      <w:r>
        <w:rPr>
          <w:rFonts w:ascii="Times New Roman" w:hAnsi="Times New Roman" w:eastAsia="宋体"/>
          <w:b w:val="0"/>
          <w:sz w:val="24"/>
          <w:vertAlign w:val="superscript"/>
        </w:rPr>
        <w:t xml:space="preserve">[</w:t>
      </w:r>
      <w:hyperlink w:anchor="ref-guanhaijun2019">
        <w:r>
          <w:rPr>
            <w:rStyle w:val="25"/>
            <w:vertAlign w:val="superscript"/>
          </w:rPr>
          <w:t xml:space="preserve">28</w:t>
        </w:r>
      </w:hyperlink>
      <w:r>
        <w:rPr>
          <w:rFonts w:ascii="Times New Roman" w:hAnsi="Times New Roman" w:eastAsia="宋体"/>
          <w:b w:val="0"/>
          <w:sz w:val="24"/>
          <w:vertAlign w:val="superscript"/>
        </w:rPr>
        <w:t xml:space="preserve">,</w:t>
      </w:r>
      <w:hyperlink w:anchor="ref-taylor2009">
        <w:r>
          <w:rPr>
            <w:rStyle w:val="25"/>
            <w:vertAlign w:val="superscript"/>
          </w:rPr>
          <w:t xml:space="preserve">29</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。BPS通过在相位空间中穷举搜索最佳匹配角度避免</w:t>
      </w:r>
      <m:oMath>
        <m:r>
          <m:t>M</m:t>
        </m:r>
      </m:oMath>
      <w:r>
        <w:rPr>
          <w:rFonts w:ascii="Times New Roman" w:hAnsi="Times New Roman" w:eastAsia="宋体"/>
          <w:b w:val="0"/>
          <w:sz w:val="24"/>
        </w:rPr>
        <w:t xml:space="preserve">次幂噪声放大，对高阶调制格式适应性更好，但复杂度随调制阶数上升</w:t>
      </w:r>
      <w:r>
        <w:rPr>
          <w:rFonts w:ascii="Times New Roman" w:hAnsi="Times New Roman" w:eastAsia="宋体"/>
          <w:b w:val="0"/>
          <w:sz w:val="24"/>
          <w:vertAlign w:val="superscript"/>
        </w:rPr>
        <w:t xml:space="preserve">[</w:t>
      </w:r>
      <w:hyperlink w:anchor="ref-pfau2009">
        <w:r>
          <w:rPr>
            <w:rStyle w:val="25"/>
            <w:vertAlign w:val="superscript"/>
          </w:rPr>
          <w:t xml:space="preserve">30</w:t>
        </w:r>
      </w:hyperlink>
      <w:r>
        <w:rPr>
          <w:rFonts w:ascii="Times New Roman" w:hAnsi="Times New Roman" w:eastAsia="宋体"/>
          <w:b w:val="0"/>
          <w:sz w:val="24"/>
          <w:vertAlign w:val="superscript"/>
        </w:rPr>
        <w:t xml:space="preserve">,</w:t>
      </w:r>
      <w:hyperlink w:anchor="ref-yang2025">
        <w:r>
          <w:rPr>
            <w:rStyle w:val="25"/>
            <w:vertAlign w:val="superscript"/>
          </w:rPr>
          <w:t xml:space="preserve">31</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。DPLL采用闭环反馈结构跟踪载波相位，对相位噪声和残余频偏具有内在鲁棒性</w:t>
      </w:r>
      <w:r>
        <w:rPr>
          <w:rFonts w:ascii="Times New Roman" w:hAnsi="Times New Roman" w:eastAsia="宋体"/>
          <w:b w:val="0"/>
          <w:sz w:val="24"/>
          <w:vertAlign w:val="superscript"/>
        </w:rPr>
        <w:t xml:space="preserve">[</w:t>
      </w:r>
      <w:hyperlink w:anchor="ref-paillier2020">
        <w:r>
          <w:rPr>
            <w:rStyle w:val="25"/>
            <w:vertAlign w:val="superscript"/>
          </w:rPr>
          <w:t xml:space="preserve">32</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。经典综述给出了载波相位估计的理论框架</w:t>
      </w:r>
      <w:r>
        <w:rPr>
          <w:rFonts w:ascii="Times New Roman" w:hAnsi="Times New Roman" w:eastAsia="宋体"/>
          <w:b w:val="0"/>
          <w:sz w:val="24"/>
          <w:vertAlign w:val="superscript"/>
        </w:rPr>
        <w:t xml:space="preserve">[</w:t>
      </w:r>
      <w:hyperlink w:anchor="ref-taylor2009">
        <w:r>
          <w:rPr>
            <w:rStyle w:val="25"/>
            <w:vertAlign w:val="superscript"/>
          </w:rPr>
          <w:t xml:space="preserve">29</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，各类CPR算法在256 GBaud下的性能对比亦已完成</w:t>
      </w:r>
      <w:r>
        <w:rPr>
          <w:rFonts w:ascii="Times New Roman" w:hAnsi="Times New Roman" w:eastAsia="宋体"/>
          <w:b w:val="0"/>
          <w:sz w:val="24"/>
          <w:vertAlign w:val="superscript"/>
        </w:rPr>
        <w:t xml:space="preserve">[</w:t>
      </w:r>
      <w:hyperlink w:anchor="ref-neves2024">
        <w:r>
          <w:rPr>
            <w:rStyle w:val="25"/>
            <w:vertAlign w:val="superscript"/>
          </w:rPr>
          <w:t xml:space="preserve">33</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w:t>
      </w:r>
    </w:p>
    <w:p>
      <w:pPr>
        <w:pStyle w:val="8"/>
        <w:spacing w:line="440" w:lineRule="exact" w:afterLines="50" w:before="0"/>
        <w:jc w:val="both"/>
      </w:pPr>
      <w:r>
        <w:rPr>
          <w:rFonts w:ascii="Times New Roman" w:hAnsi="Times New Roman" w:eastAsia="宋体"/>
          <w:b w:val="0"/>
          <w:sz w:val="24"/>
        </w:rPr>
        <w:t xml:space="preserve">上述方法在光纤和白噪声场景已有充分研究，部分方案已向星地链路迁移。Paillier等人在星地相干光链路中采用DPLL结合自适应光学方案，发现湍流导致约2.3 dB的误码率惩罚</w:t>
      </w:r>
      <w:r>
        <w:rPr>
          <w:rFonts w:ascii="Times New Roman" w:hAnsi="Times New Roman" w:eastAsia="宋体"/>
          <w:b w:val="0"/>
          <w:sz w:val="24"/>
          <w:vertAlign w:val="superscript"/>
        </w:rPr>
        <w:t xml:space="preserve">[</w:t>
      </w:r>
      <w:hyperlink w:anchor="ref-paillier2020">
        <w:r>
          <w:rPr>
            <w:rStyle w:val="25"/>
            <w:vertAlign w:val="superscript"/>
          </w:rPr>
          <w:t xml:space="preserve">32</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这是为数不多的同时涉及大气湍流与载波相位恢复的实验文献之一，但该工作的重心在于AO系统评估，对载波相位恢复算法本身在湍流下的行为未做系统性分析。Wang等人在湍流场景下实现了帧同步与载波恢复的联合设计</w:t>
      </w:r>
      <w:r>
        <w:rPr>
          <w:rFonts w:ascii="Times New Roman" w:hAnsi="Times New Roman" w:eastAsia="宋体"/>
          <w:b w:val="0"/>
          <w:sz w:val="24"/>
          <w:vertAlign w:val="superscript"/>
        </w:rPr>
        <w:t xml:space="preserve">[</w:t>
      </w:r>
      <w:hyperlink w:anchor="ref-wang2024oe">
        <w:r>
          <w:rPr>
            <w:rStyle w:val="25"/>
            <w:vertAlign w:val="superscript"/>
          </w:rPr>
          <w:t xml:space="preserve">34</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，但未进行不同算法间的横向比较。管海军等人研究了VV算法在FSO相干系统中的应用</w:t>
      </w:r>
      <w:r>
        <w:rPr>
          <w:rFonts w:ascii="Times New Roman" w:hAnsi="Times New Roman" w:eastAsia="宋体"/>
          <w:b w:val="0"/>
          <w:sz w:val="24"/>
          <w:vertAlign w:val="superscript"/>
        </w:rPr>
        <w:t xml:space="preserve">[</w:t>
      </w:r>
      <w:hyperlink w:anchor="ref-guanhaijun2019">
        <w:r>
          <w:rPr>
            <w:rStyle w:val="25"/>
            <w:vertAlign w:val="superscript"/>
          </w:rPr>
          <w:t xml:space="preserve">28</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，Li等人分析了VV在高相位噪声下的平均窗口效应</w:t>
      </w:r>
      <w:r>
        <w:rPr>
          <w:rFonts w:ascii="Times New Roman" w:hAnsi="Times New Roman" w:eastAsia="宋体"/>
          <w:b w:val="0"/>
          <w:sz w:val="24"/>
          <w:vertAlign w:val="superscript"/>
        </w:rPr>
        <w:t xml:space="preserve">[</w:t>
      </w:r>
      <w:hyperlink w:anchor="ref-li2019">
        <w:r>
          <w:rPr>
            <w:rStyle w:val="25"/>
            <w:vertAlign w:val="superscript"/>
          </w:rPr>
          <w:t xml:space="preserve">35</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w:t>
      </w:r>
    </w:p>
    <w:bookmarkEnd w:id="27"/>
    <w:bookmarkStart w:id="28" w:name="面向湍流的性能分析与参数设计"/>
    <w:p>
      <w:pPr>
        <w:pStyle w:val="3"/>
        <w:ind w:firstLine="0" w:left="0"/>
        <w:jc w:val="left"/>
        <w:spacing w:beforeLines="50" w:afterLines="0" w:line="360" w:lineRule="auto"/>
      </w:pPr>
      <w:r>
        <w:rPr>
          <w:rFonts w:ascii="Times New Roman" w:hAnsi="Times New Roman" w:eastAsia="黑体"/>
          <w:b/>
          <w:sz w:val="28"/>
        </w:rPr>
        <w:t xml:space="preserve">4.3 面向湍流的性能分析与参数设计</w:t>
      </w:r>
    </w:p>
    <w:p>
      <w:pPr>
        <w:pStyle w:val="FirstParagraph"/>
        <w:spacing w:line="440" w:lineRule="exact" w:afterLines="50" w:before="0"/>
        <w:jc w:val="both"/>
      </w:pPr>
      <w:r>
        <w:rPr>
          <w:rFonts w:ascii="Times New Roman" w:hAnsi="Times New Roman" w:eastAsia="宋体"/>
          <w:b w:val="0"/>
          <w:sz w:val="24"/>
        </w:rPr>
        <w:t xml:space="preserve">上述载波同步方法的研究主要集中在算法设计与改进，面向湍流信道的系统性性能分析和参数设计方法相对薄弱。</w:t>
      </w:r>
    </w:p>
    <w:p>
      <w:pPr>
        <w:pStyle w:val="8"/>
        <w:spacing w:line="440" w:lineRule="exact" w:afterLines="50" w:before="0"/>
        <w:jc w:val="both"/>
      </w:pPr>
      <w:r>
        <w:rPr>
          <w:rFonts w:ascii="Times New Roman" w:hAnsi="Times New Roman" w:eastAsia="宋体"/>
          <w:b w:val="0"/>
          <w:sz w:val="24"/>
        </w:rPr>
        <w:t xml:space="preserve">在分析模型方面，Petković等人在Málaga湍流下给出了M元PSK结合相位噪声的符号错误概率解析框架</w:t>
      </w:r>
      <w:r>
        <w:rPr>
          <w:rFonts w:ascii="Times New Roman" w:hAnsi="Times New Roman" w:eastAsia="宋体"/>
          <w:b w:val="0"/>
          <w:sz w:val="24"/>
          <w:vertAlign w:val="superscript"/>
        </w:rPr>
        <w:t xml:space="preserve">[</w:t>
      </w:r>
      <w:hyperlink w:anchor="ref-petkovic2022">
        <w:r>
          <w:rPr>
            <w:rStyle w:val="25"/>
            <w:vertAlign w:val="superscript"/>
          </w:rPr>
          <w:t xml:space="preserve">36</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分析了调制阶数和湍流参数对可容忍相位噪声标准差的影响，并给出了从可容忍相位噪声标准差到DPLL环路参数的映射规则，为”分析模型→设计方法”模式提供了参考。然而，该模型仅研究DPLL一种载波恢复方法，未考虑信道估计误差对载波恢复性能的影响。Paillier等人在星地相干链路中沿用白噪声信道公式设计DPLL参数</w:t>
      </w:r>
      <w:r>
        <w:rPr>
          <w:rFonts w:ascii="Times New Roman" w:hAnsi="Times New Roman" w:eastAsia="宋体"/>
          <w:b w:val="0"/>
          <w:sz w:val="24"/>
          <w:vertAlign w:val="superscript"/>
        </w:rPr>
        <w:t xml:space="preserve">[</w:t>
      </w:r>
      <w:hyperlink w:anchor="ref-paillier2020">
        <w:r>
          <w:rPr>
            <w:rStyle w:val="25"/>
            <w:vertAlign w:val="superscript"/>
          </w:rPr>
          <w:t xml:space="preserve">32</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，未将GG湍流参数纳入性能模型。</w:t>
      </w:r>
    </w:p>
    <w:p>
      <w:pPr>
        <w:pStyle w:val="8"/>
        <w:spacing w:line="440" w:lineRule="exact" w:afterLines="50" w:before="0"/>
        <w:jc w:val="both"/>
      </w:pPr>
      <w:r>
        <w:rPr>
          <w:rFonts w:ascii="Times New Roman" w:hAnsi="Times New Roman" w:eastAsia="宋体"/>
          <w:b w:val="0"/>
          <w:sz w:val="24"/>
        </w:rPr>
        <w:t xml:space="preserve">在参数设计理论方面，白噪声信道下已有较为成熟的设计方法。经典PLL设计理论分析了DPLL环路带宽与跟踪误差的最优折中关系</w:t>
      </w:r>
      <w:r>
        <w:rPr>
          <w:rFonts w:ascii="Times New Roman" w:hAnsi="Times New Roman" w:eastAsia="宋体"/>
          <w:b w:val="0"/>
          <w:sz w:val="24"/>
          <w:vertAlign w:val="superscript"/>
        </w:rPr>
        <w:t xml:space="preserve">[</w:t>
      </w:r>
      <w:hyperlink w:anchor="ref-gardner1979">
        <w:r>
          <w:rPr>
            <w:rStyle w:val="25"/>
            <w:vertAlign w:val="superscript"/>
          </w:rPr>
          <w:t xml:space="preserve">37</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，Moeneclaey等人给出了白噪声下VV最优平均窗口的闭合公式</w:t>
      </w:r>
      <w:r>
        <w:rPr>
          <w:rFonts w:ascii="Times New Roman" w:hAnsi="Times New Roman" w:eastAsia="宋体"/>
          <w:b w:val="0"/>
          <w:sz w:val="24"/>
          <w:vertAlign w:val="superscript"/>
        </w:rPr>
        <w:t xml:space="preserve">[</w:t>
      </w:r>
      <w:hyperlink w:anchor="ref-moeneclaey1994">
        <w:r>
          <w:rPr>
            <w:rStyle w:val="25"/>
            <w:vertAlign w:val="superscript"/>
          </w:rPr>
          <w:t xml:space="preserve">38</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，Schmogrow等人建立了EVM与调制格式性能之间的定量关系</w:t>
      </w:r>
      <w:r>
        <w:rPr>
          <w:rFonts w:ascii="Times New Roman" w:hAnsi="Times New Roman" w:eastAsia="宋体"/>
          <w:b w:val="0"/>
          <w:sz w:val="24"/>
          <w:vertAlign w:val="superscript"/>
        </w:rPr>
        <w:t xml:space="preserve">[</w:t>
      </w:r>
      <w:hyperlink w:anchor="ref-schmogrow2012">
        <w:r>
          <w:rPr>
            <w:rStyle w:val="25"/>
            <w:vertAlign w:val="superscript"/>
          </w:rPr>
          <w:t xml:space="preserve">39</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。然而，上述设计方法均以白噪声信道为前提。在湍流条件下，VV算法的平均窗口长度选择面临精度与跟踪能力的严重折中</w:t>
      </w:r>
      <w:r>
        <w:rPr>
          <w:rFonts w:ascii="Times New Roman" w:hAnsi="Times New Roman" w:eastAsia="宋体"/>
          <w:b w:val="0"/>
          <w:sz w:val="24"/>
          <w:vertAlign w:val="superscript"/>
        </w:rPr>
        <w:t xml:space="preserve">[</w:t>
      </w:r>
      <w:hyperlink w:anchor="ref-li2019">
        <w:r>
          <w:rPr>
            <w:rStyle w:val="25"/>
            <w:vertAlign w:val="superscript"/>
          </w:rPr>
          <w:t xml:space="preserve">35</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；BPS的搜索块长度同样需要根据湍流强度调整</w:t>
      </w:r>
      <w:r>
        <w:rPr>
          <w:rFonts w:ascii="Times New Roman" w:hAnsi="Times New Roman" w:eastAsia="宋体"/>
          <w:b w:val="0"/>
          <w:sz w:val="24"/>
          <w:vertAlign w:val="superscript"/>
        </w:rPr>
        <w:t xml:space="preserve">[</w:t>
      </w:r>
      <w:hyperlink w:anchor="ref-xiang2015">
        <w:r>
          <w:rPr>
            <w:rStyle w:val="25"/>
            <w:vertAlign w:val="superscript"/>
          </w:rPr>
          <w:t xml:space="preserve">40</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。白噪声下成熟的参数设计公式在GG湍流下不再直接适用。</w:t>
      </w:r>
    </w:p>
    <w:bookmarkEnd w:id="28"/>
    <w:bookmarkStart w:id="29" w:name="信号处理改进方向"/>
    <w:p>
      <w:pPr>
        <w:pStyle w:val="3"/>
        <w:ind w:firstLine="0" w:left="0"/>
        <w:jc w:val="left"/>
        <w:spacing w:beforeLines="50" w:afterLines="0" w:line="360" w:lineRule="auto"/>
      </w:pPr>
      <w:r>
        <w:rPr>
          <w:rFonts w:ascii="Times New Roman" w:hAnsi="Times New Roman" w:eastAsia="黑体"/>
          <w:b/>
          <w:sz w:val="28"/>
        </w:rPr>
        <w:t xml:space="preserve">4.4 信号处理改进方向</w:t>
      </w:r>
    </w:p>
    <w:p>
      <w:pPr>
        <w:pStyle w:val="FirstParagraph"/>
        <w:spacing w:line="440" w:lineRule="exact" w:afterLines="50" w:before="0"/>
        <w:jc w:val="both"/>
      </w:pPr>
      <w:r>
        <w:rPr>
          <w:rFonts w:ascii="Times New Roman" w:hAnsi="Times New Roman" w:eastAsia="宋体"/>
          <w:b w:val="0"/>
          <w:sz w:val="24"/>
        </w:rPr>
        <w:t xml:space="preserve">除上述面向具体算法的性能分析外，信号处理优化还涉及两个方向。在编码辅助载波恢复方向上，Oh和Cheun给出了Turbo码联合解码与载波相位恢复的奠基框架</w:t>
      </w:r>
      <w:r>
        <w:rPr>
          <w:rFonts w:ascii="Times New Roman" w:hAnsi="Times New Roman" w:eastAsia="宋体"/>
          <w:b w:val="0"/>
          <w:sz w:val="24"/>
          <w:vertAlign w:val="superscript"/>
        </w:rPr>
        <w:t xml:space="preserve">[</w:t>
      </w:r>
      <w:hyperlink w:anchor="ref-oh2001">
        <w:r>
          <w:rPr>
            <w:rStyle w:val="25"/>
            <w:vertAlign w:val="superscript"/>
          </w:rPr>
          <w:t xml:space="preserve">41</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，Lottici和Luise基于期望最大化算法给出了完整的理论框架</w:t>
      </w:r>
      <w:r>
        <w:rPr>
          <w:rFonts w:ascii="Times New Roman" w:hAnsi="Times New Roman" w:eastAsia="宋体"/>
          <w:b w:val="0"/>
          <w:sz w:val="24"/>
          <w:vertAlign w:val="superscript"/>
        </w:rPr>
        <w:t xml:space="preserve">[</w:t>
      </w:r>
      <w:hyperlink w:anchor="ref-lottici2004">
        <w:r>
          <w:rPr>
            <w:rStyle w:val="25"/>
            <w:vertAlign w:val="superscript"/>
          </w:rPr>
          <w:t xml:space="preserve">42</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，Wu等人进一步分析了迭代载波相位恢复的收敛条件和性能边界</w:t>
      </w:r>
      <w:r>
        <w:rPr>
          <w:rFonts w:ascii="Times New Roman" w:hAnsi="Times New Roman" w:eastAsia="宋体"/>
          <w:b w:val="0"/>
          <w:sz w:val="24"/>
          <w:vertAlign w:val="superscript"/>
        </w:rPr>
        <w:t xml:space="preserve">[</w:t>
      </w:r>
      <w:hyperlink w:anchor="ref-wu2012">
        <w:r>
          <w:rPr>
            <w:rStyle w:val="25"/>
            <w:vertAlign w:val="superscript"/>
          </w:rPr>
          <w:t xml:space="preserve">43</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。在光通信领域，Castrillon等人在光纤相干系统中验证了联合迭代检测与解码对激光相位噪声的补偿效果</w:t>
      </w:r>
      <w:r>
        <w:rPr>
          <w:rFonts w:ascii="Times New Roman" w:hAnsi="Times New Roman" w:eastAsia="宋体"/>
          <w:b w:val="0"/>
          <w:sz w:val="24"/>
          <w:vertAlign w:val="superscript"/>
        </w:rPr>
        <w:t xml:space="preserve">[</w:t>
      </w:r>
      <w:hyperlink w:anchor="ref-castrillon2015">
        <w:r>
          <w:rPr>
            <w:rStyle w:val="25"/>
            <w:vertAlign w:val="superscript"/>
          </w:rPr>
          <w:t xml:space="preserve">44</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，Yuan和Igarashi进一步展示了迭代载波恢复与FEC结合的可行性</w:t>
      </w:r>
      <w:r>
        <w:rPr>
          <w:rFonts w:ascii="Times New Roman" w:hAnsi="Times New Roman" w:eastAsia="宋体"/>
          <w:b w:val="0"/>
          <w:sz w:val="24"/>
          <w:vertAlign w:val="superscript"/>
        </w:rPr>
        <w:t xml:space="preserve">[</w:t>
      </w:r>
      <w:hyperlink w:anchor="ref-yuan2017">
        <w:r>
          <w:rPr>
            <w:rStyle w:val="25"/>
            <w:vertAlign w:val="superscript"/>
          </w:rPr>
          <w:t xml:space="preserve">45</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。然而，上述工作均在光纤或白噪声信道条件下完成，FSO湍流场景中块衰落型相位噪声与现有编码辅助框架假设的噪声模型不匹配，该方向的适配性仍有待探索。</w:t>
      </w:r>
    </w:p>
    <w:p>
      <w:pPr>
        <w:pStyle w:val="8"/>
        <w:spacing w:line="440" w:lineRule="exact" w:afterLines="50" w:before="0"/>
        <w:jc w:val="both"/>
      </w:pPr>
      <w:r>
        <w:rPr>
          <w:rFonts w:ascii="Times New Roman" w:hAnsi="Times New Roman" w:eastAsia="宋体"/>
          <w:b w:val="0"/>
          <w:sz w:val="24"/>
        </w:rPr>
        <w:t xml:space="preserve">在多源相位噪声建模方向上，Ozbilgin等人分析了可见光通信中相位噪声对系统性能的影响</w:t>
      </w:r>
      <w:r>
        <w:rPr>
          <w:rFonts w:ascii="Times New Roman" w:hAnsi="Times New Roman" w:eastAsia="宋体"/>
          <w:b w:val="0"/>
          <w:sz w:val="24"/>
          <w:vertAlign w:val="superscript"/>
        </w:rPr>
        <w:t xml:space="preserve">[</w:t>
      </w:r>
      <w:hyperlink w:anchor="ref-oezbilgin2025">
        <w:r>
          <w:rPr>
            <w:rStyle w:val="25"/>
            <w:vertAlign w:val="superscript"/>
          </w:rPr>
          <w:t xml:space="preserve">46</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，但未涉及多源噪声的联合建模。Gappmair等人分析了GG湍流信道中相位噪声与指向误差对FSO系统性能的综合影响</w:t>
      </w:r>
      <w:r>
        <w:rPr>
          <w:rFonts w:ascii="Times New Roman" w:hAnsi="Times New Roman" w:eastAsia="宋体"/>
          <w:b w:val="0"/>
          <w:sz w:val="24"/>
          <w:vertAlign w:val="superscript"/>
        </w:rPr>
        <w:t xml:space="preserve">[</w:t>
      </w:r>
      <w:hyperlink w:anchor="ref-gappmair2017">
        <w:r>
          <w:rPr>
            <w:rStyle w:val="25"/>
            <w:vertAlign w:val="superscript"/>
          </w:rPr>
          <w:t xml:space="preserve">47</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，Li等人进一步给出了激光线宽容限与指向误差的联合闭合表达式</w:t>
      </w:r>
      <w:r>
        <w:rPr>
          <w:rFonts w:ascii="Times New Roman" w:hAnsi="Times New Roman" w:eastAsia="宋体"/>
          <w:b w:val="0"/>
          <w:sz w:val="24"/>
          <w:vertAlign w:val="superscript"/>
        </w:rPr>
        <w:t xml:space="preserve">[</w:t>
      </w:r>
      <w:hyperlink w:anchor="ref-li2022">
        <w:r>
          <w:rPr>
            <w:rStyle w:val="25"/>
            <w:vertAlign w:val="superscript"/>
          </w:rPr>
          <w:t xml:space="preserve">48</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。Zhang等人在大气湍流FSO中实现了频偏与相位噪声的联合补偿</w:t>
      </w:r>
      <w:r>
        <w:rPr>
          <w:rFonts w:ascii="Times New Roman" w:hAnsi="Times New Roman" w:eastAsia="宋体"/>
          <w:b w:val="0"/>
          <w:sz w:val="24"/>
          <w:vertAlign w:val="superscript"/>
        </w:rPr>
        <w:t xml:space="preserve">[</w:t>
      </w:r>
      <w:hyperlink w:anchor="ref-zhang2024jfso">
        <w:r>
          <w:rPr>
            <w:rStyle w:val="25"/>
            <w:vertAlign w:val="superscript"/>
          </w:rPr>
          <w:t xml:space="preserve">49</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，但仅考虑了单一湍流强度。</w:t>
      </w:r>
    </w:p>
    <w:p>
      <w:pPr>
        <w:pStyle w:val="8"/>
        <w:spacing w:line="440" w:lineRule="exact" w:afterLines="50" w:before="0"/>
        <w:jc w:val="both"/>
      </w:pPr>
      <w:r>
        <w:rPr>
          <w:rFonts w:ascii="Times New Roman" w:hAnsi="Times New Roman" w:eastAsia="宋体"/>
          <w:b w:val="0"/>
          <w:sz w:val="24"/>
        </w:rPr>
        <w:t xml:space="preserve">FOE、CPR、DPLL等载波同步方法在光纤和白噪声场景已有充分研究，多普勒频偏问题已基本解决。然而，面向Gamma-Gamma湍流信道的载波同步研究存在三个层面的不足：分析框架未将信道估计误差和GG湍流参数纳入性能模型；白噪声下成熟的参数设计方法在湍流条件下缺乏对应方案；编码辅助载波恢复等优化方案在FSO湍流场景的适配性亦未被充分研究。第3章末指出的信道估计精度与同步性能之间的定量映射空白，进一步加剧了上述不足：同步方法的参数设计不仅受限于分析框架的局限，还受限于输入端信道估计精度的不确定性。</w:t>
      </w:r>
    </w:p>
    <w:bookmarkEnd w:id="29"/>
    <w:bookmarkEnd w:id="30"/>
    <w:bookmarkStart w:id="121" w:name="综合述评与研究切入点"/>
    <w:p>
      <w:pPr>
        <w:pStyle w:val="2"/>
        <w:ind w:firstLine="0" w:left="0"/>
        <w:jc w:val="center"/>
        <w:spacing w:beforeLines="50" w:afterLines="100" w:line="360" w:lineRule="auto"/>
      </w:pPr>
      <w:r>
        <w:rPr>
          <w:rFonts w:ascii="Times New Roman" w:hAnsi="Times New Roman" w:eastAsia="黑体"/>
          <w:b/>
          <w:sz w:val="32"/>
        </w:rPr>
        <w:t xml:space="preserve">第5章 综合述评与研究切入点</w:t>
      </w:r>
    </w:p>
    <w:p>
      <w:pPr>
        <w:pStyle w:val="FirstParagraph"/>
        <w:spacing w:line="440" w:lineRule="exact" w:afterLines="50" w:before="0"/>
        <w:jc w:val="both"/>
      </w:pPr>
      <w:r>
        <w:rPr>
          <w:rFonts w:ascii="Times New Roman" w:hAnsi="Times New Roman" w:eastAsia="宋体"/>
          <w:b w:val="0"/>
          <w:sz w:val="24"/>
        </w:rPr>
        <w:t xml:space="preserve">本文从大气湍流信道建模、信道估计方法和载波同步方法三个方向系统梳理了国内外研究现状。GG湍流模型已成为系统性能分析的标准工具，但在面向相干检测的联合幅度-相位统计建模方面仍有完善空间。信道估计方法从LS到MMSE到Kalman滤波逐层改进，深度学习方法缓解了导频依赖但泛化边界待验证。载波同步方法在光纤场景已有成熟体系，但面向湍流场景的系统性能分析和参数设计方法相对薄弱。</w:t>
      </w:r>
    </w:p>
    <w:p>
      <w:pPr>
        <w:pStyle w:val="8"/>
        <w:spacing w:line="440" w:lineRule="exact" w:afterLines="50" w:before="0"/>
        <w:jc w:val="both"/>
      </w:pPr>
      <w:r>
        <w:rPr>
          <w:rFonts w:ascii="Times New Roman" w:hAnsi="Times New Roman" w:eastAsia="宋体"/>
          <w:b w:val="0"/>
          <w:sz w:val="24"/>
        </w:rPr>
        <w:t xml:space="preserve">上述进展表明两方面研究空白仍然存在。在信道估计方向，现有研究以NMSE为优化目标，与下游载波同步模块的实际需求脱节。GG参数</w:t>
      </w:r>
      <m:oMath>
        <m:r>
          <m:t>β</m:t>
        </m:r>
        <m:r>
          <m:rPr>
            <m:sty m:val="p"/>
          </m:rPr>
          <m:t>&lt;</m:t>
        </m:r>
        <m:r>
          <m:t>1</m:t>
        </m:r>
      </m:oMath>
      <w:r>
        <w:rPr>
          <w:rFonts w:ascii="Times New Roman" w:hAnsi="Times New Roman" w:eastAsia="宋体"/>
          <w:b w:val="0"/>
          <w:sz w:val="24"/>
        </w:rPr>
        <w:t xml:space="preserve">时</w:t>
      </w:r>
      <m:oMath>
        <m:r>
          <m:t>E</m:t>
        </m:r>
        <m:d>
          <m:dPr>
            <m:begChr m:val="["/>
            <m:endChr m:val="]"/>
            <m:sepChr m:val=""/>
            <m:grow/>
          </m:dPr>
          <m:e>
            <m:r>
              <m:t>1</m:t>
            </m:r>
            <m:r>
              <m:rPr>
                <m:sty m:val="p"/>
              </m:rPr>
              <m:t>/</m:t>
            </m:r>
            <m:r>
              <m:t>h</m:t>
            </m:r>
          </m:e>
        </m:d>
      </m:oMath>
      <w:r>
        <w:rPr>
          <w:rFonts w:ascii="Times New Roman" w:hAnsi="Times New Roman" w:eastAsia="宋体"/>
          <w:b w:val="0"/>
          <w:sz w:val="24"/>
        </w:rPr>
        <w:t xml:space="preserve">发散，前馈类方法的统计最优性前提不再成立；不同调制格式对同一估计误差的灵敏度差异未被纳入精度需求分析；设计者缺乏从同步模块性能需求反推信道估计精度目标的定量依据。在载波同步方向，经典载波同步设计公式均以白噪声信道为前提，在GG湍流下缺乏对应方案。Petković等人虽在Málaga湍流下给出了面向DPLL的设计方法</w:t>
      </w:r>
      <w:r>
        <w:rPr>
          <w:rFonts w:ascii="Times New Roman" w:hAnsi="Times New Roman" w:eastAsia="宋体"/>
          <w:b w:val="0"/>
          <w:sz w:val="24"/>
          <w:vertAlign w:val="superscript"/>
        </w:rPr>
        <w:t xml:space="preserve">[</w:t>
      </w:r>
      <w:hyperlink w:anchor="ref-petkovic2022">
        <w:r>
          <w:rPr>
            <w:rStyle w:val="25"/>
            <w:vertAlign w:val="superscript"/>
          </w:rPr>
          <w:t xml:space="preserve">36</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，但仅涉及单一方法且未纳入信道估计误差的影响；Paillier等人直接沿用白噪声公式设计星地链路DPLL参数</w:t>
      </w:r>
      <w:r>
        <w:rPr>
          <w:rFonts w:ascii="Times New Roman" w:hAnsi="Times New Roman" w:eastAsia="宋体"/>
          <w:b w:val="0"/>
          <w:sz w:val="24"/>
          <w:vertAlign w:val="superscript"/>
        </w:rPr>
        <w:t xml:space="preserve">[</w:t>
      </w:r>
      <w:hyperlink w:anchor="ref-paillier2020">
        <w:r>
          <w:rPr>
            <w:rStyle w:val="25"/>
            <w:vertAlign w:val="superscript"/>
          </w:rPr>
          <w:t xml:space="preserve">32</w:t>
        </w:r>
      </w:hyperlink>
      <w:r>
        <w:rPr>
          <w:rFonts w:ascii="Times New Roman" w:hAnsi="Times New Roman" w:eastAsia="宋体"/>
          <w:b w:val="0"/>
          <w:sz w:val="24"/>
          <w:vertAlign w:val="superscript"/>
        </w:rPr>
        <w:t xml:space="preserve">]</w:t>
      </w:r>
      <w:r>
        <w:rPr>
          <w:rFonts w:ascii="Times New Roman" w:hAnsi="Times New Roman" w:eastAsia="宋体"/>
          <w:b w:val="0"/>
          <w:sz w:val="24"/>
        </w:rPr>
        <w:t xml:space="preserve">，未将湍流参数纳入性能模型。编码辅助载波恢复和多源相位噪声联合建模等改进方向在FSO湍流场景中的适配性亦有待验证。</w:t>
      </w:r>
    </w:p>
    <w:p>
      <w:pPr>
        <w:pStyle w:val="8"/>
        <w:spacing w:line="440" w:lineRule="exact" w:afterLines="50" w:before="0"/>
        <w:jc w:val="both"/>
      </w:pPr>
      <w:r>
        <w:rPr>
          <w:rFonts w:ascii="Times New Roman" w:hAnsi="Times New Roman" w:eastAsia="宋体"/>
          <w:b w:val="0"/>
          <w:sz w:val="24"/>
        </w:rPr>
        <w:t xml:space="preserve">上述两个空白不是并列关系，而是因果递进的上下游关系。空白一回答”估计精度做到多少才够”的问题，空白二在精度约束下回答”同步方法怎么选、参数怎么配”的问题。信道估计的输出是载波同步的输入，如果不知道输入端需要多高的估计精度，即使有了面向湍流的同步方法，也无法确定其适用范围和参数边界。因此，空白一的解决是空白二的前置条件，两者构成”精度约束→同步设计”的因果递进链条。</w:t>
      </w:r>
    </w:p>
    <w:p>
      <w:pPr>
        <w:pStyle w:val="8"/>
        <w:spacing w:line="440" w:lineRule="exact" w:afterLines="50" w:before="0"/>
        <w:jc w:val="both"/>
      </w:pPr>
      <w:r>
        <w:rPr>
          <w:rFonts w:ascii="Times New Roman" w:hAnsi="Times New Roman" w:eastAsia="宋体"/>
          <w:b w:val="0"/>
          <w:sz w:val="24"/>
        </w:rPr>
        <w:t xml:space="preserve">基于上述分析，本课题以GG湍流信道为统一模型，从两个空白的因果递进关系切入：首先研究信道估计误差对接收性能的影响，导出面向同步的精度设计方法；在此基础上研究湍流下载波同步方法，给出分湍流条件的方法选择与参数设计方法，并探索跨模块信号处理联合方案。</w:t>
      </w:r>
    </w:p>
    <w:bookmarkStart w:id="120" w:name="refs"/>
    <w:bookmarkStart w:id="32" w:name="ref-khalighi2014"/>
    <w:p>
      <w:pPr>
        <w:pStyle w:val="参考文献"/>
        <w:spacing w:line="440" w:lineRule="exact" w:after="0" w:before="0"/>
        <w:ind w:left="577" w:hanging="577"/>
        <w:tabs>
          <w:tab w:val="left" w:pos="366712"/>
        </w:tabs>
      </w:pPr>
      <w:r>
        <w:rPr>
          <w:rFonts w:ascii="Times New Roman" w:hAnsi="Times New Roman" w:eastAsia="宋体"/>
          <w:b w:val="0"/>
          <w:sz w:val="21"/>
        </w:rPr>
        <w:t xml:space="preserve">[1]</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Khalighi M U.</w:t>
      </w:r>
      <w:r>
        <w:rPr>
          <w:rFonts w:ascii="Times New Roman" w:hAnsi="Times New Roman" w:eastAsia="宋体"/>
          <w:b w:val="0"/>
          <w:sz w:val="21"/>
        </w:rPr>
        <w:t xml:space="preserve"> </w:t>
      </w:r>
      <w:r>
        <w:rPr>
          <w:rFonts w:ascii="Times New Roman" w:hAnsi="Times New Roman" w:eastAsia="宋体"/>
          <w:b w:val="0"/>
          <w:sz w:val="21"/>
        </w:rPr>
        <w:t xml:space="preserve">Survey on Free Space Optical Communication: A Communication Theory Perspective</w:t>
      </w:r>
      <w:r>
        <w:rPr>
          <w:rFonts w:ascii="Times New Roman" w:hAnsi="Times New Roman" w:eastAsia="宋体"/>
          <w:b w:val="0"/>
          <w:sz w:val="21"/>
        </w:rPr>
        <w:t xml:space="preserve">[J]. IEEE Communications Surveys &amp; Tutorials, 2014, 16(4): 2231-2258.</w:t>
      </w:r>
    </w:p>
    <w:bookmarkEnd w:id="32"/>
    <w:bookmarkStart w:id="34" w:name="ref-chan2026jstqe"/>
    <w:p>
      <w:pPr>
        <w:pStyle w:val="参考文献"/>
        <w:spacing w:line="440" w:lineRule="exact" w:after="0" w:before="0"/>
        <w:ind w:left="577" w:hanging="577"/>
        <w:tabs>
          <w:tab w:val="left" w:pos="366712"/>
        </w:tabs>
      </w:pPr>
      <w:r>
        <w:rPr>
          <w:rFonts w:ascii="Times New Roman" w:hAnsi="Times New Roman" w:eastAsia="宋体"/>
          <w:b w:val="0"/>
          <w:sz w:val="21"/>
        </w:rPr>
        <w:t xml:space="preserve">[2]</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Chan V W S.</w:t>
      </w:r>
      <w:r>
        <w:rPr>
          <w:rFonts w:ascii="Times New Roman" w:hAnsi="Times New Roman" w:eastAsia="宋体"/>
          <w:b w:val="0"/>
          <w:sz w:val="21"/>
        </w:rPr>
        <w:t xml:space="preserve"> </w:t>
      </w:r>
      <w:r>
        <w:rPr>
          <w:rFonts w:ascii="Times New Roman" w:hAnsi="Times New Roman" w:eastAsia="宋体"/>
          <w:b w:val="0"/>
          <w:sz w:val="21"/>
        </w:rPr>
        <w:t xml:space="preserve">Free Space Optical Communication and Network Architecture – Fundamentals, History and Looking Forward</w:t>
      </w:r>
      <w:r>
        <w:rPr>
          <w:rFonts w:ascii="Times New Roman" w:hAnsi="Times New Roman" w:eastAsia="宋体"/>
          <w:b w:val="0"/>
          <w:sz w:val="21"/>
        </w:rPr>
        <w:t xml:space="preserve">[J]. IEEE Journal of Selected Topics in Quantum Electronics, 2026, 32: 1-20.</w:t>
      </w:r>
    </w:p>
    <w:bookmarkEnd w:id="34"/>
    <w:bookmarkStart w:id="36" w:name="ref-zhu2009diversity"/>
    <w:p>
      <w:pPr>
        <w:pStyle w:val="参考文献"/>
        <w:spacing w:line="440" w:lineRule="exact" w:after="0" w:before="0"/>
        <w:ind w:left="577" w:hanging="577"/>
        <w:tabs>
          <w:tab w:val="left" w:pos="366712"/>
        </w:tabs>
      </w:pPr>
      <w:r>
        <w:rPr>
          <w:rFonts w:ascii="Times New Roman" w:hAnsi="Times New Roman" w:eastAsia="宋体"/>
          <w:b w:val="0"/>
          <w:sz w:val="21"/>
        </w:rPr>
        <w:t xml:space="preserve">[3]</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Zhu Y, Yang B, Zhong Y, et al.</w:t>
      </w:r>
      <w:r>
        <w:rPr>
          <w:rFonts w:ascii="Times New Roman" w:hAnsi="Times New Roman" w:eastAsia="宋体"/>
          <w:b w:val="0"/>
          <w:sz w:val="21"/>
        </w:rPr>
        <w:t xml:space="preserve"> </w:t>
      </w:r>
      <w:r>
        <w:rPr>
          <w:rFonts w:ascii="Times New Roman" w:hAnsi="Times New Roman" w:eastAsia="宋体"/>
          <w:b w:val="0"/>
          <w:sz w:val="21"/>
        </w:rPr>
        <w:t xml:space="preserve">Coherent vs Direct Detection Diversity Comparison</w:t>
      </w:r>
      <w:r>
        <w:rPr>
          <w:rFonts w:ascii="Times New Roman" w:hAnsi="Times New Roman" w:eastAsia="宋体"/>
          <w:b w:val="0"/>
          <w:sz w:val="21"/>
        </w:rPr>
        <w:t xml:space="preserve">[J]. Journal of Optical Communications and Networking, 2009, 1(6): 536-543.</w:t>
      </w:r>
    </w:p>
    <w:bookmarkEnd w:id="36"/>
    <w:bookmarkStart w:id="37" w:name="ref-andrews2005"/>
    <w:p>
      <w:pPr>
        <w:pStyle w:val="参考文献"/>
        <w:spacing w:line="440" w:lineRule="exact" w:after="0" w:before="0"/>
        <w:ind w:left="577" w:hanging="577"/>
        <w:tabs>
          <w:tab w:val="left" w:pos="366712"/>
        </w:tabs>
      </w:pPr>
      <w:r>
        <w:rPr>
          <w:rFonts w:ascii="Times New Roman" w:hAnsi="Times New Roman" w:eastAsia="宋体"/>
          <w:b w:val="0"/>
          <w:sz w:val="21"/>
        </w:rPr>
        <w:t xml:space="preserve">[4]</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Andrews L C, Phillips R L. Laser Beam Propagation through Random Media[M]. 2nd ed. Bellingham: SPIE Press, 2005.</w:t>
      </w:r>
    </w:p>
    <w:bookmarkEnd w:id="37"/>
    <w:bookmarkStart w:id="39" w:name="ref-xu2025"/>
    <w:p>
      <w:pPr>
        <w:pStyle w:val="参考文献"/>
        <w:spacing w:line="440" w:lineRule="exact" w:after="0" w:before="0"/>
        <w:ind w:left="577" w:hanging="577"/>
        <w:tabs>
          <w:tab w:val="left" w:pos="366712"/>
        </w:tabs>
      </w:pPr>
      <w:r>
        <w:rPr>
          <w:rFonts w:ascii="Times New Roman" w:hAnsi="Times New Roman" w:eastAsia="宋体"/>
          <w:b w:val="0"/>
          <w:sz w:val="21"/>
        </w:rPr>
        <w:t xml:space="preserve">[5]</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Xu G, Yin L, Zhu Y, et al.</w:t>
      </w:r>
      <w:r>
        <w:rPr>
          <w:rFonts w:ascii="Times New Roman" w:hAnsi="Times New Roman" w:eastAsia="宋体"/>
          <w:b w:val="0"/>
          <w:sz w:val="21"/>
        </w:rPr>
        <w:t xml:space="preserve"> </w:t>
      </w:r>
      <w:r>
        <w:rPr>
          <w:rFonts w:ascii="Times New Roman" w:hAnsi="Times New Roman" w:eastAsia="宋体"/>
          <w:b w:val="0"/>
          <w:sz w:val="21"/>
        </w:rPr>
        <w:t xml:space="preserve">Satellite-to-Ground Optical Communication Under Orbital Deviations and Atmospheric Turbulence</w:t>
      </w:r>
      <w:r>
        <w:rPr>
          <w:rFonts w:ascii="Times New Roman" w:hAnsi="Times New Roman" w:eastAsia="宋体"/>
          <w:b w:val="0"/>
          <w:sz w:val="21"/>
        </w:rPr>
        <w:t xml:space="preserve">[J]. Optics Express, 2025, 33: 18912-18927.</w:t>
      </w:r>
    </w:p>
    <w:bookmarkEnd w:id="39"/>
    <w:bookmarkStart w:id="41" w:name="ref-alhabash2001"/>
    <w:p>
      <w:pPr>
        <w:pStyle w:val="参考文献"/>
        <w:spacing w:line="440" w:lineRule="exact" w:after="0" w:before="0"/>
        <w:ind w:left="577" w:hanging="577"/>
        <w:tabs>
          <w:tab w:val="left" w:pos="366712"/>
        </w:tabs>
      </w:pPr>
      <w:r>
        <w:rPr>
          <w:rFonts w:ascii="Times New Roman" w:hAnsi="Times New Roman" w:eastAsia="宋体"/>
          <w:b w:val="0"/>
          <w:sz w:val="21"/>
        </w:rPr>
        <w:t xml:space="preserve">[6]</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Al-Habash M A.</w:t>
      </w:r>
      <w:r>
        <w:rPr>
          <w:rFonts w:ascii="Times New Roman" w:hAnsi="Times New Roman" w:eastAsia="宋体"/>
          <w:b w:val="0"/>
          <w:sz w:val="21"/>
        </w:rPr>
        <w:t xml:space="preserve"> </w:t>
      </w:r>
      <w:r>
        <w:rPr>
          <w:rFonts w:ascii="Times New Roman" w:hAnsi="Times New Roman" w:eastAsia="宋体"/>
          <w:b w:val="0"/>
          <w:sz w:val="21"/>
        </w:rPr>
        <w:t xml:space="preserve">Mathematical Model for the Irradiance Probability Density Function of a Laser Beam Propagating through Turbulent Media</w:t>
      </w:r>
      <w:r>
        <w:rPr>
          <w:rFonts w:ascii="Times New Roman" w:hAnsi="Times New Roman" w:eastAsia="宋体"/>
          <w:b w:val="0"/>
          <w:sz w:val="21"/>
        </w:rPr>
        <w:t xml:space="preserve">[J]. Optical Engineering, 2001, 40(8): 1554-1562.</w:t>
      </w:r>
    </w:p>
    <w:bookmarkEnd w:id="41"/>
    <w:bookmarkStart w:id="42" w:name="ref-caominghua2020"/>
    <w:p>
      <w:pPr>
        <w:pStyle w:val="参考文献"/>
        <w:spacing w:line="440" w:lineRule="exact" w:after="0" w:before="0"/>
        <w:ind w:left="577" w:hanging="577"/>
        <w:tabs>
          <w:tab w:val="left" w:pos="366712"/>
        </w:tabs>
      </w:pPr>
      <w:r>
        <w:rPr>
          <w:rFonts w:ascii="Times New Roman" w:hAnsi="Times New Roman" w:eastAsia="宋体"/>
          <w:b w:val="0"/>
          <w:sz w:val="21"/>
        </w:rPr>
        <w:t xml:space="preserve">[7] 曹明华, 武鑫, 王惠琴, 等 Gamma-Gamma大气湍流下超奈奎斯特光通信系统性能[J]. 中国激光, 2020, 47(6).</w:t>
      </w:r>
    </w:p>
    <w:bookmarkEnd w:id="42"/>
    <w:bookmarkStart w:id="43" w:name="ref-sunjing2018"/>
    <w:p>
      <w:pPr>
        <w:pStyle w:val="参考文献"/>
        <w:spacing w:line="440" w:lineRule="exact" w:after="0" w:before="0"/>
        <w:ind w:left="577" w:hanging="577"/>
        <w:tabs>
          <w:tab w:val="left" w:pos="366712"/>
        </w:tabs>
      </w:pPr>
      <w:r>
        <w:rPr>
          <w:rFonts w:ascii="Times New Roman" w:hAnsi="Times New Roman" w:eastAsia="宋体"/>
          <w:b w:val="0"/>
          <w:sz w:val="21"/>
        </w:rPr>
        <w:t xml:space="preserve">[8]</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孙晶, 黄普明, 幺周石. Gamma-Gamma大气湍流下相干光通信分集接收技术[J]. 光学学报, 2018, 38(10).</w:t>
      </w:r>
    </w:p>
    <w:bookmarkEnd w:id="43"/>
    <w:bookmarkStart w:id="44" w:name="ref-hanliqiang2011"/>
    <w:p>
      <w:pPr>
        <w:pStyle w:val="参考文献"/>
        <w:spacing w:line="440" w:lineRule="exact" w:after="0" w:before="0"/>
        <w:ind w:left="577" w:hanging="577"/>
        <w:tabs>
          <w:tab w:val="left" w:pos="366712"/>
        </w:tabs>
      </w:pPr>
      <w:r>
        <w:rPr>
          <w:rFonts w:ascii="Times New Roman" w:hAnsi="Times New Roman" w:eastAsia="宋体"/>
          <w:b w:val="0"/>
          <w:sz w:val="21"/>
        </w:rPr>
        <w:t xml:space="preserve">[9]</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韩立强, 王祁, 信太克归. Gamma-Gamma大气湍流下自由空间光通信的性能[J]. 红外与激光工程, 2011, 40(6): 1075-1079.</w:t>
      </w:r>
    </w:p>
    <w:bookmarkEnd w:id="44"/>
    <w:bookmarkStart w:id="46" w:name="ref-zhang2024jlt"/>
    <w:p>
      <w:pPr>
        <w:pStyle w:val="参考文献"/>
        <w:spacing w:line="440" w:lineRule="exact" w:after="0" w:before="0"/>
        <w:ind w:left="577" w:hanging="577"/>
        <w:tabs>
          <w:tab w:val="left" w:pos="366712"/>
        </w:tabs>
      </w:pPr>
      <w:r>
        <w:rPr>
          <w:rFonts w:ascii="Times New Roman" w:hAnsi="Times New Roman" w:eastAsia="宋体"/>
          <w:b w:val="0"/>
          <w:sz w:val="21"/>
        </w:rPr>
        <w:t xml:space="preserve">[10]</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Zhang R, Su X, Song H, et al.</w:t>
      </w:r>
      <w:r>
        <w:rPr>
          <w:rFonts w:ascii="Times New Roman" w:hAnsi="Times New Roman" w:eastAsia="宋体"/>
          <w:b w:val="0"/>
          <w:sz w:val="21"/>
        </w:rPr>
        <w:t xml:space="preserve"> </w:t>
      </w:r>
      <w:r>
        <w:rPr>
          <w:rFonts w:ascii="Times New Roman" w:hAnsi="Times New Roman" w:eastAsia="宋体"/>
          <w:b w:val="0"/>
          <w:sz w:val="21"/>
        </w:rPr>
        <w:t xml:space="preserve">Automatic Turbulence Resilience in Pilot-Assisted Self-Coherent Free-Space Optical Communications</w:t>
      </w:r>
      <w:r>
        <w:rPr>
          <w:rFonts w:ascii="Times New Roman" w:hAnsi="Times New Roman" w:eastAsia="宋体"/>
          <w:b w:val="0"/>
          <w:sz w:val="21"/>
        </w:rPr>
        <w:t xml:space="preserve">[J]. Journal of Lightwave Technology, 2024, 42: 3760-3769.</w:t>
      </w:r>
    </w:p>
    <w:bookmarkEnd w:id="46"/>
    <w:bookmarkStart w:id="48" w:name="ref-gong2015"/>
    <w:p>
      <w:pPr>
        <w:pStyle w:val="参考文献"/>
        <w:spacing w:line="440" w:lineRule="exact" w:after="0" w:before="0"/>
        <w:ind w:left="577" w:hanging="577"/>
        <w:tabs>
          <w:tab w:val="left" w:pos="366712"/>
        </w:tabs>
      </w:pPr>
      <w:r>
        <w:rPr>
          <w:rFonts w:ascii="Times New Roman" w:hAnsi="Times New Roman" w:eastAsia="宋体"/>
          <w:b w:val="0"/>
          <w:sz w:val="21"/>
        </w:rPr>
        <w:t xml:space="preserve">[11]</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Gong C, Xu G.</w:t>
      </w:r>
      <w:r>
        <w:rPr>
          <w:rFonts w:ascii="Times New Roman" w:hAnsi="Times New Roman" w:eastAsia="宋体"/>
          <w:b w:val="0"/>
          <w:sz w:val="21"/>
        </w:rPr>
        <w:t xml:space="preserve"> </w:t>
      </w:r>
      <w:r>
        <w:rPr>
          <w:rFonts w:ascii="Times New Roman" w:hAnsi="Times New Roman" w:eastAsia="宋体"/>
          <w:b w:val="0"/>
          <w:sz w:val="21"/>
        </w:rPr>
        <w:t xml:space="preserve">LS/LMMSE</w:t>
      </w:r>
      <w:r>
        <w:rPr>
          <w:rFonts w:ascii="Times New Roman" w:hAnsi="Times New Roman" w:eastAsia="宋体"/>
          <w:b w:val="0"/>
          <w:sz w:val="21"/>
        </w:rPr>
        <w:t xml:space="preserve"> </w:t>
      </w:r>
      <w:r>
        <w:rPr>
          <w:rFonts w:ascii="Times New Roman" w:hAnsi="Times New Roman" w:eastAsia="宋体"/>
          <w:b w:val="0"/>
          <w:sz w:val="21"/>
        </w:rPr>
        <w:t xml:space="preserve">Channel Estimation for Optical Wireless Scattering Communication</w:t>
      </w:r>
      <w:r>
        <w:rPr>
          <w:rFonts w:ascii="Times New Roman" w:hAnsi="Times New Roman" w:eastAsia="宋体"/>
          <w:b w:val="0"/>
          <w:sz w:val="21"/>
        </w:rPr>
        <w:t xml:space="preserve">[J]. IEEE Transactions on Wireless Communications, 2015, 14(3): 1640-1650.</w:t>
      </w:r>
    </w:p>
    <w:bookmarkEnd w:id="48"/>
    <w:bookmarkStart w:id="50" w:name="ref-zhang2018"/>
    <w:p>
      <w:pPr>
        <w:pStyle w:val="参考文献"/>
        <w:spacing w:line="440" w:lineRule="exact" w:after="0" w:before="0"/>
        <w:ind w:left="577" w:hanging="577"/>
        <w:tabs>
          <w:tab w:val="left" w:pos="366712"/>
        </w:tabs>
      </w:pPr>
      <w:r>
        <w:rPr>
          <w:rFonts w:ascii="Times New Roman" w:hAnsi="Times New Roman" w:eastAsia="宋体"/>
          <w:b w:val="0"/>
          <w:sz w:val="21"/>
        </w:rPr>
        <w:t xml:space="preserve">[12]</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Zhang Y, Wang P, Liu T, et al.</w:t>
      </w:r>
      <w:r>
        <w:rPr>
          <w:rFonts w:ascii="Times New Roman" w:hAnsi="Times New Roman" w:eastAsia="宋体"/>
          <w:b w:val="0"/>
          <w:sz w:val="21"/>
        </w:rPr>
        <w:t xml:space="preserve"> </w:t>
      </w:r>
      <w:r>
        <w:rPr>
          <w:rFonts w:ascii="Times New Roman" w:hAnsi="Times New Roman" w:eastAsia="宋体"/>
          <w:b w:val="0"/>
          <w:sz w:val="21"/>
        </w:rPr>
        <w:t xml:space="preserve">Performance Analysis of a</w:t>
      </w:r>
      <w:r>
        <w:rPr>
          <w:rFonts w:ascii="Times New Roman" w:hAnsi="Times New Roman" w:eastAsia="宋体"/>
          <w:b w:val="0"/>
          <w:sz w:val="21"/>
        </w:rPr>
        <w:t xml:space="preserve"> </w:t>
      </w:r>
      <w:r>
        <w:rPr>
          <w:rFonts w:ascii="Times New Roman" w:hAnsi="Times New Roman" w:eastAsia="宋体"/>
          <w:b w:val="0"/>
          <w:sz w:val="21"/>
        </w:rPr>
        <w:t xml:space="preserve">LDPC</w:t>
      </w:r>
      <w:r>
        <w:rPr>
          <w:rFonts w:ascii="Times New Roman" w:hAnsi="Times New Roman" w:eastAsia="宋体"/>
          <w:b w:val="0"/>
          <w:sz w:val="21"/>
        </w:rPr>
        <w:t xml:space="preserve"> </w:t>
      </w:r>
      <w:r>
        <w:rPr>
          <w:rFonts w:ascii="Times New Roman" w:hAnsi="Times New Roman" w:eastAsia="宋体"/>
          <w:b w:val="0"/>
          <w:sz w:val="21"/>
        </w:rPr>
        <w:t xml:space="preserve">Coded</w:t>
      </w:r>
      <w:r>
        <w:rPr>
          <w:rFonts w:ascii="Times New Roman" w:hAnsi="Times New Roman" w:eastAsia="宋体"/>
          <w:b w:val="0"/>
          <w:sz w:val="21"/>
        </w:rPr>
        <w:t xml:space="preserve"> </w:t>
      </w:r>
      <w:r>
        <w:rPr>
          <w:rFonts w:ascii="Times New Roman" w:hAnsi="Times New Roman" w:eastAsia="宋体"/>
          <w:b w:val="0"/>
          <w:sz w:val="21"/>
        </w:rPr>
        <w:t xml:space="preserve">OAM</w:t>
      </w:r>
      <w:r>
        <w:rPr>
          <w:rFonts w:ascii="Times New Roman" w:hAnsi="Times New Roman" w:eastAsia="宋体"/>
          <w:b w:val="0"/>
          <w:sz w:val="21"/>
        </w:rPr>
        <w:t xml:space="preserve">-Based</w:t>
      </w:r>
      <w:r>
        <w:rPr>
          <w:rFonts w:ascii="Times New Roman" w:hAnsi="Times New Roman" w:eastAsia="宋体"/>
          <w:b w:val="0"/>
          <w:sz w:val="21"/>
        </w:rPr>
        <w:t xml:space="preserve"> </w:t>
      </w:r>
      <w:r>
        <w:rPr>
          <w:rFonts w:ascii="Times New Roman" w:hAnsi="Times New Roman" w:eastAsia="宋体"/>
          <w:b w:val="0"/>
          <w:sz w:val="21"/>
        </w:rPr>
        <w:t xml:space="preserve">UCA FSO</w:t>
      </w:r>
      <w:r>
        <w:rPr>
          <w:rFonts w:ascii="Times New Roman" w:hAnsi="Times New Roman" w:eastAsia="宋体"/>
          <w:b w:val="0"/>
          <w:sz w:val="21"/>
        </w:rPr>
        <w:t xml:space="preserve"> </w:t>
      </w:r>
      <w:r>
        <w:rPr>
          <w:rFonts w:ascii="Times New Roman" w:hAnsi="Times New Roman" w:eastAsia="宋体"/>
          <w:b w:val="0"/>
          <w:sz w:val="21"/>
        </w:rPr>
        <w:t xml:space="preserve">System Exploring Linear Equalization with Channel Estimation over Atmospheric Turbulence</w:t>
      </w:r>
      <w:r>
        <w:rPr>
          <w:rFonts w:ascii="Times New Roman" w:hAnsi="Times New Roman" w:eastAsia="宋体"/>
          <w:b w:val="0"/>
          <w:sz w:val="21"/>
        </w:rPr>
        <w:t xml:space="preserve">[J]. Optics Express, 2018, 26(17): 22182-22196.</w:t>
      </w:r>
    </w:p>
    <w:bookmarkEnd w:id="50"/>
    <w:bookmarkStart w:id="52" w:name="ref-zhang2023kf"/>
    <w:p>
      <w:pPr>
        <w:pStyle w:val="参考文献"/>
        <w:spacing w:line="440" w:lineRule="exact" w:after="0" w:before="0"/>
        <w:ind w:left="577" w:hanging="577"/>
        <w:tabs>
          <w:tab w:val="left" w:pos="366712"/>
        </w:tabs>
      </w:pPr>
      <w:r>
        <w:rPr>
          <w:rFonts w:ascii="Times New Roman" w:hAnsi="Times New Roman" w:eastAsia="宋体"/>
          <w:b w:val="0"/>
          <w:sz w:val="21"/>
        </w:rPr>
        <w:t xml:space="preserve">[13]</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Zhang S, Tan L, Ma J.</w:t>
      </w:r>
      <w:r>
        <w:rPr>
          <w:rFonts w:ascii="Times New Roman" w:hAnsi="Times New Roman" w:eastAsia="宋体"/>
          <w:b w:val="0"/>
          <w:sz w:val="21"/>
        </w:rPr>
        <w:t xml:space="preserve"> </w:t>
      </w:r>
      <w:r>
        <w:rPr>
          <w:rFonts w:ascii="Times New Roman" w:hAnsi="Times New Roman" w:eastAsia="宋体"/>
          <w:b w:val="0"/>
          <w:sz w:val="21"/>
        </w:rPr>
        <w:t xml:space="preserve">Flexible Phase Synchronization for Wireless Optical Coherent Communication System With Adaptive Fractionally-Spaced Blind Equalization Combined With Adaptive Kalman Filter</w:t>
      </w:r>
      <w:r>
        <w:rPr>
          <w:rFonts w:ascii="Times New Roman" w:hAnsi="Times New Roman" w:eastAsia="宋体"/>
          <w:b w:val="0"/>
          <w:sz w:val="21"/>
        </w:rPr>
        <w:t xml:space="preserve">[J]. IEEE Photonics Journal, 2023, 15: 1-11.</w:t>
      </w:r>
    </w:p>
    <w:bookmarkEnd w:id="52"/>
    <w:bookmarkStart w:id="54" w:name="ref-xiang2018"/>
    <w:p>
      <w:pPr>
        <w:pStyle w:val="参考文献"/>
        <w:spacing w:line="440" w:lineRule="exact" w:after="0" w:before="0"/>
        <w:ind w:left="577" w:hanging="577"/>
        <w:tabs>
          <w:tab w:val="left" w:pos="366712"/>
        </w:tabs>
      </w:pPr>
      <w:r>
        <w:rPr>
          <w:rFonts w:ascii="Times New Roman" w:hAnsi="Times New Roman" w:eastAsia="宋体"/>
          <w:b w:val="0"/>
          <w:sz w:val="21"/>
        </w:rPr>
        <w:t xml:space="preserve">[14]</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Zhang Q, Yang Y, Xiang Q, et al.</w:t>
      </w:r>
      <w:r>
        <w:rPr>
          <w:rFonts w:ascii="Times New Roman" w:hAnsi="Times New Roman" w:eastAsia="宋体"/>
          <w:b w:val="0"/>
          <w:sz w:val="21"/>
        </w:rPr>
        <w:t xml:space="preserve"> </w:t>
      </w:r>
      <w:r>
        <w:rPr>
          <w:rFonts w:ascii="Times New Roman" w:hAnsi="Times New Roman" w:eastAsia="宋体"/>
          <w:b w:val="0"/>
          <w:sz w:val="21"/>
        </w:rPr>
        <w:t xml:space="preserve">Adaptive</w:t>
      </w:r>
      <w:r>
        <w:rPr>
          <w:rFonts w:ascii="Times New Roman" w:hAnsi="Times New Roman" w:eastAsia="宋体"/>
          <w:b w:val="0"/>
          <w:sz w:val="21"/>
        </w:rPr>
        <w:t xml:space="preserve"> </w:t>
      </w:r>
      <w:r>
        <w:rPr>
          <w:rFonts w:ascii="Times New Roman" w:hAnsi="Times New Roman" w:eastAsia="宋体"/>
          <w:b w:val="0"/>
          <w:sz w:val="21"/>
        </w:rPr>
        <w:t xml:space="preserve">Kalman</w:t>
      </w:r>
      <w:r>
        <w:rPr>
          <w:rFonts w:ascii="Times New Roman" w:hAnsi="Times New Roman" w:eastAsia="宋体"/>
          <w:b w:val="0"/>
          <w:sz w:val="21"/>
        </w:rPr>
        <w:t xml:space="preserve"> </w:t>
      </w:r>
      <w:r>
        <w:rPr>
          <w:rFonts w:ascii="Times New Roman" w:hAnsi="Times New Roman" w:eastAsia="宋体"/>
          <w:b w:val="0"/>
          <w:sz w:val="21"/>
        </w:rPr>
        <w:t xml:space="preserve">Filter</w:t>
      </w:r>
      <w:r>
        <w:rPr>
          <w:rFonts w:ascii="Times New Roman" w:hAnsi="Times New Roman" w:eastAsia="宋体"/>
          <w:b w:val="0"/>
          <w:sz w:val="21"/>
        </w:rPr>
        <w:t xml:space="preserve"> </w:t>
      </w:r>
      <w:r>
        <w:rPr>
          <w:rFonts w:ascii="Times New Roman" w:hAnsi="Times New Roman" w:eastAsia="宋体"/>
          <w:b w:val="0"/>
          <w:sz w:val="21"/>
        </w:rPr>
        <w:t xml:space="preserve">Q</w:t>
      </w:r>
      <w:r>
        <w:rPr>
          <w:rFonts w:ascii="Times New Roman" w:hAnsi="Times New Roman" w:eastAsia="宋体"/>
          <w:b w:val="0"/>
          <w:sz w:val="21"/>
        </w:rPr>
        <w:t xml:space="preserve"> </w:t>
      </w:r>
      <w:r>
        <w:rPr>
          <w:rFonts w:ascii="Times New Roman" w:hAnsi="Times New Roman" w:eastAsia="宋体"/>
          <w:b w:val="0"/>
          <w:sz w:val="21"/>
        </w:rPr>
        <w:t xml:space="preserve">Better Than Fixed</w:t>
      </w:r>
      <w:r>
        <w:rPr>
          <w:rFonts w:ascii="Times New Roman" w:hAnsi="Times New Roman" w:eastAsia="宋体"/>
          <w:b w:val="0"/>
          <w:sz w:val="21"/>
        </w:rPr>
        <w:t xml:space="preserve"> </w:t>
      </w:r>
      <w:r>
        <w:rPr>
          <w:rFonts w:ascii="Times New Roman" w:hAnsi="Times New Roman" w:eastAsia="宋体"/>
          <w:b w:val="0"/>
          <w:sz w:val="21"/>
        </w:rPr>
        <w:t xml:space="preserve">Q EKF</w:t>
      </w:r>
      <w:r>
        <w:rPr>
          <w:rFonts w:ascii="Times New Roman" w:hAnsi="Times New Roman" w:eastAsia="宋体"/>
          <w:b w:val="0"/>
          <w:sz w:val="21"/>
        </w:rPr>
        <w:t xml:space="preserve">[J]. Optics Express, 2018, 26(20): 25678-25690.</w:t>
      </w:r>
    </w:p>
    <w:bookmarkEnd w:id="54"/>
    <w:bookmarkStart w:id="56" w:name="ref-sun2020"/>
    <w:p>
      <w:pPr>
        <w:pStyle w:val="参考文献"/>
        <w:spacing w:line="440" w:lineRule="exact" w:after="0" w:before="0"/>
        <w:ind w:left="577" w:hanging="577"/>
        <w:tabs>
          <w:tab w:val="left" w:pos="366712"/>
        </w:tabs>
      </w:pPr>
      <w:r>
        <w:rPr>
          <w:rFonts w:ascii="Times New Roman" w:hAnsi="Times New Roman" w:eastAsia="宋体"/>
          <w:b w:val="0"/>
          <w:sz w:val="21"/>
        </w:rPr>
        <w:t xml:space="preserve">[15]</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Sun J, Huang P, Yao Z, et al.</w:t>
      </w:r>
      <w:r>
        <w:rPr>
          <w:rFonts w:ascii="Times New Roman" w:hAnsi="Times New Roman" w:eastAsia="宋体"/>
          <w:b w:val="0"/>
          <w:sz w:val="21"/>
        </w:rPr>
        <w:t xml:space="preserve"> </w:t>
      </w:r>
      <w:r>
        <w:rPr>
          <w:rFonts w:ascii="Times New Roman" w:hAnsi="Times New Roman" w:eastAsia="宋体"/>
          <w:b w:val="0"/>
          <w:sz w:val="21"/>
        </w:rPr>
        <w:t xml:space="preserve">Parallelized and Adaptive Square-Root Unscented</w:t>
      </w:r>
      <w:r>
        <w:rPr>
          <w:rFonts w:ascii="Times New Roman" w:hAnsi="Times New Roman" w:eastAsia="宋体"/>
          <w:b w:val="0"/>
          <w:sz w:val="21"/>
        </w:rPr>
        <w:t xml:space="preserve"> </w:t>
      </w:r>
      <w:r>
        <w:rPr>
          <w:rFonts w:ascii="Times New Roman" w:hAnsi="Times New Roman" w:eastAsia="宋体"/>
          <w:b w:val="0"/>
          <w:sz w:val="21"/>
        </w:rPr>
        <w:t xml:space="preserve">Kalman</w:t>
      </w:r>
      <w:r>
        <w:rPr>
          <w:rFonts w:ascii="Times New Roman" w:hAnsi="Times New Roman" w:eastAsia="宋体"/>
          <w:b w:val="0"/>
          <w:sz w:val="21"/>
        </w:rPr>
        <w:t xml:space="preserve"> </w:t>
      </w:r>
      <w:r>
        <w:rPr>
          <w:rFonts w:ascii="Times New Roman" w:hAnsi="Times New Roman" w:eastAsia="宋体"/>
          <w:b w:val="0"/>
          <w:sz w:val="21"/>
        </w:rPr>
        <w:t xml:space="preserve">Filter for Carrier Recovery in Satellite-to-Ground Coherent Optical Communications</w:t>
      </w:r>
      <w:r>
        <w:rPr>
          <w:rFonts w:ascii="Times New Roman" w:hAnsi="Times New Roman" w:eastAsia="宋体"/>
          <w:b w:val="0"/>
          <w:sz w:val="21"/>
        </w:rPr>
        <w:t xml:space="preserve">[J]. Optics Communications, 2020, 470: 125697.</w:t>
      </w:r>
    </w:p>
    <w:bookmarkEnd w:id="56"/>
    <w:bookmarkStart w:id="58" w:name="ref-chen2023dl"/>
    <w:p>
      <w:pPr>
        <w:pStyle w:val="参考文献"/>
        <w:spacing w:line="440" w:lineRule="exact" w:after="0" w:before="0"/>
        <w:ind w:left="577" w:hanging="577"/>
        <w:tabs>
          <w:tab w:val="left" w:pos="366712"/>
        </w:tabs>
      </w:pPr>
      <w:r>
        <w:rPr>
          <w:rFonts w:ascii="Times New Roman" w:hAnsi="Times New Roman" w:eastAsia="宋体"/>
          <w:b w:val="0"/>
          <w:sz w:val="21"/>
        </w:rPr>
        <w:t xml:space="preserve">[16]</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Chen W, Wang D, Wang D.</w:t>
      </w:r>
      <w:r>
        <w:rPr>
          <w:rFonts w:ascii="Times New Roman" w:hAnsi="Times New Roman" w:eastAsia="宋体"/>
          <w:b w:val="0"/>
          <w:sz w:val="21"/>
        </w:rPr>
        <w:t xml:space="preserve"> </w:t>
      </w:r>
      <w:r>
        <w:rPr>
          <w:rFonts w:ascii="Times New Roman" w:hAnsi="Times New Roman" w:eastAsia="宋体"/>
          <w:b w:val="0"/>
          <w:sz w:val="21"/>
        </w:rPr>
        <w:t xml:space="preserve">Deep Learning-Based Channel Modeling for Free Space Optical Communications</w:t>
      </w:r>
      <w:r>
        <w:rPr>
          <w:rFonts w:ascii="Times New Roman" w:hAnsi="Times New Roman" w:eastAsia="宋体"/>
          <w:b w:val="0"/>
          <w:sz w:val="21"/>
        </w:rPr>
        <w:t xml:space="preserve">[J]. Journal of Lightwave Technology, 2023, 41: 183-198.</w:t>
      </w:r>
    </w:p>
    <w:bookmarkEnd w:id="58"/>
    <w:bookmarkStart w:id="59" w:name="ref-elfiky2024"/>
    <w:p>
      <w:pPr>
        <w:pStyle w:val="参考文献"/>
        <w:spacing w:line="440" w:lineRule="exact" w:after="0" w:before="0"/>
        <w:ind w:left="577" w:hanging="577"/>
        <w:tabs>
          <w:tab w:val="left" w:pos="366712"/>
        </w:tabs>
      </w:pPr>
      <w:r>
        <w:rPr>
          <w:rFonts w:ascii="Times New Roman" w:hAnsi="Times New Roman" w:eastAsia="宋体"/>
          <w:b w:val="0"/>
          <w:sz w:val="21"/>
        </w:rPr>
        <w:t xml:space="preserve">[17]</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Elfiky I, Rezki A. Symbol Detection and Channel Estimation for Satellite Optical Communication Using Neural Networks and Autoencoder[J]. IEEE Transactions on Machine Learning in Communications and Networking, 2024, 1: 726-739.</w:t>
      </w:r>
    </w:p>
    <w:bookmarkEnd w:id="59"/>
    <w:bookmarkStart w:id="61" w:name="ref-rustum2026iet"/>
    <w:p>
      <w:pPr>
        <w:pStyle w:val="参考文献"/>
        <w:spacing w:line="440" w:lineRule="exact" w:after="0" w:before="0"/>
        <w:ind w:left="577" w:hanging="577"/>
        <w:tabs>
          <w:tab w:val="left" w:pos="366712"/>
        </w:tabs>
      </w:pPr>
      <w:r>
        <w:rPr>
          <w:rFonts w:ascii="Times New Roman" w:hAnsi="Times New Roman" w:eastAsia="宋体"/>
          <w:b w:val="0"/>
          <w:sz w:val="21"/>
        </w:rPr>
        <w:t xml:space="preserve">[18]</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Rustum S, Habib U, Ahmed S, et al.</w:t>
      </w:r>
      <w:r>
        <w:rPr>
          <w:rFonts w:ascii="Times New Roman" w:hAnsi="Times New Roman" w:eastAsia="宋体"/>
          <w:b w:val="0"/>
          <w:sz w:val="21"/>
        </w:rPr>
        <w:t xml:space="preserve"> </w:t>
      </w:r>
      <w:r>
        <w:rPr>
          <w:rFonts w:ascii="Times New Roman" w:hAnsi="Times New Roman" w:eastAsia="宋体"/>
          <w:b w:val="0"/>
          <w:sz w:val="21"/>
        </w:rPr>
        <w:t xml:space="preserve">Hybrid</w:t>
      </w:r>
      <w:r>
        <w:rPr>
          <w:rFonts w:ascii="Times New Roman" w:hAnsi="Times New Roman" w:eastAsia="宋体"/>
          <w:b w:val="0"/>
          <w:sz w:val="21"/>
        </w:rPr>
        <w:t xml:space="preserve"> </w:t>
      </w:r>
      <w:r>
        <w:rPr>
          <w:rFonts w:ascii="Times New Roman" w:hAnsi="Times New Roman" w:eastAsia="宋体"/>
          <w:b w:val="0"/>
          <w:sz w:val="21"/>
        </w:rPr>
        <w:t xml:space="preserve">STA</w:t>
      </w:r>
      <w:r>
        <w:rPr>
          <w:rFonts w:ascii="Times New Roman" w:hAnsi="Times New Roman" w:eastAsia="宋体"/>
          <w:b w:val="0"/>
          <w:sz w:val="21"/>
        </w:rPr>
        <w:t xml:space="preserve"> </w:t>
      </w:r>
      <w:r>
        <w:rPr>
          <w:rFonts w:ascii="Times New Roman" w:hAnsi="Times New Roman" w:eastAsia="宋体"/>
          <w:b w:val="0"/>
          <w:sz w:val="21"/>
        </w:rPr>
        <w:t xml:space="preserve">with</w:t>
      </w:r>
      <w:r>
        <w:rPr>
          <w:rFonts w:ascii="Times New Roman" w:hAnsi="Times New Roman" w:eastAsia="宋体"/>
          <w:b w:val="0"/>
          <w:sz w:val="21"/>
        </w:rPr>
        <w:t xml:space="preserve"> </w:t>
      </w:r>
      <w:r>
        <w:rPr>
          <w:rFonts w:ascii="Times New Roman" w:hAnsi="Times New Roman" w:eastAsia="宋体"/>
          <w:b w:val="0"/>
          <w:sz w:val="21"/>
        </w:rPr>
        <w:t xml:space="preserve">FNN/CNN</w:t>
      </w:r>
      <w:r>
        <w:rPr>
          <w:rFonts w:ascii="Times New Roman" w:hAnsi="Times New Roman" w:eastAsia="宋体"/>
          <w:b w:val="0"/>
          <w:sz w:val="21"/>
        </w:rPr>
        <w:t xml:space="preserve"> </w:t>
      </w:r>
      <w:r>
        <w:rPr>
          <w:rFonts w:ascii="Times New Roman" w:hAnsi="Times New Roman" w:eastAsia="宋体"/>
          <w:b w:val="0"/>
          <w:sz w:val="21"/>
        </w:rPr>
        <w:t xml:space="preserve">for Robust Channel Estimation in Turbulent</w:t>
      </w:r>
      <w:r>
        <w:rPr>
          <w:rFonts w:ascii="Times New Roman" w:hAnsi="Times New Roman" w:eastAsia="宋体"/>
          <w:b w:val="0"/>
          <w:sz w:val="21"/>
        </w:rPr>
        <w:t xml:space="preserve"> </w:t>
      </w:r>
      <w:r>
        <w:rPr>
          <w:rFonts w:ascii="Times New Roman" w:hAnsi="Times New Roman" w:eastAsia="宋体"/>
          <w:b w:val="0"/>
          <w:sz w:val="21"/>
        </w:rPr>
        <w:t xml:space="preserve">FSO</w:t>
      </w:r>
      <w:r>
        <w:rPr>
          <w:rFonts w:ascii="Times New Roman" w:hAnsi="Times New Roman" w:eastAsia="宋体"/>
          <w:b w:val="0"/>
          <w:sz w:val="21"/>
        </w:rPr>
        <w:t xml:space="preserve"> </w:t>
      </w:r>
      <w:r>
        <w:rPr>
          <w:rFonts w:ascii="Times New Roman" w:hAnsi="Times New Roman" w:eastAsia="宋体"/>
          <w:b w:val="0"/>
          <w:sz w:val="21"/>
        </w:rPr>
        <w:t xml:space="preserve">and Doppler-Affected</w:t>
      </w:r>
      <w:r>
        <w:rPr>
          <w:rFonts w:ascii="Times New Roman" w:hAnsi="Times New Roman" w:eastAsia="宋体"/>
          <w:b w:val="0"/>
          <w:sz w:val="21"/>
        </w:rPr>
        <w:t xml:space="preserve"> </w:t>
      </w:r>
      <w:r>
        <w:rPr>
          <w:rFonts w:ascii="Times New Roman" w:hAnsi="Times New Roman" w:eastAsia="宋体"/>
          <w:b w:val="0"/>
          <w:sz w:val="21"/>
        </w:rPr>
        <w:t xml:space="preserve">OFDM</w:t>
      </w:r>
      <w:r>
        <w:rPr>
          <w:rFonts w:ascii="Times New Roman" w:hAnsi="Times New Roman" w:eastAsia="宋体"/>
          <w:b w:val="0"/>
          <w:sz w:val="21"/>
        </w:rPr>
        <w:t xml:space="preserve"> </w:t>
      </w:r>
      <w:r>
        <w:rPr>
          <w:rFonts w:ascii="Times New Roman" w:hAnsi="Times New Roman" w:eastAsia="宋体"/>
          <w:b w:val="0"/>
          <w:sz w:val="21"/>
        </w:rPr>
        <w:t xml:space="preserve">for</w:t>
      </w:r>
      <w:r>
        <w:rPr>
          <w:rFonts w:ascii="Times New Roman" w:hAnsi="Times New Roman" w:eastAsia="宋体"/>
          <w:b w:val="0"/>
          <w:sz w:val="21"/>
        </w:rPr>
        <w:t xml:space="preserve"> </w:t>
      </w:r>
      <w:r>
        <w:rPr>
          <w:rFonts w:ascii="Times New Roman" w:hAnsi="Times New Roman" w:eastAsia="宋体"/>
          <w:b w:val="0"/>
          <w:sz w:val="21"/>
        </w:rPr>
        <w:t xml:space="preserve">LEO</w:t>
      </w:r>
      <w:r>
        <w:rPr>
          <w:rFonts w:ascii="Times New Roman" w:hAnsi="Times New Roman" w:eastAsia="宋体"/>
          <w:b w:val="0"/>
          <w:sz w:val="21"/>
        </w:rPr>
        <w:t xml:space="preserve">[J]. IET Communications, 2026, 20(1): e70148.</w:t>
      </w:r>
    </w:p>
    <w:bookmarkEnd w:id="61"/>
    <w:bookmarkStart w:id="63" w:name="ref-han2022jlt"/>
    <w:p>
      <w:pPr>
        <w:pStyle w:val="参考文献"/>
        <w:spacing w:line="440" w:lineRule="exact" w:after="0" w:before="0"/>
        <w:ind w:left="577" w:hanging="577"/>
        <w:tabs>
          <w:tab w:val="left" w:pos="366712"/>
        </w:tabs>
      </w:pPr>
      <w:r>
        <w:rPr>
          <w:rFonts w:ascii="Times New Roman" w:hAnsi="Times New Roman" w:eastAsia="宋体"/>
          <w:b w:val="0"/>
          <w:sz w:val="21"/>
        </w:rPr>
        <w:t xml:space="preserve">[19]</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Han L, Liu X, Wang Y, et al.</w:t>
      </w:r>
      <w:r>
        <w:rPr>
          <w:rFonts w:ascii="Times New Roman" w:hAnsi="Times New Roman" w:eastAsia="宋体"/>
          <w:b w:val="0"/>
          <w:sz w:val="21"/>
        </w:rPr>
        <w:t xml:space="preserve"> </w:t>
      </w:r>
      <w:r>
        <w:rPr>
          <w:rFonts w:ascii="Times New Roman" w:hAnsi="Times New Roman" w:eastAsia="宋体"/>
          <w:b w:val="0"/>
          <w:sz w:val="21"/>
        </w:rPr>
        <w:t xml:space="preserve">Joint Impact of Channel Estimation Errors and Pointing Errors on</w:t>
      </w:r>
      <w:r>
        <w:rPr>
          <w:rFonts w:ascii="Times New Roman" w:hAnsi="Times New Roman" w:eastAsia="宋体"/>
          <w:b w:val="0"/>
          <w:sz w:val="21"/>
        </w:rPr>
        <w:t xml:space="preserve"> </w:t>
      </w:r>
      <w:r>
        <w:rPr>
          <w:rFonts w:ascii="Times New Roman" w:hAnsi="Times New Roman" w:eastAsia="宋体"/>
          <w:b w:val="0"/>
          <w:sz w:val="21"/>
        </w:rPr>
        <w:t xml:space="preserve">FSO</w:t>
      </w:r>
      <w:r>
        <w:rPr>
          <w:rFonts w:ascii="Times New Roman" w:hAnsi="Times New Roman" w:eastAsia="宋体"/>
          <w:b w:val="0"/>
          <w:sz w:val="21"/>
        </w:rPr>
        <w:t xml:space="preserve"> </w:t>
      </w:r>
      <w:r>
        <w:rPr>
          <w:rFonts w:ascii="Times New Roman" w:hAnsi="Times New Roman" w:eastAsia="宋体"/>
          <w:b w:val="0"/>
          <w:sz w:val="21"/>
        </w:rPr>
        <w:t xml:space="preserve">Communication Systems Over</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Turbulence Channel</w:t>
      </w:r>
      <w:r>
        <w:rPr>
          <w:rFonts w:ascii="Times New Roman" w:hAnsi="Times New Roman" w:eastAsia="宋体"/>
          <w:b w:val="0"/>
          <w:sz w:val="21"/>
        </w:rPr>
        <w:t xml:space="preserve">[J]. Journal of Lightwave Technology, 2022, 40(14): 4555-4561.</w:t>
      </w:r>
    </w:p>
    <w:bookmarkEnd w:id="63"/>
    <w:bookmarkStart w:id="65" w:name="ref-brandao2024"/>
    <w:p>
      <w:pPr>
        <w:pStyle w:val="参考文献"/>
        <w:spacing w:line="440" w:lineRule="exact" w:after="0" w:before="0"/>
        <w:ind w:left="577" w:hanging="577"/>
        <w:tabs>
          <w:tab w:val="left" w:pos="366712"/>
        </w:tabs>
      </w:pPr>
      <w:r>
        <w:rPr>
          <w:rFonts w:ascii="Times New Roman" w:hAnsi="Times New Roman" w:eastAsia="宋体"/>
          <w:b w:val="0"/>
          <w:sz w:val="21"/>
        </w:rPr>
        <w:t xml:space="preserve">[20]</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Brandão B T, Fernandes M A, Fernandes G M, et al.</w:t>
      </w:r>
      <w:r>
        <w:rPr>
          <w:rFonts w:ascii="Times New Roman" w:hAnsi="Times New Roman" w:eastAsia="宋体"/>
          <w:b w:val="0"/>
          <w:sz w:val="21"/>
        </w:rPr>
        <w:t xml:space="preserve"> </w:t>
      </w:r>
      <w:r>
        <w:rPr>
          <w:rFonts w:ascii="Times New Roman" w:hAnsi="Times New Roman" w:eastAsia="宋体"/>
          <w:b w:val="0"/>
          <w:sz w:val="21"/>
        </w:rPr>
        <w:t xml:space="preserve">100G FSO Field Trial with Transmitter Power Adaptability Using a LoRa Feedback Channel</w:t>
      </w:r>
      <w:r>
        <w:rPr>
          <w:rFonts w:ascii="Times New Roman" w:hAnsi="Times New Roman" w:eastAsia="宋体"/>
          <w:b w:val="0"/>
          <w:sz w:val="21"/>
        </w:rPr>
        <w:t xml:space="preserve">[J]. Journal of Optical Communications and Networking, 2024, 16(5): 270-277.</w:t>
      </w:r>
    </w:p>
    <w:bookmarkEnd w:id="65"/>
    <w:bookmarkStart w:id="67" w:name="ref-safi2019"/>
    <w:p>
      <w:pPr>
        <w:pStyle w:val="参考文献"/>
        <w:spacing w:line="440" w:lineRule="exact" w:after="0" w:before="0"/>
        <w:ind w:left="577" w:hanging="577"/>
        <w:tabs>
          <w:tab w:val="left" w:pos="366712"/>
        </w:tabs>
      </w:pPr>
      <w:r>
        <w:rPr>
          <w:rFonts w:ascii="Times New Roman" w:hAnsi="Times New Roman" w:eastAsia="宋体"/>
          <w:b w:val="0"/>
          <w:sz w:val="21"/>
        </w:rPr>
        <w:t xml:space="preserve">[21]</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Safi H, Sharifi A, Dabiri M, et al.</w:t>
      </w:r>
      <w:r>
        <w:rPr>
          <w:rFonts w:ascii="Times New Roman" w:hAnsi="Times New Roman" w:eastAsia="宋体"/>
          <w:b w:val="0"/>
          <w:sz w:val="21"/>
        </w:rPr>
        <w:t xml:space="preserve"> </w:t>
      </w:r>
      <w:r>
        <w:rPr>
          <w:rFonts w:ascii="Times New Roman" w:hAnsi="Times New Roman" w:eastAsia="宋体"/>
          <w:b w:val="0"/>
          <w:sz w:val="21"/>
        </w:rPr>
        <w:t xml:space="preserve">Adaptive Channel Coding and Power Control for Practical FSO Under Channel Estimation Error</w:t>
      </w:r>
      <w:r>
        <w:rPr>
          <w:rFonts w:ascii="Times New Roman" w:hAnsi="Times New Roman" w:eastAsia="宋体"/>
          <w:b w:val="0"/>
          <w:sz w:val="21"/>
        </w:rPr>
        <w:t xml:space="preserve">[J]. IEEE Transactions on Vehicular Technology, 2019, 68(8): 7566-7579.</w:t>
      </w:r>
    </w:p>
    <w:bookmarkEnd w:id="67"/>
    <w:bookmarkStart w:id="69" w:name="ref-valjus2025dsp"/>
    <w:p>
      <w:pPr>
        <w:pStyle w:val="参考文献"/>
        <w:spacing w:line="440" w:lineRule="exact" w:after="0" w:before="0"/>
        <w:ind w:left="577" w:hanging="577"/>
        <w:tabs>
          <w:tab w:val="left" w:pos="366712"/>
        </w:tabs>
      </w:pPr>
      <w:r>
        <w:rPr>
          <w:rFonts w:ascii="Times New Roman" w:hAnsi="Times New Roman" w:eastAsia="宋体"/>
          <w:b w:val="0"/>
          <w:sz w:val="21"/>
        </w:rPr>
        <w:t xml:space="preserve">[22]</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Valjus C, Wolf R, Poliak J.</w:t>
      </w:r>
      <w:r>
        <w:rPr>
          <w:rFonts w:ascii="Times New Roman" w:hAnsi="Times New Roman" w:eastAsia="宋体"/>
          <w:b w:val="0"/>
          <w:sz w:val="21"/>
        </w:rPr>
        <w:t xml:space="preserve"> </w:t>
      </w:r>
      <w:r>
        <w:rPr>
          <w:rFonts w:ascii="Times New Roman" w:hAnsi="Times New Roman" w:eastAsia="宋体"/>
          <w:b w:val="0"/>
          <w:sz w:val="21"/>
        </w:rPr>
        <w:t xml:space="preserve">Review and Analysis of</w:t>
      </w:r>
      <w:r>
        <w:rPr>
          <w:rFonts w:ascii="Times New Roman" w:hAnsi="Times New Roman" w:eastAsia="宋体"/>
          <w:b w:val="0"/>
          <w:sz w:val="21"/>
        </w:rPr>
        <w:t xml:space="preserve"> </w:t>
      </w:r>
      <w:r>
        <w:rPr>
          <w:rFonts w:ascii="Times New Roman" w:hAnsi="Times New Roman" w:eastAsia="宋体"/>
          <w:b w:val="0"/>
          <w:sz w:val="21"/>
        </w:rPr>
        <w:t xml:space="preserve">DSP</w:t>
      </w:r>
      <w:r>
        <w:rPr>
          <w:rFonts w:ascii="Times New Roman" w:hAnsi="Times New Roman" w:eastAsia="宋体"/>
          <w:b w:val="0"/>
          <w:sz w:val="21"/>
        </w:rPr>
        <w:t xml:space="preserve"> </w:t>
      </w:r>
      <w:r>
        <w:rPr>
          <w:rFonts w:ascii="Times New Roman" w:hAnsi="Times New Roman" w:eastAsia="宋体"/>
          <w:b w:val="0"/>
          <w:sz w:val="21"/>
        </w:rPr>
        <w:t xml:space="preserve">Algorithms for Coherent Optical Satellite Links</w:t>
      </w:r>
      <w:r>
        <w:rPr>
          <w:rFonts w:ascii="Times New Roman" w:hAnsi="Times New Roman" w:eastAsia="宋体"/>
          <w:b w:val="0"/>
          <w:sz w:val="21"/>
        </w:rPr>
        <w:t xml:space="preserve">[J]. International Journal of Satellite Communications and Networking, 2025, 43(3): 229-250.</w:t>
      </w:r>
    </w:p>
    <w:bookmarkEnd w:id="69"/>
    <w:bookmarkStart w:id="71" w:name="ref-fernandes2023"/>
    <w:p>
      <w:pPr>
        <w:pStyle w:val="参考文献"/>
        <w:spacing w:line="440" w:lineRule="exact" w:after="0" w:before="0"/>
        <w:ind w:left="577" w:hanging="577"/>
        <w:tabs>
          <w:tab w:val="left" w:pos="366712"/>
        </w:tabs>
      </w:pPr>
      <w:r>
        <w:rPr>
          <w:rFonts w:ascii="Times New Roman" w:hAnsi="Times New Roman" w:eastAsia="宋体"/>
          <w:b w:val="0"/>
          <w:sz w:val="21"/>
        </w:rPr>
        <w:t xml:space="preserve">[23]</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Fernandes M A, Loureiro P A, Fernandes G M, et al.</w:t>
      </w:r>
      <w:r>
        <w:rPr>
          <w:rFonts w:ascii="Times New Roman" w:hAnsi="Times New Roman" w:eastAsia="宋体"/>
          <w:b w:val="0"/>
          <w:sz w:val="21"/>
        </w:rPr>
        <w:t xml:space="preserve"> </w:t>
      </w:r>
      <w:r>
        <w:rPr>
          <w:rFonts w:ascii="Times New Roman" w:hAnsi="Times New Roman" w:eastAsia="宋体"/>
          <w:b w:val="0"/>
          <w:sz w:val="21"/>
        </w:rPr>
        <w:t xml:space="preserve">Digitally Mitigating Doppler Shift in High-Capacity Coherent FSO LEO-to-Earth Links</w:t>
      </w:r>
      <w:r>
        <w:rPr>
          <w:rFonts w:ascii="Times New Roman" w:hAnsi="Times New Roman" w:eastAsia="宋体"/>
          <w:b w:val="0"/>
          <w:sz w:val="21"/>
        </w:rPr>
        <w:t xml:space="preserve">[J]. Journal of Lightwave Technology, 2023, 41(11): 3367-3375.</w:t>
      </w:r>
    </w:p>
    <w:bookmarkEnd w:id="71"/>
    <w:bookmarkStart w:id="73" w:name="ref-almonacil2020"/>
    <w:p>
      <w:pPr>
        <w:pStyle w:val="参考文献"/>
        <w:spacing w:line="440" w:lineRule="exact" w:after="0" w:before="0"/>
        <w:ind w:left="577" w:hanging="577"/>
        <w:tabs>
          <w:tab w:val="left" w:pos="366712"/>
        </w:tabs>
      </w:pPr>
      <w:r>
        <w:rPr>
          <w:rFonts w:ascii="Times New Roman" w:hAnsi="Times New Roman" w:eastAsia="宋体"/>
          <w:b w:val="0"/>
          <w:sz w:val="21"/>
        </w:rPr>
        <w:t xml:space="preserve">[24]</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Almonacil S, Boddeda R, Allain T, et al.</w:t>
      </w:r>
      <w:r>
        <w:rPr>
          <w:rFonts w:ascii="Times New Roman" w:hAnsi="Times New Roman" w:eastAsia="宋体"/>
          <w:b w:val="0"/>
          <w:sz w:val="21"/>
        </w:rPr>
        <w:t xml:space="preserve"> </w:t>
      </w:r>
      <w:r>
        <w:rPr>
          <w:rFonts w:ascii="Times New Roman" w:hAnsi="Times New Roman" w:eastAsia="宋体"/>
          <w:b w:val="0"/>
          <w:sz w:val="21"/>
        </w:rPr>
        <w:t xml:space="preserve">Digital Pre-Compensation of Doppler Frequency Shift in Coherent Optical Satellite Communications</w:t>
      </w:r>
      <w:r>
        <w:rPr>
          <w:rFonts w:ascii="Times New Roman" w:hAnsi="Times New Roman" w:eastAsia="宋体"/>
          <w:b w:val="0"/>
          <w:sz w:val="21"/>
        </w:rPr>
        <w:t xml:space="preserve">[C]//European Conference on Optical Communication (ECOC). Brussels: IEEE, 2020: 1-4.</w:t>
      </w:r>
    </w:p>
    <w:bookmarkEnd w:id="73"/>
    <w:bookmarkStart w:id="75" w:name="ref-zhao2025"/>
    <w:p>
      <w:pPr>
        <w:pStyle w:val="参考文献"/>
        <w:spacing w:line="440" w:lineRule="exact" w:after="0" w:before="0"/>
        <w:ind w:left="577" w:hanging="577"/>
        <w:tabs>
          <w:tab w:val="left" w:pos="366712"/>
        </w:tabs>
      </w:pPr>
      <w:r>
        <w:rPr>
          <w:rFonts w:ascii="Times New Roman" w:hAnsi="Times New Roman" w:eastAsia="宋体"/>
          <w:b w:val="0"/>
          <w:sz w:val="21"/>
        </w:rPr>
        <w:t xml:space="preserve">[25]</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Zhao S, Lin Y, Ding X.</w:t>
      </w:r>
      <w:r>
        <w:rPr>
          <w:rFonts w:ascii="Times New Roman" w:hAnsi="Times New Roman" w:eastAsia="宋体"/>
          <w:b w:val="0"/>
          <w:sz w:val="21"/>
        </w:rPr>
        <w:t xml:space="preserve"> </w:t>
      </w:r>
      <w:r>
        <w:rPr>
          <w:rFonts w:ascii="Times New Roman" w:hAnsi="Times New Roman" w:eastAsia="宋体"/>
          <w:b w:val="0"/>
          <w:sz w:val="21"/>
        </w:rPr>
        <w:t xml:space="preserve">Joint Doppler and Phase Noise Compensation for Inter-Satellite Coherent Laser Communication</w:t>
      </w:r>
      <w:r>
        <w:rPr>
          <w:rFonts w:ascii="Times New Roman" w:hAnsi="Times New Roman" w:eastAsia="宋体"/>
          <w:b w:val="0"/>
          <w:sz w:val="21"/>
        </w:rPr>
        <w:t xml:space="preserve">[C]//International Conference on Communication, Signal Processing, and their Applications (ICCSN). Qingdao: IEEE, 2025: 244-249.</w:t>
      </w:r>
    </w:p>
    <w:bookmarkEnd w:id="75"/>
    <w:bookmarkStart w:id="77" w:name="ref-wang2025a"/>
    <w:p>
      <w:pPr>
        <w:pStyle w:val="参考文献"/>
        <w:spacing w:line="440" w:lineRule="exact" w:after="0" w:before="0"/>
        <w:ind w:left="577" w:hanging="577"/>
        <w:tabs>
          <w:tab w:val="left" w:pos="366712"/>
        </w:tabs>
      </w:pPr>
      <w:r>
        <w:rPr>
          <w:rFonts w:ascii="Times New Roman" w:hAnsi="Times New Roman" w:eastAsia="宋体"/>
          <w:b w:val="0"/>
          <w:sz w:val="21"/>
        </w:rPr>
        <w:t xml:space="preserve">[26]</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Wang K, Li A, Wang Z, et al.</w:t>
      </w:r>
      <w:r>
        <w:rPr>
          <w:rFonts w:ascii="Times New Roman" w:hAnsi="Times New Roman" w:eastAsia="宋体"/>
          <w:b w:val="0"/>
          <w:sz w:val="21"/>
        </w:rPr>
        <w:t xml:space="preserve"> </w:t>
      </w:r>
      <w:r>
        <w:rPr>
          <w:rFonts w:ascii="Times New Roman" w:hAnsi="Times New Roman" w:eastAsia="宋体"/>
          <w:b w:val="0"/>
          <w:sz w:val="21"/>
        </w:rPr>
        <w:t xml:space="preserve">Real-Time Doppler Shift Tracking Scheme for LEO Satellite-Ground Links</w:t>
      </w:r>
      <w:r>
        <w:rPr>
          <w:rFonts w:ascii="Times New Roman" w:hAnsi="Times New Roman" w:eastAsia="宋体"/>
          <w:b w:val="0"/>
          <w:sz w:val="21"/>
        </w:rPr>
        <w:t xml:space="preserve">[C]//Asia Communications and Photonics Conference (ACP). Jiangsu: IEEE, 2025: 1-4.</w:t>
      </w:r>
    </w:p>
    <w:bookmarkEnd w:id="77"/>
    <w:bookmarkStart w:id="79" w:name="ref-viterbi1983"/>
    <w:p>
      <w:pPr>
        <w:pStyle w:val="参考文献"/>
        <w:spacing w:line="440" w:lineRule="exact" w:after="0" w:before="0"/>
        <w:ind w:left="577" w:hanging="577"/>
        <w:tabs>
          <w:tab w:val="left" w:pos="366712"/>
        </w:tabs>
      </w:pPr>
      <w:r>
        <w:rPr>
          <w:rFonts w:ascii="Times New Roman" w:hAnsi="Times New Roman" w:eastAsia="宋体"/>
          <w:b w:val="0"/>
          <w:sz w:val="21"/>
        </w:rPr>
        <w:t xml:space="preserve">[27]</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Viterbi A J, Viterbi A M.</w:t>
      </w:r>
      <w:r>
        <w:rPr>
          <w:rFonts w:ascii="Times New Roman" w:hAnsi="Times New Roman" w:eastAsia="宋体"/>
          <w:b w:val="0"/>
          <w:sz w:val="21"/>
        </w:rPr>
        <w:t xml:space="preserve"> </w:t>
      </w:r>
      <w:r>
        <w:rPr>
          <w:rFonts w:ascii="Times New Roman" w:hAnsi="Times New Roman" w:eastAsia="宋体"/>
          <w:b w:val="0"/>
          <w:sz w:val="21"/>
        </w:rPr>
        <w:t xml:space="preserve">Nonlinear Estimation of</w:t>
      </w:r>
      <w:r>
        <w:rPr>
          <w:rFonts w:ascii="Times New Roman" w:hAnsi="Times New Roman" w:eastAsia="宋体"/>
          <w:b w:val="0"/>
          <w:sz w:val="21"/>
        </w:rPr>
        <w:t xml:space="preserve"> </w:t>
      </w:r>
      <w:r>
        <w:rPr>
          <w:rFonts w:ascii="Times New Roman" w:hAnsi="Times New Roman" w:eastAsia="宋体"/>
          <w:b w:val="0"/>
          <w:sz w:val="21"/>
        </w:rPr>
        <w:t xml:space="preserve">PSK</w:t>
      </w:r>
      <w:r>
        <w:rPr>
          <w:rFonts w:ascii="Times New Roman" w:hAnsi="Times New Roman" w:eastAsia="宋体"/>
          <w:b w:val="0"/>
          <w:sz w:val="21"/>
        </w:rPr>
        <w:t xml:space="preserve">-Modulated Carrier Phase with Application to Burst Digital Transmission</w:t>
      </w:r>
      <w:r>
        <w:rPr>
          <w:rFonts w:ascii="Times New Roman" w:hAnsi="Times New Roman" w:eastAsia="宋体"/>
          <w:b w:val="0"/>
          <w:sz w:val="21"/>
        </w:rPr>
        <w:t xml:space="preserve">[J]. IEEE Transactions on Information Theory, 1983, 29(4): 543-551.</w:t>
      </w:r>
    </w:p>
    <w:bookmarkEnd w:id="79"/>
    <w:bookmarkStart w:id="80" w:name="ref-guanhaijun2019"/>
    <w:p>
      <w:pPr>
        <w:pStyle w:val="参考文献"/>
        <w:spacing w:line="440" w:lineRule="exact" w:after="0" w:before="0"/>
        <w:ind w:left="577" w:hanging="577"/>
        <w:tabs>
          <w:tab w:val="left" w:pos="366712"/>
        </w:tabs>
      </w:pPr>
      <w:r>
        <w:rPr>
          <w:rFonts w:ascii="Times New Roman" w:hAnsi="Times New Roman" w:eastAsia="宋体"/>
          <w:b w:val="0"/>
          <w:sz w:val="21"/>
        </w:rPr>
        <w:t xml:space="preserve">[28]</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管海军, 刘云清, 张凤晶. 基于数字相位恢复算法的正交相移键控自由空间相干光通信系统[J]. 中国光学, 2019, 12(5): 1131-1138.</w:t>
      </w:r>
    </w:p>
    <w:bookmarkEnd w:id="80"/>
    <w:bookmarkStart w:id="82" w:name="ref-taylor2009"/>
    <w:p>
      <w:pPr>
        <w:pStyle w:val="参考文献"/>
        <w:spacing w:line="440" w:lineRule="exact" w:after="0" w:before="0"/>
        <w:ind w:left="577" w:hanging="577"/>
        <w:tabs>
          <w:tab w:val="left" w:pos="366712"/>
        </w:tabs>
      </w:pPr>
      <w:r>
        <w:rPr>
          <w:rFonts w:ascii="Times New Roman" w:hAnsi="Times New Roman" w:eastAsia="宋体"/>
          <w:b w:val="0"/>
          <w:sz w:val="21"/>
        </w:rPr>
        <w:t xml:space="preserve">[29]</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Taylor M G.</w:t>
      </w:r>
      <w:r>
        <w:rPr>
          <w:rFonts w:ascii="Times New Roman" w:hAnsi="Times New Roman" w:eastAsia="宋体"/>
          <w:b w:val="0"/>
          <w:sz w:val="21"/>
        </w:rPr>
        <w:t xml:space="preserve"> </w:t>
      </w:r>
      <w:r>
        <w:rPr>
          <w:rFonts w:ascii="Times New Roman" w:hAnsi="Times New Roman" w:eastAsia="宋体"/>
          <w:b w:val="0"/>
          <w:sz w:val="21"/>
        </w:rPr>
        <w:t xml:space="preserve">Phase Estimation Methods for Optical Coherent Detection Using Digital Signal Processing</w:t>
      </w:r>
      <w:r>
        <w:rPr>
          <w:rFonts w:ascii="Times New Roman" w:hAnsi="Times New Roman" w:eastAsia="宋体"/>
          <w:b w:val="0"/>
          <w:sz w:val="21"/>
        </w:rPr>
        <w:t xml:space="preserve">[J]. Journal of Lightwave Technology, 2009, 27(7): 901-914.</w:t>
      </w:r>
    </w:p>
    <w:bookmarkEnd w:id="82"/>
    <w:bookmarkStart w:id="84" w:name="ref-pfau2009"/>
    <w:p>
      <w:pPr>
        <w:pStyle w:val="参考文献"/>
        <w:spacing w:line="440" w:lineRule="exact" w:after="0" w:before="0"/>
        <w:ind w:left="577" w:hanging="577"/>
        <w:tabs>
          <w:tab w:val="left" w:pos="366712"/>
        </w:tabs>
      </w:pPr>
      <w:r>
        <w:rPr>
          <w:rFonts w:ascii="Times New Roman" w:hAnsi="Times New Roman" w:eastAsia="宋体"/>
          <w:b w:val="0"/>
          <w:sz w:val="21"/>
        </w:rPr>
        <w:t xml:space="preserve">[30]</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Pfau T, Hoffmann S, Noé R.</w:t>
      </w:r>
      <w:r>
        <w:rPr>
          <w:rFonts w:ascii="Times New Roman" w:hAnsi="Times New Roman" w:eastAsia="宋体"/>
          <w:b w:val="0"/>
          <w:sz w:val="21"/>
        </w:rPr>
        <w:t xml:space="preserve"> </w:t>
      </w:r>
      <w:r>
        <w:rPr>
          <w:rFonts w:ascii="Times New Roman" w:hAnsi="Times New Roman" w:eastAsia="宋体"/>
          <w:b w:val="0"/>
          <w:sz w:val="21"/>
        </w:rPr>
        <w:t xml:space="preserve">Hardware-Efficient Coherent Digital Receiver Concept With Feedforward Carrier Recovery for</w:t>
      </w:r>
      <w:r>
        <w:rPr>
          <w:rFonts w:ascii="Times New Roman" w:hAnsi="Times New Roman" w:eastAsia="宋体"/>
          <w:b w:val="0"/>
          <w:sz w:val="21"/>
        </w:rPr>
        <w:t xml:space="preserve"> </w:t>
      </w:r>
      <w:r>
        <w:rPr>
          <w:rFonts w:ascii="Times New Roman" w:hAnsi="Times New Roman" w:eastAsia="宋体"/>
          <w:b w:val="0"/>
          <w:sz w:val="21"/>
        </w:rPr>
        <w:t xml:space="preserve">-QAM Constellations</w:t>
      </w:r>
      <w:r>
        <w:rPr>
          <w:rFonts w:ascii="Times New Roman" w:hAnsi="Times New Roman" w:eastAsia="宋体"/>
          <w:b w:val="0"/>
          <w:sz w:val="21"/>
        </w:rPr>
        <w:t xml:space="preserve">[J]. Journal of Lightwave Technology, 2009, 27(8): 989-999.</w:t>
      </w:r>
    </w:p>
    <w:bookmarkEnd w:id="84"/>
    <w:bookmarkStart w:id="86" w:name="ref-yang2025"/>
    <w:p>
      <w:pPr>
        <w:pStyle w:val="参考文献"/>
        <w:spacing w:line="440" w:lineRule="exact" w:after="0" w:before="0"/>
        <w:ind w:left="577" w:hanging="577"/>
        <w:tabs>
          <w:tab w:val="left" w:pos="366712"/>
        </w:tabs>
      </w:pPr>
      <w:r>
        <w:rPr>
          <w:rFonts w:ascii="Times New Roman" w:hAnsi="Times New Roman" w:eastAsia="宋体"/>
          <w:b w:val="0"/>
          <w:sz w:val="21"/>
        </w:rPr>
        <w:t xml:space="preserve">[31]</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Yang J, Yang X, Guo J.</w:t>
      </w:r>
      <w:r>
        <w:rPr>
          <w:rFonts w:ascii="Times New Roman" w:hAnsi="Times New Roman" w:eastAsia="宋体"/>
          <w:b w:val="0"/>
          <w:sz w:val="21"/>
        </w:rPr>
        <w:t xml:space="preserve"> </w:t>
      </w:r>
      <w:r>
        <w:rPr>
          <w:rFonts w:ascii="Times New Roman" w:hAnsi="Times New Roman" w:eastAsia="宋体"/>
          <w:b w:val="0"/>
          <w:sz w:val="21"/>
        </w:rPr>
        <w:t xml:space="preserve">Low-Complexity Carrier Phase Estimation Algorithms for Space Coherent Optical Communication</w:t>
      </w:r>
      <w:r>
        <w:rPr>
          <w:rFonts w:ascii="Times New Roman" w:hAnsi="Times New Roman" w:eastAsia="宋体"/>
          <w:b w:val="0"/>
          <w:sz w:val="21"/>
        </w:rPr>
        <w:t xml:space="preserve">[C]//Proc. SPIE 13630, Fourth International Conference on High Performance Computing and Communication Engineering (HPCCE). Suzhou: SPIE, 2025: 136300V-136300V-8.</w:t>
      </w:r>
    </w:p>
    <w:bookmarkEnd w:id="86"/>
    <w:bookmarkStart w:id="87" w:name="ref-paillier2020"/>
    <w:p>
      <w:pPr>
        <w:pStyle w:val="参考文献"/>
        <w:spacing w:line="440" w:lineRule="exact" w:after="0" w:before="0"/>
        <w:ind w:left="577" w:hanging="577"/>
        <w:tabs>
          <w:tab w:val="left" w:pos="366712"/>
        </w:tabs>
      </w:pPr>
      <w:r>
        <w:rPr>
          <w:rFonts w:ascii="Times New Roman" w:hAnsi="Times New Roman" w:eastAsia="宋体"/>
          <w:b w:val="0"/>
          <w:sz w:val="21"/>
        </w:rPr>
        <w:t xml:space="preserve">[32]</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Paillier L, Gorshkov B, Arnal F, et al. Space-Ground Coherent Optical Links: Ground Receiver Performance With Adaptive Optics[J]. Journal of Lightwave Technology, 2020, 38(8): 2359-2369.</w:t>
      </w:r>
    </w:p>
    <w:bookmarkEnd w:id="87"/>
    <w:bookmarkStart w:id="89" w:name="ref-neves2024"/>
    <w:p>
      <w:pPr>
        <w:pStyle w:val="参考文献"/>
        <w:spacing w:line="440" w:lineRule="exact" w:after="0" w:before="0"/>
        <w:ind w:left="577" w:hanging="577"/>
        <w:tabs>
          <w:tab w:val="left" w:pos="366712"/>
        </w:tabs>
      </w:pPr>
      <w:r>
        <w:rPr>
          <w:rFonts w:ascii="Times New Roman" w:hAnsi="Times New Roman" w:eastAsia="宋体"/>
          <w:b w:val="0"/>
          <w:sz w:val="21"/>
        </w:rPr>
        <w:t xml:space="preserve">[33]</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Neves M S, Lorences-Riesgo A, Martins C M, et al.</w:t>
      </w:r>
      <w:r>
        <w:rPr>
          <w:rFonts w:ascii="Times New Roman" w:hAnsi="Times New Roman" w:eastAsia="宋体"/>
          <w:b w:val="0"/>
          <w:sz w:val="21"/>
        </w:rPr>
        <w:t xml:space="preserve"> </w:t>
      </w:r>
      <w:r>
        <w:rPr>
          <w:rFonts w:ascii="Times New Roman" w:hAnsi="Times New Roman" w:eastAsia="宋体"/>
          <w:b w:val="0"/>
          <w:sz w:val="21"/>
        </w:rPr>
        <w:t xml:space="preserve">CPR</w:t>
      </w:r>
      <w:r>
        <w:rPr>
          <w:rFonts w:ascii="Times New Roman" w:hAnsi="Times New Roman" w:eastAsia="宋体"/>
          <w:b w:val="0"/>
          <w:sz w:val="21"/>
        </w:rPr>
        <w:t xml:space="preserve"> </w:t>
      </w:r>
      <w:r>
        <w:rPr>
          <w:rFonts w:ascii="Times New Roman" w:hAnsi="Times New Roman" w:eastAsia="宋体"/>
          <w:b w:val="0"/>
          <w:sz w:val="21"/>
        </w:rPr>
        <w:t xml:space="preserve">Algorithm Survey at 256</w:t>
      </w:r>
      <w:r>
        <w:rPr>
          <w:rFonts w:ascii="Times New Roman" w:hAnsi="Times New Roman" w:eastAsia="宋体"/>
          <w:b w:val="0"/>
          <w:sz w:val="21"/>
        </w:rPr>
        <w:t xml:space="preserve">GBaud</w:t>
      </w:r>
      <w:r>
        <w:rPr>
          <w:rFonts w:ascii="Times New Roman" w:hAnsi="Times New Roman" w:eastAsia="宋体"/>
          <w:b w:val="0"/>
          <w:sz w:val="21"/>
        </w:rPr>
        <w:t xml:space="preserve">[J]. Journal of Lightwave Technology, 2024, 42(8): 2890-2905.</w:t>
      </w:r>
    </w:p>
    <w:bookmarkEnd w:id="89"/>
    <w:bookmarkStart w:id="90" w:name="ref-wang2024oe"/>
    <w:p>
      <w:pPr>
        <w:pStyle w:val="参考文献"/>
        <w:spacing w:line="440" w:lineRule="exact" w:after="0" w:before="0"/>
        <w:ind w:left="577" w:hanging="577"/>
        <w:tabs>
          <w:tab w:val="left" w:pos="366712"/>
        </w:tabs>
      </w:pPr>
      <w:r>
        <w:rPr>
          <w:rFonts w:ascii="Times New Roman" w:hAnsi="Times New Roman" w:eastAsia="宋体"/>
          <w:b w:val="0"/>
          <w:sz w:val="21"/>
        </w:rPr>
        <w:t xml:space="preserve">[34]</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Wang L, Liu K, Zhang S, et al. Enhanced Frame Synchronization and Carrier Recovery in Coherent FSO Communication[J]. Optics Express, 2024, 32: 25560-25580.</w:t>
      </w:r>
    </w:p>
    <w:bookmarkEnd w:id="90"/>
    <w:bookmarkStart w:id="92" w:name="ref-li2019"/>
    <w:p>
      <w:pPr>
        <w:pStyle w:val="参考文献"/>
        <w:spacing w:line="440" w:lineRule="exact" w:after="0" w:before="0"/>
        <w:ind w:left="577" w:hanging="577"/>
        <w:tabs>
          <w:tab w:val="left" w:pos="366712"/>
        </w:tabs>
      </w:pPr>
      <w:r>
        <w:rPr>
          <w:rFonts w:ascii="Times New Roman" w:hAnsi="Times New Roman" w:eastAsia="宋体"/>
          <w:b w:val="0"/>
          <w:sz w:val="21"/>
        </w:rPr>
        <w:t xml:space="preserve">[35]</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Li Y, Wu M, Du X, et al.</w:t>
      </w:r>
      <w:r>
        <w:rPr>
          <w:rFonts w:ascii="Times New Roman" w:hAnsi="Times New Roman" w:eastAsia="宋体"/>
          <w:b w:val="0"/>
          <w:sz w:val="21"/>
        </w:rPr>
        <w:t xml:space="preserve"> </w:t>
      </w:r>
      <w:r>
        <w:rPr>
          <w:rFonts w:ascii="Times New Roman" w:hAnsi="Times New Roman" w:eastAsia="宋体"/>
          <w:b w:val="0"/>
          <w:sz w:val="21"/>
        </w:rPr>
        <w:t xml:space="preserve">VV</w:t>
      </w:r>
      <w:r>
        <w:rPr>
          <w:rFonts w:ascii="Times New Roman" w:hAnsi="Times New Roman" w:eastAsia="宋体"/>
          <w:b w:val="0"/>
          <w:sz w:val="21"/>
        </w:rPr>
        <w:t xml:space="preserve"> </w:t>
      </w:r>
      <w:r>
        <w:rPr>
          <w:rFonts w:ascii="Times New Roman" w:hAnsi="Times New Roman" w:eastAsia="宋体"/>
          <w:b w:val="0"/>
          <w:sz w:val="21"/>
        </w:rPr>
        <w:t xml:space="preserve">Block Length Effect Under High Phase Noise</w:t>
      </w:r>
      <w:r>
        <w:rPr>
          <w:rFonts w:ascii="Times New Roman" w:hAnsi="Times New Roman" w:eastAsia="宋体"/>
          <w:b w:val="0"/>
          <w:sz w:val="21"/>
        </w:rPr>
        <w:t xml:space="preserve">[J]. IEEE Transactions on Communications, 2019, 67(9): 6123-6134.</w:t>
      </w:r>
    </w:p>
    <w:bookmarkEnd w:id="92"/>
    <w:bookmarkStart w:id="94" w:name="ref-petkovic2022"/>
    <w:p>
      <w:pPr>
        <w:pStyle w:val="参考文献"/>
        <w:spacing w:line="440" w:lineRule="exact" w:after="0" w:before="0"/>
        <w:ind w:left="577" w:hanging="577"/>
        <w:tabs>
          <w:tab w:val="left" w:pos="366712"/>
        </w:tabs>
      </w:pPr>
      <w:r>
        <w:rPr>
          <w:rFonts w:ascii="Times New Roman" w:hAnsi="Times New Roman" w:eastAsia="宋体"/>
          <w:b w:val="0"/>
          <w:sz w:val="21"/>
        </w:rPr>
        <w:t xml:space="preserve">[36]</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Petković M I, Vukmirović N, Trifković A M, et al.</w:t>
      </w:r>
      <w:r>
        <w:rPr>
          <w:rFonts w:ascii="Times New Roman" w:hAnsi="Times New Roman" w:eastAsia="宋体"/>
          <w:b w:val="0"/>
          <w:sz w:val="21"/>
        </w:rPr>
        <w:t xml:space="preserve"> </w:t>
      </w:r>
      <w:r>
        <w:rPr>
          <w:rFonts w:ascii="Times New Roman" w:hAnsi="Times New Roman" w:eastAsia="宋体"/>
          <w:b w:val="0"/>
          <w:sz w:val="21"/>
        </w:rPr>
        <w:t xml:space="preserve">Error Probability of a Coherent</w:t>
      </w:r>
      <w:r>
        <w:rPr>
          <w:rFonts w:ascii="Times New Roman" w:hAnsi="Times New Roman" w:eastAsia="宋体"/>
          <w:b w:val="0"/>
          <w:sz w:val="21"/>
        </w:rPr>
        <w:t xml:space="preserve"> </w:t>
      </w:r>
      <w:r>
        <w:rPr>
          <w:rFonts w:ascii="Times New Roman" w:hAnsi="Times New Roman" w:eastAsia="宋体"/>
          <w:b w:val="0"/>
          <w:sz w:val="21"/>
        </w:rPr>
        <w:t xml:space="preserve">M</w:t>
      </w:r>
      <w:r>
        <w:rPr>
          <w:rFonts w:ascii="Times New Roman" w:hAnsi="Times New Roman" w:eastAsia="宋体"/>
          <w:b w:val="0"/>
          <w:sz w:val="21"/>
        </w:rPr>
        <w:t xml:space="preserve">-ary</w:t>
      </w:r>
      <w:r>
        <w:rPr>
          <w:rFonts w:ascii="Times New Roman" w:hAnsi="Times New Roman" w:eastAsia="宋体"/>
          <w:b w:val="0"/>
          <w:sz w:val="21"/>
        </w:rPr>
        <w:t xml:space="preserve"> </w:t>
      </w:r>
      <w:r>
        <w:rPr>
          <w:rFonts w:ascii="Times New Roman" w:hAnsi="Times New Roman" w:eastAsia="宋体"/>
          <w:b w:val="0"/>
          <w:sz w:val="21"/>
        </w:rPr>
        <w:t xml:space="preserve">PSK</w:t>
      </w:r>
      <w:r>
        <w:rPr>
          <w:rFonts w:ascii="Times New Roman" w:hAnsi="Times New Roman" w:eastAsia="宋体"/>
          <w:b w:val="0"/>
          <w:sz w:val="21"/>
        </w:rPr>
        <w:t xml:space="preserve"> </w:t>
      </w:r>
      <w:r>
        <w:rPr>
          <w:rFonts w:ascii="Times New Roman" w:hAnsi="Times New Roman" w:eastAsia="宋体"/>
          <w:b w:val="0"/>
          <w:sz w:val="21"/>
        </w:rPr>
        <w:t xml:space="preserve">FSO</w:t>
      </w:r>
      <w:r>
        <w:rPr>
          <w:rFonts w:ascii="Times New Roman" w:hAnsi="Times New Roman" w:eastAsia="宋体"/>
          <w:b w:val="0"/>
          <w:sz w:val="21"/>
        </w:rPr>
        <w:t xml:space="preserve"> </w:t>
      </w:r>
      <w:r>
        <w:rPr>
          <w:rFonts w:ascii="Times New Roman" w:hAnsi="Times New Roman" w:eastAsia="宋体"/>
          <w:b w:val="0"/>
          <w:sz w:val="21"/>
        </w:rPr>
        <w:t xml:space="preserve">System Influenced by Phase Noise</w:t>
      </w:r>
      <w:r>
        <w:rPr>
          <w:rFonts w:ascii="Times New Roman" w:hAnsi="Times New Roman" w:eastAsia="宋体"/>
          <w:b w:val="0"/>
          <w:sz w:val="21"/>
        </w:rPr>
        <w:t xml:space="preserve">[J]. Mathematics, 2023, 11(1): 121.</w:t>
      </w:r>
    </w:p>
    <w:bookmarkEnd w:id="94"/>
    <w:bookmarkStart w:id="95" w:name="ref-gardner1979"/>
    <w:p>
      <w:pPr>
        <w:pStyle w:val="参考文献"/>
        <w:spacing w:line="440" w:lineRule="exact" w:after="0" w:before="0"/>
        <w:ind w:left="577" w:hanging="577"/>
        <w:tabs>
          <w:tab w:val="left" w:pos="366712"/>
        </w:tabs>
      </w:pPr>
      <w:r>
        <w:rPr>
          <w:rFonts w:ascii="Times New Roman" w:hAnsi="Times New Roman" w:eastAsia="宋体"/>
          <w:b w:val="0"/>
          <w:sz w:val="21"/>
        </w:rPr>
        <w:t xml:space="preserve">[37]</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Gardner F M. Phaselock Techniques[M]. 2nd ed. New York: Wiley, 1979.</w:t>
      </w:r>
    </w:p>
    <w:bookmarkEnd w:id="95"/>
    <w:bookmarkStart w:id="97" w:name="ref-moeneclaey1994"/>
    <w:p>
      <w:pPr>
        <w:pStyle w:val="参考文献"/>
        <w:spacing w:line="440" w:lineRule="exact" w:after="0" w:before="0"/>
        <w:ind w:left="577" w:hanging="577"/>
        <w:tabs>
          <w:tab w:val="left" w:pos="366712"/>
        </w:tabs>
      </w:pPr>
      <w:r>
        <w:rPr>
          <w:rFonts w:ascii="Times New Roman" w:hAnsi="Times New Roman" w:eastAsia="宋体"/>
          <w:b w:val="0"/>
          <w:sz w:val="21"/>
        </w:rPr>
        <w:t xml:space="preserve">[38]</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Moeneclaey M, De Jonghe G, Haspeslagh C.</w:t>
      </w:r>
      <w:r>
        <w:rPr>
          <w:rFonts w:ascii="Times New Roman" w:hAnsi="Times New Roman" w:eastAsia="宋体"/>
          <w:b w:val="0"/>
          <w:sz w:val="21"/>
        </w:rPr>
        <w:t xml:space="preserve"> </w:t>
      </w:r>
      <w:r>
        <w:rPr>
          <w:rFonts w:ascii="Times New Roman" w:hAnsi="Times New Roman" w:eastAsia="宋体"/>
          <w:b w:val="0"/>
          <w:sz w:val="21"/>
        </w:rPr>
        <w:t xml:space="preserve">On the Optimal Averaging Window for the</w:t>
      </w:r>
      <w:r>
        <w:rPr>
          <w:rFonts w:ascii="Times New Roman" w:hAnsi="Times New Roman" w:eastAsia="宋体"/>
          <w:b w:val="0"/>
          <w:sz w:val="21"/>
        </w:rPr>
        <w:t xml:space="preserve"> </w:t>
      </w:r>
      <w:r>
        <w:rPr>
          <w:rFonts w:ascii="Times New Roman" w:hAnsi="Times New Roman" w:eastAsia="宋体"/>
          <w:b w:val="0"/>
          <w:sz w:val="21"/>
        </w:rPr>
        <w:t xml:space="preserve">Viterbi</w:t>
      </w:r>
      <w:r>
        <w:rPr>
          <w:rFonts w:ascii="Times New Roman" w:hAnsi="Times New Roman" w:eastAsia="宋体"/>
          <w:b w:val="0"/>
          <w:sz w:val="21"/>
        </w:rPr>
        <w:t xml:space="preserve"> </w:t>
      </w:r>
      <w:r>
        <w:rPr>
          <w:rFonts w:ascii="Times New Roman" w:hAnsi="Times New Roman" w:eastAsia="宋体"/>
          <w:b w:val="0"/>
          <w:sz w:val="21"/>
        </w:rPr>
        <w:t xml:space="preserve">and</w:t>
      </w:r>
      <w:r>
        <w:rPr>
          <w:rFonts w:ascii="Times New Roman" w:hAnsi="Times New Roman" w:eastAsia="宋体"/>
          <w:b w:val="0"/>
          <w:sz w:val="21"/>
        </w:rPr>
        <w:t xml:space="preserve"> </w:t>
      </w:r>
      <w:r>
        <w:rPr>
          <w:rFonts w:ascii="Times New Roman" w:hAnsi="Times New Roman" w:eastAsia="宋体"/>
          <w:b w:val="0"/>
          <w:sz w:val="21"/>
        </w:rPr>
        <w:t xml:space="preserve">Viterbi</w:t>
      </w:r>
      <w:r>
        <w:rPr>
          <w:rFonts w:ascii="Times New Roman" w:hAnsi="Times New Roman" w:eastAsia="宋体"/>
          <w:b w:val="0"/>
          <w:sz w:val="21"/>
        </w:rPr>
        <w:t xml:space="preserve"> </w:t>
      </w:r>
      <w:r>
        <w:rPr>
          <w:rFonts w:ascii="Times New Roman" w:hAnsi="Times New Roman" w:eastAsia="宋体"/>
          <w:b w:val="0"/>
          <w:sz w:val="21"/>
        </w:rPr>
        <w:t xml:space="preserve">Phase Estimator</w:t>
      </w:r>
      <w:r>
        <w:rPr>
          <w:rFonts w:ascii="Times New Roman" w:hAnsi="Times New Roman" w:eastAsia="宋体"/>
          <w:b w:val="0"/>
          <w:sz w:val="21"/>
        </w:rPr>
        <w:t xml:space="preserve">[C]//Proceedings of IEEE Global Telecommunications Conference (GLOBECOM). San Francisco: IEEE, 1994: 1538-1542.</w:t>
      </w:r>
    </w:p>
    <w:bookmarkEnd w:id="97"/>
    <w:bookmarkStart w:id="99" w:name="ref-schmogrow2012"/>
    <w:p>
      <w:pPr>
        <w:pStyle w:val="参考文献"/>
        <w:spacing w:line="440" w:lineRule="exact" w:after="0" w:before="0"/>
        <w:ind w:left="577" w:hanging="577"/>
        <w:tabs>
          <w:tab w:val="left" w:pos="366712"/>
        </w:tabs>
      </w:pPr>
      <w:r>
        <w:rPr>
          <w:rFonts w:ascii="Times New Roman" w:hAnsi="Times New Roman" w:eastAsia="宋体"/>
          <w:b w:val="0"/>
          <w:sz w:val="21"/>
        </w:rPr>
        <w:t xml:space="preserve">[39]</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Schmogrow R, Nebendahl B, Winter M, et al.</w:t>
      </w:r>
      <w:r>
        <w:rPr>
          <w:rFonts w:ascii="Times New Roman" w:hAnsi="Times New Roman" w:eastAsia="宋体"/>
          <w:b w:val="0"/>
          <w:sz w:val="21"/>
        </w:rPr>
        <w:t xml:space="preserve"> </w:t>
      </w:r>
      <w:r>
        <w:rPr>
          <w:rFonts w:ascii="Times New Roman" w:hAnsi="Times New Roman" w:eastAsia="宋体"/>
          <w:b w:val="0"/>
          <w:sz w:val="21"/>
        </w:rPr>
        <w:t xml:space="preserve">Error Vector Magnitude as a Performance Measure for Advanced Modulation Formats</w:t>
      </w:r>
      <w:r>
        <w:rPr>
          <w:rFonts w:ascii="Times New Roman" w:hAnsi="Times New Roman" w:eastAsia="宋体"/>
          <w:b w:val="0"/>
          <w:sz w:val="21"/>
        </w:rPr>
        <w:t xml:space="preserve">[J]. IEEE Photonics Technology Letters, 2012, 24(1): 61-63.</w:t>
      </w:r>
    </w:p>
    <w:bookmarkEnd w:id="99"/>
    <w:bookmarkStart w:id="101" w:name="ref-xiang2015"/>
    <w:p>
      <w:pPr>
        <w:pStyle w:val="参考文献"/>
        <w:spacing w:line="440" w:lineRule="exact" w:after="0" w:before="0"/>
        <w:ind w:left="577" w:hanging="577"/>
        <w:tabs>
          <w:tab w:val="left" w:pos="366712"/>
        </w:tabs>
      </w:pPr>
      <w:r>
        <w:rPr>
          <w:rFonts w:ascii="Times New Roman" w:hAnsi="Times New Roman" w:eastAsia="宋体"/>
          <w:b w:val="0"/>
          <w:sz w:val="21"/>
        </w:rPr>
        <w:t xml:space="preserve">[40]</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Xiang M, Fu S, Deng L, et al.</w:t>
      </w:r>
      <w:r>
        <w:rPr>
          <w:rFonts w:ascii="Times New Roman" w:hAnsi="Times New Roman" w:eastAsia="宋体"/>
          <w:b w:val="0"/>
          <w:sz w:val="21"/>
        </w:rPr>
        <w:t xml:space="preserve"> </w:t>
      </w:r>
      <w:r>
        <w:rPr>
          <w:rFonts w:ascii="Times New Roman" w:hAnsi="Times New Roman" w:eastAsia="宋体"/>
          <w:b w:val="0"/>
          <w:sz w:val="21"/>
        </w:rPr>
        <w:t xml:space="preserve">BPS</w:t>
      </w:r>
      <w:r>
        <w:rPr>
          <w:rFonts w:ascii="Times New Roman" w:hAnsi="Times New Roman" w:eastAsia="宋体"/>
          <w:b w:val="0"/>
          <w:sz w:val="21"/>
        </w:rPr>
        <w:t xml:space="preserve"> </w:t>
      </w:r>
      <w:r>
        <w:rPr>
          <w:rFonts w:ascii="Times New Roman" w:hAnsi="Times New Roman" w:eastAsia="宋体"/>
          <w:b w:val="0"/>
          <w:sz w:val="21"/>
        </w:rPr>
        <w:t xml:space="preserve">Block Length Optimization Criterion</w:t>
      </w:r>
      <w:r>
        <w:rPr>
          <w:rFonts w:ascii="Times New Roman" w:hAnsi="Times New Roman" w:eastAsia="宋体"/>
          <w:b w:val="0"/>
          <w:sz w:val="21"/>
        </w:rPr>
        <w:t xml:space="preserve">[J]. Optics Express, 2015, 23(15): 18901-18912.</w:t>
      </w:r>
    </w:p>
    <w:bookmarkEnd w:id="101"/>
    <w:bookmarkStart w:id="103" w:name="ref-oh2001"/>
    <w:p>
      <w:pPr>
        <w:pStyle w:val="参考文献"/>
        <w:spacing w:line="440" w:lineRule="exact" w:after="0" w:before="0"/>
        <w:ind w:left="577" w:hanging="577"/>
        <w:tabs>
          <w:tab w:val="left" w:pos="366712"/>
        </w:tabs>
      </w:pPr>
      <w:r>
        <w:rPr>
          <w:rFonts w:ascii="Times New Roman" w:hAnsi="Times New Roman" w:eastAsia="宋体"/>
          <w:b w:val="0"/>
          <w:sz w:val="21"/>
        </w:rPr>
        <w:t xml:space="preserve">[41]</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Oh W, Cheun K.</w:t>
      </w:r>
      <w:r>
        <w:rPr>
          <w:rFonts w:ascii="Times New Roman" w:hAnsi="Times New Roman" w:eastAsia="宋体"/>
          <w:b w:val="0"/>
          <w:sz w:val="21"/>
        </w:rPr>
        <w:t xml:space="preserve"> </w:t>
      </w:r>
      <w:r>
        <w:rPr>
          <w:rFonts w:ascii="Times New Roman" w:hAnsi="Times New Roman" w:eastAsia="宋体"/>
          <w:b w:val="0"/>
          <w:sz w:val="21"/>
        </w:rPr>
        <w:t xml:space="preserve">Joint Decoding and Carrier Phase Recovery Algorithm for</w:t>
      </w:r>
      <w:r>
        <w:rPr>
          <w:rFonts w:ascii="Times New Roman" w:hAnsi="Times New Roman" w:eastAsia="宋体"/>
          <w:b w:val="0"/>
          <w:sz w:val="21"/>
        </w:rPr>
        <w:t xml:space="preserve"> </w:t>
      </w:r>
      <w:r>
        <w:rPr>
          <w:rFonts w:ascii="Times New Roman" w:hAnsi="Times New Roman" w:eastAsia="宋体"/>
          <w:b w:val="0"/>
          <w:sz w:val="21"/>
        </w:rPr>
        <w:t xml:space="preserve">Turbo</w:t>
      </w:r>
      <w:r>
        <w:rPr>
          <w:rFonts w:ascii="Times New Roman" w:hAnsi="Times New Roman" w:eastAsia="宋体"/>
          <w:b w:val="0"/>
          <w:sz w:val="21"/>
        </w:rPr>
        <w:t xml:space="preserve"> </w:t>
      </w:r>
      <w:r>
        <w:rPr>
          <w:rFonts w:ascii="Times New Roman" w:hAnsi="Times New Roman" w:eastAsia="宋体"/>
          <w:b w:val="0"/>
          <w:sz w:val="21"/>
        </w:rPr>
        <w:t xml:space="preserve">Codes</w:t>
      </w:r>
      <w:r>
        <w:rPr>
          <w:rFonts w:ascii="Times New Roman" w:hAnsi="Times New Roman" w:eastAsia="宋体"/>
          <w:b w:val="0"/>
          <w:sz w:val="21"/>
        </w:rPr>
        <w:t xml:space="preserve">[J]. IEEE Communications Letters, 2001, 5(9): 375-377.</w:t>
      </w:r>
    </w:p>
    <w:bookmarkEnd w:id="103"/>
    <w:bookmarkStart w:id="105" w:name="ref-lottici2004"/>
    <w:p>
      <w:pPr>
        <w:pStyle w:val="参考文献"/>
        <w:spacing w:line="440" w:lineRule="exact" w:after="0" w:before="0"/>
        <w:ind w:left="577" w:hanging="577"/>
        <w:tabs>
          <w:tab w:val="left" w:pos="366712"/>
        </w:tabs>
      </w:pPr>
      <w:r>
        <w:rPr>
          <w:rFonts w:ascii="Times New Roman" w:hAnsi="Times New Roman" w:eastAsia="宋体"/>
          <w:b w:val="0"/>
          <w:sz w:val="21"/>
        </w:rPr>
        <w:t xml:space="preserve">[42]</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Lottici V, Luise M.</w:t>
      </w:r>
      <w:r>
        <w:rPr>
          <w:rFonts w:ascii="Times New Roman" w:hAnsi="Times New Roman" w:eastAsia="宋体"/>
          <w:b w:val="0"/>
          <w:sz w:val="21"/>
        </w:rPr>
        <w:t xml:space="preserve"> </w:t>
      </w:r>
      <w:r>
        <w:rPr>
          <w:rFonts w:ascii="Times New Roman" w:hAnsi="Times New Roman" w:eastAsia="宋体"/>
          <w:b w:val="0"/>
          <w:sz w:val="21"/>
        </w:rPr>
        <w:t xml:space="preserve">Embedding Carrier Phase Recovery into Iterative Decoding of</w:t>
      </w:r>
      <w:r>
        <w:rPr>
          <w:rFonts w:ascii="Times New Roman" w:hAnsi="Times New Roman" w:eastAsia="宋体"/>
          <w:b w:val="0"/>
          <w:sz w:val="21"/>
        </w:rPr>
        <w:t xml:space="preserve"> </w:t>
      </w:r>
      <w:r>
        <w:rPr>
          <w:rFonts w:ascii="Times New Roman" w:hAnsi="Times New Roman" w:eastAsia="宋体"/>
          <w:b w:val="0"/>
          <w:sz w:val="21"/>
        </w:rPr>
        <w:t xml:space="preserve">Turbo</w:t>
      </w:r>
      <w:r>
        <w:rPr>
          <w:rFonts w:ascii="Times New Roman" w:hAnsi="Times New Roman" w:eastAsia="宋体"/>
          <w:b w:val="0"/>
          <w:sz w:val="21"/>
        </w:rPr>
        <w:t xml:space="preserve">-Coded Linear Modulations</w:t>
      </w:r>
      <w:r>
        <w:rPr>
          <w:rFonts w:ascii="Times New Roman" w:hAnsi="Times New Roman" w:eastAsia="宋体"/>
          <w:b w:val="0"/>
          <w:sz w:val="21"/>
        </w:rPr>
        <w:t xml:space="preserve">[J]. IEEE Transactions on Communications, 2004, 52(4): 661-669.</w:t>
      </w:r>
    </w:p>
    <w:bookmarkEnd w:id="105"/>
    <w:bookmarkStart w:id="107" w:name="ref-wu2012"/>
    <w:p>
      <w:pPr>
        <w:pStyle w:val="参考文献"/>
        <w:spacing w:line="440" w:lineRule="exact" w:after="0" w:before="0"/>
        <w:ind w:left="577" w:hanging="577"/>
        <w:tabs>
          <w:tab w:val="left" w:pos="366712"/>
        </w:tabs>
      </w:pPr>
      <w:r>
        <w:rPr>
          <w:rFonts w:ascii="Times New Roman" w:hAnsi="Times New Roman" w:eastAsia="宋体"/>
          <w:b w:val="0"/>
          <w:sz w:val="21"/>
        </w:rPr>
        <w:t xml:space="preserve">[43]</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Wu N, Wang H, Li Z, et al.</w:t>
      </w:r>
      <w:r>
        <w:rPr>
          <w:rFonts w:ascii="Times New Roman" w:hAnsi="Times New Roman" w:eastAsia="宋体"/>
          <w:b w:val="0"/>
          <w:sz w:val="21"/>
        </w:rPr>
        <w:t xml:space="preserve"> </w:t>
      </w:r>
      <w:r>
        <w:rPr>
          <w:rFonts w:ascii="Times New Roman" w:hAnsi="Times New Roman" w:eastAsia="宋体"/>
          <w:b w:val="0"/>
          <w:sz w:val="21"/>
        </w:rPr>
        <w:t xml:space="preserve">Performance Analysis of Code-Aided Iterative Hard/Soft Decision-Directed Carrier Phase Recovery</w:t>
      </w:r>
      <w:r>
        <w:rPr>
          <w:rFonts w:ascii="Times New Roman" w:hAnsi="Times New Roman" w:eastAsia="宋体"/>
          <w:b w:val="0"/>
          <w:sz w:val="21"/>
        </w:rPr>
        <w:t xml:space="preserve">[C]//2012 IEEE Global Communications Conference (GLOBECOM). Anaheim: IEEE, 2012: 3813-3818.</w:t>
      </w:r>
    </w:p>
    <w:bookmarkEnd w:id="107"/>
    <w:bookmarkStart w:id="109" w:name="ref-castrillon2015"/>
    <w:p>
      <w:pPr>
        <w:pStyle w:val="参考文献"/>
        <w:spacing w:line="440" w:lineRule="exact" w:after="0" w:before="0"/>
        <w:ind w:left="577" w:hanging="577"/>
        <w:tabs>
          <w:tab w:val="left" w:pos="366712"/>
        </w:tabs>
      </w:pPr>
      <w:r>
        <w:rPr>
          <w:rFonts w:ascii="Times New Roman" w:hAnsi="Times New Roman" w:eastAsia="宋体"/>
          <w:b w:val="0"/>
          <w:sz w:val="21"/>
        </w:rPr>
        <w:t xml:space="preserve">[44]</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Castrillón M A, Morero D A, Agazzi O E, et al.</w:t>
      </w:r>
      <w:r>
        <w:rPr>
          <w:rFonts w:ascii="Times New Roman" w:hAnsi="Times New Roman" w:eastAsia="宋体"/>
          <w:b w:val="0"/>
          <w:sz w:val="21"/>
        </w:rPr>
        <w:t xml:space="preserve"> </w:t>
      </w:r>
      <w:r>
        <w:rPr>
          <w:rFonts w:ascii="Times New Roman" w:hAnsi="Times New Roman" w:eastAsia="宋体"/>
          <w:b w:val="0"/>
          <w:sz w:val="21"/>
        </w:rPr>
        <w:t xml:space="preserve">On the Performance of Joint Iterative Detection and Decoding in Coherent Optical Channels with Laser Frequency Fluctuations</w:t>
      </w:r>
      <w:r>
        <w:rPr>
          <w:rFonts w:ascii="Times New Roman" w:hAnsi="Times New Roman" w:eastAsia="宋体"/>
          <w:b w:val="0"/>
          <w:sz w:val="21"/>
        </w:rPr>
        <w:t xml:space="preserve">[J]. Optical Fiber Technology, 2015, 24: 5-14.</w:t>
      </w:r>
    </w:p>
    <w:bookmarkEnd w:id="109"/>
    <w:bookmarkStart w:id="111" w:name="ref-yuan2017"/>
    <w:p>
      <w:pPr>
        <w:pStyle w:val="参考文献"/>
        <w:spacing w:line="440" w:lineRule="exact" w:after="0" w:before="0"/>
        <w:ind w:left="577" w:hanging="577"/>
        <w:tabs>
          <w:tab w:val="left" w:pos="366712"/>
        </w:tabs>
      </w:pPr>
      <w:r>
        <w:rPr>
          <w:rFonts w:ascii="Times New Roman" w:hAnsi="Times New Roman" w:eastAsia="宋体"/>
          <w:b w:val="0"/>
          <w:sz w:val="21"/>
        </w:rPr>
        <w:t xml:space="preserve">[45]</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Yuan S, Igarashi K.</w:t>
      </w:r>
      <w:r>
        <w:rPr>
          <w:rFonts w:ascii="Times New Roman" w:hAnsi="Times New Roman" w:eastAsia="宋体"/>
          <w:b w:val="0"/>
          <w:sz w:val="21"/>
        </w:rPr>
        <w:t xml:space="preserve"> </w:t>
      </w:r>
      <w:r>
        <w:rPr>
          <w:rFonts w:ascii="Times New Roman" w:hAnsi="Times New Roman" w:eastAsia="宋体"/>
          <w:b w:val="0"/>
          <w:sz w:val="21"/>
        </w:rPr>
        <w:t xml:space="preserve">Iterative Carrier Recovery with Forward Error Correction for Optical Coherent Communication</w:t>
      </w:r>
      <w:r>
        <w:rPr>
          <w:rFonts w:ascii="Times New Roman" w:hAnsi="Times New Roman" w:eastAsia="宋体"/>
          <w:b w:val="0"/>
          <w:sz w:val="21"/>
        </w:rPr>
        <w:t xml:space="preserve">[C]//Proceedings of Opto-Electronics and Communications Conference (OECC). Singapore: IEEE, 2017: 1-3.</w:t>
      </w:r>
    </w:p>
    <w:bookmarkEnd w:id="111"/>
    <w:bookmarkStart w:id="113" w:name="ref-oezbilgin2025"/>
    <w:p>
      <w:pPr>
        <w:pStyle w:val="参考文献"/>
        <w:spacing w:line="440" w:lineRule="exact" w:after="0" w:before="0"/>
        <w:ind w:left="577" w:hanging="577"/>
        <w:tabs>
          <w:tab w:val="left" w:pos="366712"/>
        </w:tabs>
      </w:pPr>
      <w:r>
        <w:rPr>
          <w:rFonts w:ascii="Times New Roman" w:hAnsi="Times New Roman" w:eastAsia="宋体"/>
          <w:b w:val="0"/>
          <w:sz w:val="21"/>
        </w:rPr>
        <w:t xml:space="preserve">[46]</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Ozbilgin T R, Panayirci E, Alouini M S, et al.</w:t>
      </w:r>
      <w:r>
        <w:rPr>
          <w:rFonts w:ascii="Times New Roman" w:hAnsi="Times New Roman" w:eastAsia="宋体"/>
          <w:b w:val="0"/>
          <w:sz w:val="21"/>
        </w:rPr>
        <w:t xml:space="preserve"> </w:t>
      </w:r>
      <w:r>
        <w:rPr>
          <w:rFonts w:ascii="Times New Roman" w:hAnsi="Times New Roman" w:eastAsia="宋体"/>
          <w:b w:val="0"/>
          <w:sz w:val="21"/>
        </w:rPr>
        <w:t xml:space="preserve">Performance Analysis of</w:t>
      </w:r>
      <w:r>
        <w:rPr>
          <w:rFonts w:ascii="Times New Roman" w:hAnsi="Times New Roman" w:eastAsia="宋体"/>
          <w:b w:val="0"/>
          <w:sz w:val="21"/>
        </w:rPr>
        <w:t xml:space="preserve"> </w:t>
      </w:r>
      <w:r>
        <w:rPr>
          <w:rFonts w:ascii="Times New Roman" w:hAnsi="Times New Roman" w:eastAsia="宋体"/>
          <w:b w:val="0"/>
          <w:sz w:val="21"/>
        </w:rPr>
        <w:t xml:space="preserve">PLL</w:t>
      </w:r>
      <w:r>
        <w:rPr>
          <w:rFonts w:ascii="Times New Roman" w:hAnsi="Times New Roman" w:eastAsia="宋体"/>
          <w:b w:val="0"/>
          <w:sz w:val="21"/>
        </w:rPr>
        <w:t xml:space="preserve">-Based Carrier Recovery Over Atmospheric Turbulence Channels</w:t>
      </w:r>
      <w:r>
        <w:rPr>
          <w:rFonts w:ascii="Times New Roman" w:hAnsi="Times New Roman" w:eastAsia="宋体"/>
          <w:b w:val="0"/>
          <w:sz w:val="21"/>
        </w:rPr>
        <w:t xml:space="preserve">[J]. IEEE Transactions on Communications, 2025.</w:t>
      </w:r>
    </w:p>
    <w:bookmarkEnd w:id="113"/>
    <w:bookmarkStart w:id="115" w:name="ref-gappmair2017"/>
    <w:p>
      <w:pPr>
        <w:pStyle w:val="参考文献"/>
        <w:spacing w:line="440" w:lineRule="exact" w:after="0" w:before="0"/>
        <w:ind w:left="577" w:hanging="577"/>
        <w:tabs>
          <w:tab w:val="left" w:pos="366712"/>
        </w:tabs>
      </w:pPr>
      <w:r>
        <w:rPr>
          <w:rFonts w:ascii="Times New Roman" w:hAnsi="Times New Roman" w:eastAsia="宋体"/>
          <w:b w:val="0"/>
          <w:sz w:val="21"/>
        </w:rPr>
        <w:t xml:space="preserve">[47]</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Gappmair W, Nistazakis H.</w:t>
      </w:r>
      <w:r>
        <w:rPr>
          <w:rFonts w:ascii="Times New Roman" w:hAnsi="Times New Roman" w:eastAsia="宋体"/>
          <w:b w:val="0"/>
          <w:sz w:val="21"/>
        </w:rPr>
        <w:t xml:space="preserve"> </w:t>
      </w:r>
      <w:r>
        <w:rPr>
          <w:rFonts w:ascii="Times New Roman" w:hAnsi="Times New Roman" w:eastAsia="宋体"/>
          <w:b w:val="0"/>
          <w:sz w:val="21"/>
        </w:rPr>
        <w:t xml:space="preserve">Subcarrier</w:t>
      </w:r>
      <w:r>
        <w:rPr>
          <w:rFonts w:ascii="Times New Roman" w:hAnsi="Times New Roman" w:eastAsia="宋体"/>
          <w:b w:val="0"/>
          <w:sz w:val="21"/>
        </w:rPr>
        <w:t xml:space="preserve"> </w:t>
      </w:r>
      <w:r>
        <w:rPr>
          <w:rFonts w:ascii="Times New Roman" w:hAnsi="Times New Roman" w:eastAsia="宋体"/>
          <w:b w:val="0"/>
          <w:sz w:val="21"/>
        </w:rPr>
        <w:t xml:space="preserve">PSK</w:t>
      </w:r>
      <w:r>
        <w:rPr>
          <w:rFonts w:ascii="Times New Roman" w:hAnsi="Times New Roman" w:eastAsia="宋体"/>
          <w:b w:val="0"/>
          <w:sz w:val="21"/>
        </w:rPr>
        <w:t xml:space="preserve"> </w:t>
      </w:r>
      <w:r>
        <w:rPr>
          <w:rFonts w:ascii="Times New Roman" w:hAnsi="Times New Roman" w:eastAsia="宋体"/>
          <w:b w:val="0"/>
          <w:sz w:val="21"/>
        </w:rPr>
        <w:t xml:space="preserve">Performance in Terrestrial</w:t>
      </w:r>
      <w:r>
        <w:rPr>
          <w:rFonts w:ascii="Times New Roman" w:hAnsi="Times New Roman" w:eastAsia="宋体"/>
          <w:b w:val="0"/>
          <w:sz w:val="21"/>
        </w:rPr>
        <w:t xml:space="preserve"> </w:t>
      </w:r>
      <w:r>
        <w:rPr>
          <w:rFonts w:ascii="Times New Roman" w:hAnsi="Times New Roman" w:eastAsia="宋体"/>
          <w:b w:val="0"/>
          <w:sz w:val="21"/>
        </w:rPr>
        <w:t xml:space="preserve">FSO</w:t>
      </w:r>
      <w:r>
        <w:rPr>
          <w:rFonts w:ascii="Times New Roman" w:hAnsi="Times New Roman" w:eastAsia="宋体"/>
          <w:b w:val="0"/>
          <w:sz w:val="21"/>
        </w:rPr>
        <w:t xml:space="preserve"> </w:t>
      </w:r>
      <w:r>
        <w:rPr>
          <w:rFonts w:ascii="Times New Roman" w:hAnsi="Times New Roman" w:eastAsia="宋体"/>
          <w:b w:val="0"/>
          <w:sz w:val="21"/>
        </w:rPr>
        <w:t xml:space="preserve">Links Impaired by</w:t>
      </w:r>
      <w:r>
        <w:rPr>
          <w:rFonts w:ascii="Times New Roman" w:hAnsi="Times New Roman" w:eastAsia="宋体"/>
          <w:b w:val="0"/>
          <w:sz w:val="21"/>
        </w:rPr>
        <w:t xml:space="preserve"> </w:t>
      </w:r>
      <w:r>
        <w:rPr>
          <w:rFonts w:ascii="Times New Roman" w:hAnsi="Times New Roman" w:eastAsia="宋体"/>
          <w:b w:val="0"/>
          <w:sz w:val="21"/>
        </w:rPr>
        <w:t xml:space="preserve">Gamma-Gamma</w:t>
      </w:r>
      <w:r>
        <w:rPr>
          <w:rFonts w:ascii="Times New Roman" w:hAnsi="Times New Roman" w:eastAsia="宋体"/>
          <w:b w:val="0"/>
          <w:sz w:val="21"/>
        </w:rPr>
        <w:t xml:space="preserve"> </w:t>
      </w:r>
      <w:r>
        <w:rPr>
          <w:rFonts w:ascii="Times New Roman" w:hAnsi="Times New Roman" w:eastAsia="宋体"/>
          <w:b w:val="0"/>
          <w:sz w:val="21"/>
        </w:rPr>
        <w:t xml:space="preserve">Fading, Pointing Errors, and Phase Noise</w:t>
      </w:r>
      <w:r>
        <w:rPr>
          <w:rFonts w:ascii="Times New Roman" w:hAnsi="Times New Roman" w:eastAsia="宋体"/>
          <w:b w:val="0"/>
          <w:sz w:val="21"/>
        </w:rPr>
        <w:t xml:space="preserve">[J]. Journal of Lightwave Technology, 2017, 35: 1624-1632.</w:t>
      </w:r>
    </w:p>
    <w:bookmarkEnd w:id="115"/>
    <w:bookmarkStart w:id="117" w:name="ref-li2022"/>
    <w:p>
      <w:pPr>
        <w:pStyle w:val="参考文献"/>
        <w:spacing w:line="440" w:lineRule="exact" w:after="0" w:before="0"/>
        <w:ind w:left="577" w:hanging="577"/>
        <w:tabs>
          <w:tab w:val="left" w:pos="366712"/>
        </w:tabs>
      </w:pPr>
      <w:r>
        <w:rPr>
          <w:rFonts w:ascii="Times New Roman" w:hAnsi="Times New Roman" w:eastAsia="宋体"/>
          <w:b w:val="0"/>
          <w:sz w:val="21"/>
        </w:rPr>
        <w:t xml:space="preserve">[48]</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Li M, Guo Y, Wang X, et al.</w:t>
      </w:r>
      <w:r>
        <w:rPr>
          <w:rFonts w:ascii="Times New Roman" w:hAnsi="Times New Roman" w:eastAsia="宋体"/>
          <w:b w:val="0"/>
          <w:sz w:val="21"/>
        </w:rPr>
        <w:t xml:space="preserve"> </w:t>
      </w:r>
      <w:r>
        <w:rPr>
          <w:rFonts w:ascii="Times New Roman" w:hAnsi="Times New Roman" w:eastAsia="宋体"/>
          <w:b w:val="0"/>
          <w:sz w:val="21"/>
        </w:rPr>
        <w:t xml:space="preserve">Researching Pointing Error Effect on Laser Linewidth Tolerance in Space Coherent Optical Communication Systems</w:t>
      </w:r>
      <w:r>
        <w:rPr>
          <w:rFonts w:ascii="Times New Roman" w:hAnsi="Times New Roman" w:eastAsia="宋体"/>
          <w:b w:val="0"/>
          <w:sz w:val="21"/>
        </w:rPr>
        <w:t xml:space="preserve">[J]. Optics Express, 2022, 30: 5769-5787.</w:t>
      </w:r>
    </w:p>
    <w:bookmarkEnd w:id="117"/>
    <w:bookmarkStart w:id="119" w:name="ref-zhang2024jfso"/>
    <w:p>
      <w:pPr>
        <w:pStyle w:val="参考文献"/>
        <w:spacing w:line="440" w:lineRule="exact" w:after="0" w:before="0"/>
        <w:ind w:left="577" w:hanging="577"/>
        <w:tabs>
          <w:tab w:val="left" w:pos="366712"/>
        </w:tabs>
      </w:pPr>
      <w:r>
        <w:rPr>
          <w:rFonts w:ascii="Times New Roman" w:hAnsi="Times New Roman" w:eastAsia="宋体"/>
          <w:b w:val="0"/>
          <w:sz w:val="21"/>
        </w:rPr>
        <w:t xml:space="preserve">[49]</w:t>
      </w:r>
      <w:r>
        <w:rPr>
          <w:rFonts w:ascii="Times New Roman" w:hAnsi="Times New Roman" w:eastAsia="宋体"/>
          <w:b w:val="0"/>
          <w:sz w:val="21"/>
        </w:rPr>
        <w:t xml:space="preserve"> </w:t>
      </w:r>
      <w:r>
        <w:rPr>
          <w:rFonts w:ascii="Times New Roman" w:hAnsi="Times New Roman" w:eastAsia="宋体"/>
          <w:b w:val="0"/>
          <w:sz w:val="21"/>
        </w:rPr>
        <w:t xml:space="preserve">	</w:t>
      </w:r>
      <w:r>
        <w:rPr>
          <w:rFonts w:ascii="Times New Roman" w:hAnsi="Times New Roman" w:eastAsia="宋体"/>
          <w:b w:val="0"/>
          <w:sz w:val="21"/>
        </w:rPr>
        <w:t xml:space="preserve">Zhang L, Chen Y, Zhao X, et al.</w:t>
      </w:r>
      <w:r>
        <w:rPr>
          <w:rFonts w:ascii="Times New Roman" w:hAnsi="Times New Roman" w:eastAsia="宋体"/>
          <w:b w:val="0"/>
          <w:sz w:val="21"/>
        </w:rPr>
        <w:t xml:space="preserve"> </w:t>
      </w:r>
      <w:r>
        <w:rPr>
          <w:rFonts w:ascii="Times New Roman" w:hAnsi="Times New Roman" w:eastAsia="宋体"/>
          <w:b w:val="0"/>
          <w:sz w:val="21"/>
        </w:rPr>
        <w:t xml:space="preserve">Joint Mitigation of Frequency Offset and Phase Noise for Coherent Free-Space Optical Communication in Atmospheric Turbulence</w:t>
      </w:r>
      <w:r>
        <w:rPr>
          <w:rFonts w:ascii="Times New Roman" w:hAnsi="Times New Roman" w:eastAsia="宋体"/>
          <w:b w:val="0"/>
          <w:sz w:val="21"/>
        </w:rPr>
        <w:t xml:space="preserve">[J]. Optics Communications, 2024, 552: 130071.</w:t>
      </w:r>
    </w:p>
    <w:bookmarkEnd w:id="119"/>
    <w:bookmarkEnd w:id="120"/>
    <w:bookmarkEnd w:id="121"/>
    <w:sectPr>
      <w:headerReference r:id="rId9" w:type="default"/>
      <w:footerReference r:id="rId10" w:type="default"/>
      <w:footnotePr>
        <w:numFmt w:val="decimalEnclosedCircleChinese"/>
        <w:numRestart w:val="eachPage"/>
      </w:footnotePr>
      <w:pgSz w:h="16838" w:w="11906"/>
      <w:pgMar w:bottom="1474" w:footer="1134" w:gutter="0" w:header="1361" w:left="1701" w:right="1474" w:top="1984"/>
      <w:cols w:num="1" w:space="720"/>
      <w:docGrid w:charSpace="0"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FF8AE">
    <w:pPr>
      <w:pStyle w:val="11"/>
      <w:spacing w:before="0" w:after="0"/>
      <w:ind w:firstLine="0" w:left="0"/>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separate"/>
    </w:r>
    <w:r>
      <w:rPr>
        <w:rFonts w:ascii="Times New Roman" w:hAnsi="Times New Roman" w:eastAsia="宋体"/>
        <w:b w:val="0"/>
        <w:sz w:val="21"/>
      </w:rPr>
      <w:t>1</w:t>
    </w:r>
    <w:r>
      <w:rPr>
        <w:rFonts w:ascii="Times New Roman" w:hAnsi="Times New Roman" w:eastAsia="宋体"/>
        <w:b w:val="0"/>
        <w:sz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34DE9">
    <w:pPr>
      <w:pStyle w:val="12"/>
      <w:spacing w:before="0" w:after="0"/>
      <w:ind w:firstLine="0"/>
      <w:jc w:val="center"/>
      <w:rPr>
        <w:b/>
        <w:bCs/>
        <w:sz w:val="21"/>
        <w:szCs w:val="21"/>
      </w:rPr>
      <w:pBdr>
        <w:bottom w:val="single" w:sz="6" w:space="1" w:color="000000"/>
      </w:pBdr>
    </w:pPr>
    <w:r>
      <w:rPr>
        <w:rFonts w:ascii="Times New Roman" w:hAnsi="Times New Roman" w:eastAsia="宋体"/>
        <w:b w:val="0"/>
        <w:sz w:val="28"/>
        <w:spacing w:val="10"/>
      </w:rPr>
      <w:t>北京理工大学本科生毕业设计（论文）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41"/>
      <w:suff w:val="nothing"/>
      <w:lvlText w:val="(%1)"/>
      <w:lvlJc w:val="left"/>
      <w:pPr>
        <w:tabs>
          <w:tab w:pos="0" w:val="left"/>
        </w:tabs>
        <w:ind w:firstLine="40"/>
      </w:pPr>
      <w:rPr>
        <w:rFonts w:ascii="Times New Roman" w:cs="宋体" w:eastAsia="宋体" w:hAnsi="Times New Roman" w:hint="default"/>
      </w:rPr>
    </w:lvl>
    <w:lvl w:ilvl="1" w:tentative="0">
      <w:start w:val="1"/>
      <w:numFmt w:val="decimalEnclosedCircleChinese"/>
      <w:lvlText w:val="%2"/>
      <w:lvlJc w:val="left"/>
      <w:pPr>
        <w:tabs>
          <w:tab w:pos="840" w:val="left"/>
        </w:tabs>
        <w:ind w:hanging="420" w:left="840"/>
      </w:pPr>
      <w:rPr>
        <w:rFonts w:cs="Times New Roman" w:hint="default"/>
      </w:rPr>
    </w:lvl>
    <w:lvl w:ilvl="2" w:tentative="0">
      <w:start w:val="1"/>
      <w:numFmt w:val="decimal"/>
      <w:lvlText w:val="%3)"/>
      <w:lvlJc w:val="left"/>
      <w:pPr>
        <w:tabs>
          <w:tab w:pos="1260" w:val="left"/>
        </w:tabs>
        <w:ind w:hanging="420" w:left="1260"/>
      </w:pPr>
      <w:rPr>
        <w:rFonts w:cs="Times New Roman" w:hint="default"/>
      </w:rPr>
    </w:lvl>
    <w:lvl w:ilvl="3" w:tentative="0">
      <w:start w:val="1"/>
      <w:numFmt w:val="lowerLetter"/>
      <w:lvlText w:val="%4."/>
      <w:lvlJc w:val="left"/>
      <w:pPr>
        <w:tabs>
          <w:tab w:pos="1680" w:val="left"/>
        </w:tabs>
        <w:ind w:hanging="420" w:left="1680"/>
      </w:pPr>
      <w:rPr>
        <w:rFonts w:cs="Times New Roman" w:hint="default"/>
      </w:rPr>
    </w:lvl>
    <w:lvl w:ilvl="4" w:tentative="0">
      <w:start w:val="1"/>
      <w:numFmt w:val="lowerLetter"/>
      <w:lvlText w:val="%5)"/>
      <w:lvlJc w:val="left"/>
      <w:pPr>
        <w:tabs>
          <w:tab w:pos="2100" w:val="left"/>
        </w:tabs>
        <w:ind w:hanging="420" w:left="2100"/>
      </w:pPr>
      <w:rPr>
        <w:rFonts w:cs="Times New Roman" w:hint="default"/>
      </w:rPr>
    </w:lvl>
    <w:lvl w:ilvl="5" w:tentative="0">
      <w:start w:val="1"/>
      <w:numFmt w:val="lowerRoman"/>
      <w:lvlText w:val="%6."/>
      <w:lvlJc w:val="left"/>
      <w:pPr>
        <w:tabs>
          <w:tab w:pos="2520" w:val="left"/>
        </w:tabs>
        <w:ind w:hanging="420" w:left="2520"/>
      </w:pPr>
      <w:rPr>
        <w:rFonts w:cs="Times New Roman" w:hint="default"/>
      </w:rPr>
    </w:lvl>
    <w:lvl w:ilvl="6" w:tentative="0">
      <w:start w:val="1"/>
      <w:numFmt w:val="lowerRoman"/>
      <w:lvlText w:val="%7)"/>
      <w:lvlJc w:val="left"/>
      <w:pPr>
        <w:tabs>
          <w:tab w:pos="2940" w:val="left"/>
        </w:tabs>
        <w:ind w:hanging="420" w:left="2940"/>
      </w:pPr>
      <w:rPr>
        <w:rFonts w:cs="Times New Roman" w:hint="default"/>
      </w:rPr>
    </w:lvl>
    <w:lvl w:ilvl="7" w:tentative="0">
      <w:start w:val="1"/>
      <w:numFmt w:val="lowerLetter"/>
      <w:lvlText w:val="%8."/>
      <w:lvlJc w:val="left"/>
      <w:pPr>
        <w:tabs>
          <w:tab w:pos="3360" w:val="left"/>
        </w:tabs>
        <w:ind w:hanging="420" w:left="3360"/>
      </w:pPr>
      <w:rPr>
        <w:rFonts w:cs="Times New Roman" w:hint="default"/>
      </w:rPr>
    </w:lvl>
    <w:lvl w:ilvl="8" w:tentative="0">
      <w:start w:val="1"/>
      <w:numFmt w:val="lowerLetter"/>
      <w:lvlText w:val="%9)"/>
      <w:lvlJc w:val="left"/>
      <w:pPr>
        <w:tabs>
          <w:tab w:pos="3780" w:val="left"/>
        </w:tabs>
        <w:ind w:hanging="420" w:left="3780"/>
      </w:pPr>
      <w:rPr>
        <w:rFonts w:cs="Times New Roman"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00"/>
  <w:embedSystemFonts/>
  <w:doNotTrackMoves/>
  <w:defaultTabStop w:val="420"/>
  <w:drawingGridHorizontalSpacing w:val="477"/>
  <w:drawingGridVerticalSpacing w:val="163"/>
  <w:displayHorizontalDrawingGridEvery w:val="0"/>
  <w:displayVertic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9" w:unhideWhenUsed="0"/>
    <w:lsdException w:name="heading 2" w:qFormat="1" w:semiHidden="0" w:uiPriority="99" w:unhideWhenUsed="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99" w:unhideWhenUsed="0"/>
    <w:lsdException w:name="toc 2" w:qFormat="1" w:semiHidden="0" w:uiPriority="99" w:unhideWhenUsed="0"/>
    <w:lsdException w:name="toc 3" w:qFormat="1" w:semiHidden="0" w:uiPriority="99"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9" w:unhideWhenUsed="0"/>
    <w:lsdException w:name="annotation text" w:qFormat="1" w:semiHidden="0" w:uiPriority="99" w:unhideWhenUsed="0"/>
    <w:lsdException w:name="header" w:qFormat="1" w:semiHidden="0" w:uiPriority="99" w:unhideWhenUsed="0"/>
    <w:lsdException w:name="footer" w:qFormat="1" w:semiHidden="0" w:uiPriority="99" w:unhideWhenUsed="0"/>
    <w:lsdException w:name="index heading" w:semiHidden="0" w:uiPriority="0" w:unhideWhenUsed="0"/>
    <w:lsdException w:name="caption" w:qFormat="1" w:semiHidden="0" w:uiPriority="99"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99" w:unhideWhenUsed="0"/>
    <w:lsdException w:name="annotation reference" w:qFormat="1" w:semiHidden="0" w:uiPriority="99" w:unhideWhenUsed="0"/>
    <w:lsdException w:name="line number" w:semiHidden="0" w:uiPriority="0" w:unhideWhenUsed="0"/>
    <w:lsdException w:name="page number" w:qFormat="1" w:semiHidden="0" w:uiPriority="99"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99"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99"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unhideWhenUsed="0"/>
    <w:lsdException w:name="FollowedHyperlink" w:semiHidden="0" w:uiPriority="0" w:unhideWhenUsed="0"/>
    <w:lsdException w:name="Strong" w:qFormat="1" w:semiHidden="0" w:uiPriority="99" w:unhideWhenUsed="0"/>
    <w:lsdException w:name="Emphasis" w:qFormat="1" w:semiHidden="0" w:uiPriority="99" w:unhideWhenUsed="0"/>
    <w:lsdException w:name="Document Map" w:semiHidden="0" w:uiPriority="0" w:unhideWhenUsed="0"/>
    <w:lsdException w:name="Plain Text" w:semiHidden="0" w:uiPriority="0" w:unhideWhenUsed="0"/>
    <w:lsdException w:name="E-mail Signature" w:semiHidden="0" w:uiPriority="0" w:unhideWhenUsed="0"/>
    <w:lsdException w:name="Normal (Web)" w:qFormat="1" w:semiHidden="0" w:uiPriority="99"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qFormat="1" w:semiHidden="0" w:uiPriority="99"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qFormat="1" w:semiHidden="0" w:uiPriority="99"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ind w:firstLine="476"/>
    </w:pPr>
    <w:rPr>
      <w:rFonts w:ascii="Times New Roman" w:cs="Times New Roman" w:eastAsia="宋体" w:hAnsi="Times New Roman"/>
      <w:spacing w:val="-5"/>
      <w:sz w:val="24"/>
      <w:lang w:bidi="ar-SA" w:eastAsia="zh-CN" w:val="en-US"/>
    </w:rPr>
  </w:style>
  <w:style w:styleId="2" w:type="paragraph">
    <w:name w:val="heading 1"/>
    <w:basedOn w:val="1"/>
    <w:next w:val="1"/>
    <w:link w:val="28"/>
    <w:qFormat/>
    <w:uiPriority w:val="99"/>
    <w:pPr>
      <w:keepNext/>
      <w:keepLines/>
      <w:spacing w:afterLines="50" w:beforeLines="50" w:line="360" w:lineRule="auto"/>
      <w:ind w:firstLine="0"/>
      <w:jc w:val="center"/>
      <w:outlineLvl w:val="0"/>
    </w:pPr>
    <w:rPr>
      <w:rFonts w:eastAsia="黑体"/>
      <w:bCs/>
      <w:kern w:val="44"/>
      <w:sz w:val="32"/>
      <w:szCs w:val="44"/>
    </w:rPr>
  </w:style>
  <w:style w:styleId="3" w:type="paragraph">
    <w:name w:val="heading 2"/>
    <w:basedOn w:val="1"/>
    <w:next w:val="1"/>
    <w:link w:val="29"/>
    <w:qFormat/>
    <w:uiPriority w:val="99"/>
    <w:pPr>
      <w:spacing w:afterAutospacing="1" w:beforeAutospacing="1"/>
      <w:outlineLvl w:val="1"/>
    </w:pPr>
    <w:rPr>
      <w:rFonts w:ascii="宋体" w:hAnsi="宋体"/>
      <w:b/>
      <w:sz w:val="28"/>
      <w:szCs w:val="36"/>
    </w:rPr>
  </w:style>
  <w:style w:styleId="4" w:type="paragraph">
    <w:name w:val="heading 3"/>
    <w:basedOn w:val="1"/>
    <w:next w:val="1"/>
    <w:semiHidden/>
    <w:unhideWhenUsed/>
    <w:qFormat/>
    <w:uiPriority w:val="0"/>
    <w:pPr>
      <w:keepNext/>
      <w:keepLines/>
      <w:spacing w:after="260" w:afterAutospacing="0" w:afterLines="0" w:before="260" w:beforeAutospacing="0" w:beforeLines="0" w:line="413" w:lineRule="auto"/>
      <w:outlineLvl w:val="2"/>
    </w:pPr>
    <w:rPr>
      <w:b/>
      <w:sz w:val="24"/>
    </w:rPr>
  </w:style>
  <w:style w:styleId="5" w:type="paragraph">
    <w:name w:val="heading 4"/>
    <w:basedOn w:val="1"/>
    <w:next w:val="1"/>
    <w:semiHidden/>
    <w:unhideWhenUsed/>
    <w:qFormat/>
    <w:uiPriority w:val="0"/>
    <w:pPr>
      <w:keepNext/>
      <w:keepLines/>
      <w:spacing w:after="290" w:afterAutospacing="0" w:afterLines="0" w:before="280" w:beforeAutospacing="0" w:beforeLines="0" w:line="372" w:lineRule="auto"/>
      <w:outlineLvl w:val="3"/>
    </w:pPr>
    <w:rPr>
      <w:rFonts w:ascii="Arial" w:eastAsia="黑体" w:hAnsi="Arial"/>
      <w:sz w:val="24"/>
    </w:rPr>
  </w:style>
  <w:style w:default="1" w:styleId="21" w:type="character">
    <w:name w:val="Default Paragraph Font"/>
    <w:semiHidden/>
    <w:unhideWhenUsed/>
    <w:qFormat/>
    <w:uiPriority w:val="1"/>
  </w:style>
  <w:style w:default="1" w:styleId="20" w:type="table">
    <w:name w:val="Normal Table"/>
    <w:semiHidden/>
    <w:unhideWhenUsed/>
    <w:qFormat/>
    <w:uiPriority w:val="99"/>
    <w:tblPr>
      <w:tblCellMar>
        <w:top w:type="dxa" w:w="0"/>
        <w:left w:type="dxa" w:w="108"/>
        <w:bottom w:type="dxa" w:w="0"/>
        <w:right w:type="dxa" w:w="108"/>
      </w:tblCellMar>
    </w:tblPr>
  </w:style>
  <w:style w:styleId="6" w:type="paragraph">
    <w:name w:val="caption"/>
    <w:basedOn w:val="1"/>
    <w:next w:val="1"/>
    <w:qFormat/>
    <w:uiPriority w:val="99"/>
    <w:rPr>
      <w:rFonts w:ascii="等线 Light" w:eastAsia="黑体" w:hAnsi="等线 Light"/>
      <w:sz w:val="20"/>
    </w:rPr>
  </w:style>
  <w:style w:styleId="7" w:type="paragraph">
    <w:name w:val="annotation text"/>
    <w:basedOn w:val="1"/>
    <w:link w:val="30"/>
    <w:qFormat/>
    <w:uiPriority w:val="99"/>
  </w:style>
  <w:style w:styleId="8" w:type="paragraph">
    <w:name w:val="Body Text"/>
    <w:basedOn w:val="1"/>
    <w:link w:val="31"/>
    <w:qFormat/>
    <w:uiPriority w:val="99"/>
    <w:pPr>
      <w:spacing w:after="220" w:line="240" w:lineRule="auto"/>
      <w:jc w:val="left"/>
    </w:pPr>
  </w:style>
  <w:style w:styleId="9" w:type="paragraph">
    <w:name w:val="toc 3"/>
    <w:basedOn w:val="1"/>
    <w:next w:val="1"/>
    <w:qFormat/>
    <w:uiPriority w:val="99"/>
    <w:pPr>
      <w:spacing w:line="360" w:lineRule="auto"/>
      <w:ind w:firstLine="0" w:left="400" w:leftChars="400"/>
    </w:pPr>
  </w:style>
  <w:style w:styleId="10" w:type="paragraph">
    <w:name w:val="Balloon Text"/>
    <w:basedOn w:val="1"/>
    <w:link w:val="32"/>
    <w:qFormat/>
    <w:uiPriority w:val="99"/>
    <w:rPr>
      <w:sz w:val="18"/>
      <w:szCs w:val="18"/>
    </w:rPr>
  </w:style>
  <w:style w:styleId="11" w:type="paragraph">
    <w:name w:val="footer"/>
    <w:basedOn w:val="1"/>
    <w:link w:val="33"/>
    <w:qFormat/>
    <w:uiPriority w:val="99"/>
    <w:pPr>
      <w:keepLines/>
      <w:tabs>
        <w:tab w:pos="4320" w:val="center"/>
        <w:tab w:pos="8640" w:val="right"/>
      </w:tabs>
      <w:spacing w:before="600" w:line="180" w:lineRule="atLeast"/>
      <w:jc w:val="center"/>
    </w:pPr>
    <w:rPr>
      <w:sz w:val="18"/>
    </w:rPr>
  </w:style>
  <w:style w:styleId="12" w:type="paragraph">
    <w:name w:val="header"/>
    <w:basedOn w:val="13"/>
    <w:link w:val="34"/>
    <w:qFormat/>
    <w:uiPriority w:val="99"/>
    <w:pPr>
      <w:pBdr>
        <w:bottom w:color="auto" w:space="1" w:sz="6" w:val="single"/>
      </w:pBdr>
      <w:tabs>
        <w:tab w:pos="4153" w:val="center"/>
        <w:tab w:pos="4320" w:val="center"/>
        <w:tab w:pos="8306" w:val="right"/>
        <w:tab w:pos="8640" w:val="right"/>
      </w:tabs>
      <w:snapToGrid w:val="0"/>
    </w:pPr>
    <w:rPr>
      <w:sz w:val="18"/>
      <w:szCs w:val="18"/>
    </w:rPr>
  </w:style>
  <w:style w:customStyle="1" w:styleId="13" w:type="paragraph">
    <w:name w:val="基准页眉样式"/>
    <w:basedOn w:val="8"/>
    <w:qFormat/>
    <w:uiPriority w:val="99"/>
    <w:pPr>
      <w:keepLines/>
      <w:tabs>
        <w:tab w:pos="4320" w:val="center"/>
        <w:tab w:pos="8640" w:val="right"/>
      </w:tabs>
      <w:spacing w:after="0"/>
    </w:pPr>
  </w:style>
  <w:style w:styleId="14" w:type="paragraph">
    <w:name w:val="toc 1"/>
    <w:basedOn w:val="1"/>
    <w:next w:val="1"/>
    <w:qFormat/>
    <w:uiPriority w:val="99"/>
    <w:pPr>
      <w:spacing w:line="360" w:lineRule="auto"/>
      <w:ind w:firstLine="0"/>
    </w:pPr>
    <w:rPr>
      <w:rFonts w:eastAsia="黑体"/>
      <w:sz w:val="28"/>
    </w:rPr>
  </w:style>
  <w:style w:styleId="15" w:type="paragraph">
    <w:name w:val="footnote text"/>
    <w:basedOn w:val="1"/>
    <w:link w:val="35"/>
    <w:qFormat/>
    <w:uiPriority w:val="99"/>
    <w:pPr>
      <w:snapToGrid w:val="0"/>
    </w:pPr>
    <w:rPr>
      <w:sz w:val="18"/>
    </w:rPr>
  </w:style>
  <w:style w:styleId="16" w:type="paragraph">
    <w:name w:val="toc 2"/>
    <w:basedOn w:val="1"/>
    <w:next w:val="1"/>
    <w:qFormat/>
    <w:uiPriority w:val="99"/>
    <w:pPr>
      <w:tabs>
        <w:tab w:leader="dot" w:pos="9061" w:val="right"/>
      </w:tabs>
      <w:spacing w:line="360" w:lineRule="auto"/>
      <w:ind w:firstLine="0" w:left="200" w:leftChars="200"/>
    </w:pPr>
  </w:style>
  <w:style w:styleId="17" w:type="paragraph">
    <w:name w:val="Normal (Web)"/>
    <w:basedOn w:val="1"/>
    <w:qFormat/>
    <w:uiPriority w:val="99"/>
    <w:pPr>
      <w:spacing w:afterAutospacing="1" w:beforeAutospacing="1"/>
    </w:pPr>
  </w:style>
  <w:style w:styleId="18" w:type="paragraph">
    <w:name w:val="Title"/>
    <w:basedOn w:val="1"/>
    <w:link w:val="36"/>
    <w:qFormat/>
    <w:uiPriority w:val="99"/>
    <w:pPr>
      <w:spacing w:after="60" w:before="240"/>
      <w:jc w:val="center"/>
      <w:outlineLvl w:val="0"/>
    </w:pPr>
    <w:rPr>
      <w:rFonts w:ascii="Arial" w:hAnsi="Arial"/>
      <w:b/>
      <w:sz w:val="32"/>
    </w:rPr>
  </w:style>
  <w:style w:styleId="19" w:type="paragraph">
    <w:name w:val="annotation subject"/>
    <w:basedOn w:val="7"/>
    <w:next w:val="7"/>
    <w:link w:val="37"/>
    <w:qFormat/>
    <w:uiPriority w:val="99"/>
    <w:rPr>
      <w:b/>
      <w:bCs/>
    </w:rPr>
  </w:style>
  <w:style w:styleId="22" w:type="character">
    <w:name w:val="Strong"/>
    <w:basedOn w:val="21"/>
    <w:qFormat/>
    <w:uiPriority w:val="99"/>
    <w:rPr>
      <w:rFonts w:cs="Times New Roman"/>
      <w:b/>
      <w:bCs/>
    </w:rPr>
  </w:style>
  <w:style w:styleId="23" w:type="character">
    <w:name w:val="page number"/>
    <w:basedOn w:val="21"/>
    <w:qFormat/>
    <w:uiPriority w:val="99"/>
    <w:rPr>
      <w:rFonts w:cs="Times New Roman"/>
      <w:sz w:val="18"/>
    </w:rPr>
  </w:style>
  <w:style w:styleId="24" w:type="character">
    <w:name w:val="Emphasis"/>
    <w:basedOn w:val="21"/>
    <w:qFormat/>
    <w:uiPriority w:val="99"/>
    <w:rPr>
      <w:rFonts w:cs="Times New Roman"/>
      <w:i/>
      <w:iCs/>
    </w:rPr>
  </w:style>
  <w:style w:styleId="25" w:type="character">
    <w:name w:val="Hyperlink"/>
    <w:basedOn w:val="21"/>
    <w:qFormat/>
    <w:uiPriority w:val="99"/>
    <w:rPr>
      <w:rFonts w:cs="Times New Roman"/>
      <w:color w:val="0000FF"/>
      <w:u w:val="single"/>
    </w:rPr>
  </w:style>
  <w:style w:styleId="26" w:type="character">
    <w:name w:val="annotation reference"/>
    <w:basedOn w:val="21"/>
    <w:qFormat/>
    <w:uiPriority w:val="99"/>
    <w:rPr>
      <w:rFonts w:cs="Times New Roman"/>
      <w:sz w:val="21"/>
      <w:szCs w:val="21"/>
    </w:rPr>
  </w:style>
  <w:style w:styleId="27" w:type="character">
    <w:name w:val="footnote reference"/>
    <w:basedOn w:val="21"/>
    <w:qFormat/>
    <w:uiPriority w:val="99"/>
    <w:rPr>
      <w:rFonts w:cs="Times New Roman"/>
      <w:vertAlign w:val="superscript"/>
    </w:rPr>
  </w:style>
  <w:style w:customStyle="1" w:styleId="28" w:type="character">
    <w:name w:val="标题 1 字符"/>
    <w:basedOn w:val="21"/>
    <w:link w:val="2"/>
    <w:qFormat/>
    <w:uiPriority w:val="99"/>
    <w:rPr>
      <w:rFonts w:ascii="Times New Roman" w:cs="Times New Roman" w:eastAsia="黑体" w:hAnsi="Times New Roman"/>
      <w:bCs/>
      <w:spacing w:val="-5"/>
      <w:kern w:val="44"/>
      <w:sz w:val="44"/>
      <w:szCs w:val="44"/>
    </w:rPr>
  </w:style>
  <w:style w:customStyle="1" w:styleId="29" w:type="character">
    <w:name w:val="标题 2 字符"/>
    <w:basedOn w:val="21"/>
    <w:link w:val="3"/>
    <w:qFormat/>
    <w:uiPriority w:val="99"/>
    <w:rPr>
      <w:rFonts w:ascii="Cambria" w:cs="Times New Roman" w:eastAsia="宋体" w:hAnsi="Cambria"/>
      <w:b/>
      <w:bCs/>
      <w:spacing w:val="-5"/>
      <w:kern w:val="0"/>
      <w:sz w:val="28"/>
      <w:szCs w:val="32"/>
    </w:rPr>
  </w:style>
  <w:style w:customStyle="1" w:styleId="30" w:type="character">
    <w:name w:val="批注文字 字符"/>
    <w:basedOn w:val="21"/>
    <w:link w:val="7"/>
    <w:qFormat/>
    <w:uiPriority w:val="99"/>
    <w:rPr>
      <w:rFonts w:ascii="Times New Roman" w:cs="Times New Roman" w:eastAsia="宋体" w:hAnsi="Times New Roman"/>
      <w:spacing w:val="-5"/>
      <w:sz w:val="24"/>
    </w:rPr>
  </w:style>
  <w:style w:customStyle="1" w:styleId="31" w:type="character">
    <w:name w:val="正文文本 字符"/>
    <w:basedOn w:val="21"/>
    <w:link w:val="8"/>
    <w:qFormat/>
    <w:uiPriority w:val="99"/>
    <w:rPr>
      <w:rFonts w:ascii="Times New Roman" w:cs="Times New Roman" w:eastAsia="宋体" w:hAnsi="Times New Roman"/>
      <w:spacing w:val="-5"/>
      <w:kern w:val="0"/>
      <w:sz w:val="24"/>
    </w:rPr>
  </w:style>
  <w:style w:customStyle="1" w:styleId="32" w:type="character">
    <w:name w:val="批注框文本 字符"/>
    <w:basedOn w:val="21"/>
    <w:link w:val="10"/>
    <w:qFormat/>
    <w:uiPriority w:val="99"/>
    <w:rPr>
      <w:rFonts w:ascii="Times New Roman" w:cs="Times New Roman" w:eastAsia="宋体" w:hAnsi="Times New Roman"/>
      <w:spacing w:val="-5"/>
      <w:kern w:val="0"/>
      <w:sz w:val="18"/>
    </w:rPr>
  </w:style>
  <w:style w:customStyle="1" w:styleId="33" w:type="character">
    <w:name w:val="页脚 字符"/>
    <w:basedOn w:val="21"/>
    <w:link w:val="11"/>
    <w:qFormat/>
    <w:uiPriority w:val="99"/>
    <w:rPr>
      <w:rFonts w:ascii="Times New Roman" w:cs="Times New Roman" w:eastAsia="宋体" w:hAnsi="Times New Roman"/>
      <w:spacing w:val="-5"/>
      <w:kern w:val="0"/>
      <w:sz w:val="20"/>
    </w:rPr>
  </w:style>
  <w:style w:customStyle="1" w:styleId="34" w:type="character">
    <w:name w:val="页眉 字符"/>
    <w:basedOn w:val="21"/>
    <w:link w:val="12"/>
    <w:qFormat/>
    <w:uiPriority w:val="99"/>
    <w:rPr>
      <w:rFonts w:ascii="Times New Roman" w:cs="Times New Roman" w:eastAsia="宋体" w:hAnsi="Times New Roman"/>
      <w:spacing w:val="-5"/>
      <w:kern w:val="0"/>
      <w:sz w:val="18"/>
    </w:rPr>
  </w:style>
  <w:style w:customStyle="1" w:styleId="35" w:type="character">
    <w:name w:val="脚注文本 字符"/>
    <w:basedOn w:val="21"/>
    <w:link w:val="15"/>
    <w:qFormat/>
    <w:uiPriority w:val="99"/>
    <w:rPr>
      <w:rFonts w:ascii="Times New Roman" w:cs="Times New Roman" w:eastAsia="宋体" w:hAnsi="Times New Roman"/>
      <w:spacing w:val="-5"/>
      <w:kern w:val="0"/>
      <w:sz w:val="18"/>
      <w:szCs w:val="18"/>
    </w:rPr>
  </w:style>
  <w:style w:customStyle="1" w:styleId="36" w:type="character">
    <w:name w:val="标题 字符"/>
    <w:basedOn w:val="21"/>
    <w:link w:val="18"/>
    <w:qFormat/>
    <w:uiPriority w:val="99"/>
    <w:rPr>
      <w:rFonts w:ascii="Cambria" w:cs="Times New Roman" w:eastAsia="宋体" w:hAnsi="Cambria"/>
      <w:b/>
      <w:bCs/>
      <w:spacing w:val="-5"/>
      <w:kern w:val="0"/>
      <w:sz w:val="32"/>
      <w:szCs w:val="32"/>
    </w:rPr>
  </w:style>
  <w:style w:customStyle="1" w:styleId="37" w:type="character">
    <w:name w:val="批注主题 字符"/>
    <w:basedOn w:val="30"/>
    <w:link w:val="19"/>
    <w:qFormat/>
    <w:uiPriority w:val="99"/>
    <w:rPr>
      <w:rFonts w:ascii="Times New Roman" w:cs="Times New Roman" w:eastAsia="宋体" w:hAnsi="Times New Roman"/>
      <w:b/>
      <w:bCs/>
      <w:spacing w:val="-5"/>
      <w:sz w:val="24"/>
    </w:rPr>
  </w:style>
  <w:style w:customStyle="1" w:styleId="38" w:type="paragraph">
    <w:name w:val="一级标题"/>
    <w:basedOn w:val="18"/>
    <w:link w:val="39"/>
    <w:qFormat/>
    <w:uiPriority w:val="99"/>
    <w:rPr>
      <w:rFonts w:eastAsia="黑体"/>
      <w:b w:val="0"/>
    </w:rPr>
  </w:style>
  <w:style w:customStyle="1" w:styleId="39" w:type="character">
    <w:name w:val="一级标题 Char"/>
    <w:link w:val="38"/>
    <w:qFormat/>
    <w:uiPriority w:val="99"/>
    <w:rPr>
      <w:rFonts w:ascii="Arial" w:eastAsia="黑体" w:hAnsi="Arial"/>
      <w:spacing w:val="-5"/>
      <w:sz w:val="32"/>
    </w:rPr>
  </w:style>
  <w:style w:customStyle="1" w:styleId="40" w:type="paragraph">
    <w:name w:val="二级标题"/>
    <w:basedOn w:val="3"/>
    <w:next w:val="1"/>
    <w:qFormat/>
    <w:uiPriority w:val="99"/>
    <w:pPr>
      <w:spacing w:afterAutospacing="0" w:beforeAutospacing="0" w:line="360" w:lineRule="auto"/>
      <w:ind w:firstLine="720" w:firstLineChars="200"/>
      <w:outlineLvl w:val="0"/>
    </w:pPr>
    <w:rPr>
      <w:rFonts w:ascii="Arial" w:eastAsia="黑体" w:hAnsi="Arial"/>
      <w:b w:val="0"/>
      <w:sz w:val="28"/>
    </w:rPr>
  </w:style>
  <w:style w:customStyle="1" w:styleId="41" w:type="paragraph">
    <w:name w:val="三级标题"/>
    <w:basedOn w:val="1"/>
    <w:qFormat/>
    <w:uiPriority w:val="99"/>
    <w:pPr>
      <w:numPr>
        <w:ilvl w:val="0"/>
        <w:numId w:val="1"/>
      </w:numPr>
    </w:pPr>
  </w:style>
  <w:style w:styleId="42" w:type="paragraph">
    <w:name w:val="List Paragraph"/>
    <w:basedOn w:val="1"/>
    <w:qFormat/>
    <w:uiPriority w:val="99"/>
    <w:pPr>
      <w:ind w:firstLine="420" w:firstLineChars="200"/>
    </w:pPr>
  </w:style>
  <w:style w:customStyle="1" w:styleId="43" w:type="paragraph">
    <w:name w:val="修订1"/>
    <w:qFormat/>
    <w:uiPriority w:val="99"/>
    <w:rPr>
      <w:rFonts w:ascii="Times New Roman" w:cs="Times New Roman" w:eastAsia="宋体" w:hAnsi="Times New Roman"/>
      <w:spacing w:val="-5"/>
      <w:sz w:val="24"/>
      <w:lang w:bidi="ar-SA" w:eastAsia="zh-CN" w:val="en-US"/>
    </w:rPr>
  </w:style>
  <w:style w:customStyle="1" w:styleId="44" w:type="paragraph">
    <w:name w:val="图片"/>
    <w:basedOn w:val="1"/>
    <w:next w:val="6"/>
    <w:qFormat/>
    <w:uiPriority w:val="99"/>
    <w:pPr>
      <w:keepNext/>
      <w:spacing w:line="312" w:lineRule="auto"/>
    </w:pPr>
    <w:rPr>
      <w:rFonts w:eastAsia="仿宋_GB2312"/>
    </w:rPr>
  </w:style>
  <w:style w:customStyle="1" w:styleId="45" w:type="character">
    <w:name w:val="样式 八号"/>
    <w:qFormat/>
    <w:uiPriority w:val="99"/>
    <w:rPr>
      <w:rFonts w:eastAsia="仿宋_GB2312"/>
      <w:sz w:val="24"/>
    </w:rPr>
  </w:style>
  <w:style w:customStyle="1" w:styleId="46" w:type="character">
    <w:name w:val="标题 1 Char"/>
    <w:basedOn w:val="21"/>
    <w:qFormat/>
    <w:uiPriority w:val="99"/>
    <w:rPr>
      <w:rFonts w:ascii="Arial Black" w:cs="Times New Roman" w:eastAsia="仿宋_GB2312" w:hAnsi="Arial Black"/>
      <w:b/>
      <w:bCs/>
      <w:spacing w:val="-10"/>
      <w:kern w:val="28"/>
      <w:sz w:val="32"/>
      <w:szCs w:val="32"/>
      <w:lang w:bidi="ar-SA" w:eastAsia="zh-CN" w:val="en-US"/>
    </w:rPr>
  </w:style>
  <w:style w:customStyle="1" w:styleId="47" w:type="paragraph">
    <w:name w:val="TOC 标题1"/>
    <w:basedOn w:val="2"/>
    <w:next w:val="1"/>
    <w:qFormat/>
    <w:uiPriority w:val="99"/>
    <w:pPr>
      <w:spacing w:line="259" w:lineRule="auto"/>
      <w:jc w:val="left"/>
      <w:outlineLvl w:val="9"/>
    </w:pPr>
    <w:rPr>
      <w:rFonts w:ascii="等线 Light" w:eastAsia="等线 Light" w:hAnsi="等线 Light"/>
      <w:bCs w:val="0"/>
      <w:color w:val="2E74B5"/>
      <w:spacing w:val="0"/>
      <w:kern w:val="0"/>
      <w:szCs w:val="32"/>
    </w:rPr>
  </w:style>
  <w:style w:customStyle="1" w:styleId="48" w:type="character">
    <w:name w:val="gray"/>
    <w:basedOn w:val="21"/>
    <w:qFormat/>
    <w:uiPriority w:val="99"/>
    <w:rPr>
      <w:rFonts w:cs="Times New Roman"/>
    </w:rPr>
  </w:style>
  <w:style w:customStyle="1" w:styleId="49" w:type="character">
    <w:name w:val="article__title_text"/>
    <w:basedOn w:val="21"/>
    <w:qFormat/>
    <w:uiPriority w:val="99"/>
    <w:rPr>
      <w:rFonts w:cs="Times New Roman"/>
    </w:rPr>
  </w:style>
  <w:style w:customStyle="1" w:styleId="50" w:type="paragraph">
    <w:name w:val="Source Code"/>
    <w:qFormat/>
    <w:uiPriority w:val="0"/>
    <w:pPr>
      <w:wordWrap w:val="0"/>
    </w:pPr>
    <w:rPr>
      <w:rFonts w:ascii="Times New Roman" w:cs="Times New Roman" w:eastAsia="宋体" w:hAnsi="Times New Roman"/>
    </w:rPr>
  </w:style>
  <w:style w:customStyle="1" w:styleId="51" w:type="character">
    <w:name w:val="KeywordTok"/>
    <w:qFormat/>
    <w:uiPriority w:val="0"/>
    <w:rPr>
      <w:b/>
      <w:color w:val="007020"/>
    </w:rPr>
  </w:style>
  <w:style w:customStyle="1" w:styleId="52" w:type="character">
    <w:name w:val="DataTypeTok"/>
    <w:qFormat/>
    <w:uiPriority w:val="0"/>
    <w:rPr>
      <w:color w:val="902000"/>
    </w:rPr>
  </w:style>
  <w:style w:customStyle="1" w:styleId="53" w:type="character">
    <w:name w:val="DecValTok"/>
    <w:qFormat/>
    <w:uiPriority w:val="0"/>
    <w:rPr>
      <w:color w:val="40A070"/>
    </w:rPr>
  </w:style>
  <w:style w:customStyle="1" w:styleId="54" w:type="character">
    <w:name w:val="BaseNTok"/>
    <w:qFormat/>
    <w:uiPriority w:val="0"/>
    <w:rPr>
      <w:color w:val="40A070"/>
    </w:rPr>
  </w:style>
  <w:style w:customStyle="1" w:styleId="55" w:type="character">
    <w:name w:val="FloatTok"/>
    <w:qFormat/>
    <w:uiPriority w:val="0"/>
    <w:rPr>
      <w:color w:val="40A070"/>
    </w:rPr>
  </w:style>
  <w:style w:customStyle="1" w:styleId="56" w:type="character">
    <w:name w:val="ConstantTok"/>
    <w:qFormat/>
    <w:uiPriority w:val="0"/>
    <w:rPr>
      <w:color w:val="880000"/>
    </w:rPr>
  </w:style>
  <w:style w:customStyle="1" w:styleId="57" w:type="character">
    <w:name w:val="CharTok"/>
    <w:qFormat/>
    <w:uiPriority w:val="0"/>
    <w:rPr>
      <w:color w:val="4070A0"/>
    </w:rPr>
  </w:style>
  <w:style w:customStyle="1" w:styleId="58" w:type="character">
    <w:name w:val="SpecialCharTok"/>
    <w:qFormat/>
    <w:uiPriority w:val="0"/>
    <w:rPr>
      <w:color w:val="4070A0"/>
    </w:rPr>
  </w:style>
  <w:style w:customStyle="1" w:styleId="59" w:type="character">
    <w:name w:val="StringTok"/>
    <w:qFormat/>
    <w:uiPriority w:val="0"/>
    <w:rPr>
      <w:color w:val="4070A0"/>
    </w:rPr>
  </w:style>
  <w:style w:customStyle="1" w:styleId="60" w:type="character">
    <w:name w:val="VerbatimStringTok"/>
    <w:qFormat/>
    <w:uiPriority w:val="0"/>
    <w:rPr>
      <w:color w:val="4070A0"/>
    </w:rPr>
  </w:style>
  <w:style w:customStyle="1" w:styleId="61" w:type="character">
    <w:name w:val="SpecialStringTok"/>
    <w:qFormat/>
    <w:uiPriority w:val="0"/>
    <w:rPr>
      <w:color w:val="BB6688"/>
    </w:rPr>
  </w:style>
  <w:style w:customStyle="1" w:styleId="62" w:type="character">
    <w:name w:val="ImportTok"/>
    <w:qFormat/>
    <w:uiPriority w:val="0"/>
    <w:rPr>
      <w:b/>
      <w:color w:val="008000"/>
    </w:rPr>
  </w:style>
  <w:style w:customStyle="1" w:styleId="63" w:type="character">
    <w:name w:val="CommentTok"/>
    <w:qFormat/>
    <w:uiPriority w:val="0"/>
    <w:rPr>
      <w:i/>
      <w:color w:val="60A0B0"/>
    </w:rPr>
  </w:style>
  <w:style w:customStyle="1" w:styleId="64" w:type="character">
    <w:name w:val="DocumentationTok"/>
    <w:qFormat/>
    <w:uiPriority w:val="0"/>
    <w:rPr>
      <w:i/>
      <w:color w:val="BA2121"/>
    </w:rPr>
  </w:style>
  <w:style w:customStyle="1" w:styleId="65" w:type="character">
    <w:name w:val="AnnotationTok"/>
    <w:uiPriority w:val="0"/>
    <w:rPr>
      <w:b/>
      <w:i/>
      <w:color w:val="60A0B0"/>
    </w:rPr>
  </w:style>
  <w:style w:customStyle="1" w:styleId="66" w:type="character">
    <w:name w:val="CommentVarTok"/>
    <w:qFormat/>
    <w:uiPriority w:val="0"/>
    <w:rPr>
      <w:b/>
      <w:i/>
      <w:color w:val="60A0B0"/>
    </w:rPr>
  </w:style>
  <w:style w:customStyle="1" w:styleId="67" w:type="character">
    <w:name w:val="OtherTok"/>
    <w:qFormat/>
    <w:uiPriority w:val="0"/>
    <w:rPr>
      <w:color w:val="007020"/>
    </w:rPr>
  </w:style>
  <w:style w:customStyle="1" w:styleId="68" w:type="character">
    <w:name w:val="FunctionTok"/>
    <w:qFormat/>
    <w:uiPriority w:val="0"/>
    <w:rPr>
      <w:color w:val="06287E"/>
    </w:rPr>
  </w:style>
  <w:style w:customStyle="1" w:styleId="69" w:type="character">
    <w:name w:val="VariableTok"/>
    <w:qFormat/>
    <w:uiPriority w:val="0"/>
    <w:rPr>
      <w:color w:val="19177C"/>
    </w:rPr>
  </w:style>
  <w:style w:customStyle="1" w:styleId="70" w:type="character">
    <w:name w:val="ControlFlowTok"/>
    <w:qFormat/>
    <w:uiPriority w:val="0"/>
    <w:rPr>
      <w:b/>
      <w:color w:val="007020"/>
    </w:rPr>
  </w:style>
  <w:style w:customStyle="1" w:styleId="71" w:type="character">
    <w:name w:val="OperatorTok"/>
    <w:qFormat/>
    <w:uiPriority w:val="0"/>
    <w:rPr>
      <w:color w:val="666666"/>
    </w:rPr>
  </w:style>
  <w:style w:customStyle="1" w:styleId="72" w:type="character">
    <w:name w:val="BuiltInTok"/>
    <w:qFormat/>
    <w:uiPriority w:val="0"/>
    <w:rPr>
      <w:color w:val="008000"/>
    </w:rPr>
  </w:style>
  <w:style w:customStyle="1" w:styleId="73" w:type="character">
    <w:name w:val="ExtensionTok"/>
    <w:qFormat/>
    <w:uiPriority w:val="0"/>
  </w:style>
  <w:style w:customStyle="1" w:styleId="74" w:type="character">
    <w:name w:val="PreprocessorTok"/>
    <w:qFormat/>
    <w:uiPriority w:val="0"/>
    <w:rPr>
      <w:color w:val="BC7A00"/>
    </w:rPr>
  </w:style>
  <w:style w:customStyle="1" w:styleId="75" w:type="character">
    <w:name w:val="AttributeTok"/>
    <w:qFormat/>
    <w:uiPriority w:val="0"/>
    <w:rPr>
      <w:color w:val="7D9029"/>
    </w:rPr>
  </w:style>
  <w:style w:customStyle="1" w:styleId="76" w:type="character">
    <w:name w:val="RegionMarkerTok"/>
    <w:qFormat/>
    <w:uiPriority w:val="0"/>
  </w:style>
  <w:style w:customStyle="1" w:styleId="77" w:type="character">
    <w:name w:val="InformationTok"/>
    <w:qFormat/>
    <w:uiPriority w:val="0"/>
    <w:rPr>
      <w:b/>
      <w:i/>
      <w:color w:val="60A0B0"/>
    </w:rPr>
  </w:style>
  <w:style w:customStyle="1" w:styleId="78" w:type="character">
    <w:name w:val="WarningTok"/>
    <w:qFormat/>
    <w:uiPriority w:val="0"/>
    <w:rPr>
      <w:b/>
      <w:i/>
      <w:color w:val="60A0B0"/>
    </w:rPr>
  </w:style>
  <w:style w:customStyle="1" w:styleId="79" w:type="character">
    <w:name w:val="AlertTok"/>
    <w:qFormat/>
    <w:uiPriority w:val="0"/>
    <w:rPr>
      <w:b/>
      <w:color w:val="FF0000"/>
    </w:rPr>
  </w:style>
  <w:style w:customStyle="1" w:styleId="80" w:type="character">
    <w:name w:val="ErrorTok"/>
    <w:qFormat/>
    <w:uiPriority w:val="0"/>
    <w:rPr>
      <w:b/>
      <w:color w:val="FF0000"/>
    </w:rPr>
  </w:style>
  <w:style w:customStyle="1" w:styleId="81" w:type="character">
    <w:name w:val="NormalTok"/>
    <w:qFormat/>
    <w:uiPriority w:val="0"/>
  </w:style>
  <w:style w:customStyle="1" w:styleId="82" w:type="paragraph">
    <w:name w:val="表格"/>
    <w:basedOn w:val="1"/>
    <w:uiPriority w:val="0"/>
    <w:pPr>
      <w:ind w:firstLine="0"/>
    </w:pPr>
    <w:rPr>
      <w:rFonts w:hint="eastAsia"/>
      <w:spacing w:val="-6"/>
      <w:sz w:val="21"/>
    </w:rPr>
  </w:style>
  <w:style w:type="paragraph" w:customStyle="1" w:styleId="参考文献">
    <w:name w:val="参考文献"/>
    <w:basedOn w:val="1"/>
    <w:rPr>
      <w:rFonts w:ascii="Times New Roman" w:hAnsi="Times New Roman" w:eastAsia="宋体"/>
      <w:sz w:val="21"/>
    </w:rPr>
    <w:pPr>
      <w:ind w:left="18351" w:hanging="18351"/>
      <w:spacing w:line="440" w:lineRule="exact"/>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8" Type="http://schemas.openxmlformats.org/officeDocument/2006/relationships/hyperlink" Target="https://doi.org/10.1002/sat.1553" TargetMode="External"/><Relationship Id="rId55" Type="http://schemas.openxmlformats.org/officeDocument/2006/relationships/hyperlink" Target="https://doi.org/10.1016/j.optcom.2020.125697" TargetMode="External"/><Relationship Id="rId118" Type="http://schemas.openxmlformats.org/officeDocument/2006/relationships/hyperlink" Target="https://doi.org/10.1016/j.optcom.2023.130071" TargetMode="External"/><Relationship Id="rId108" Type="http://schemas.openxmlformats.org/officeDocument/2006/relationships/hyperlink" Target="https://doi.org/10.1016/j.yofte.2015.04.002" TargetMode="External"/><Relationship Id="rId60" Type="http://schemas.openxmlformats.org/officeDocument/2006/relationships/hyperlink" Target="https://doi.org/10.1049/cmu2.70148" TargetMode="External"/><Relationship Id="rId102" Type="http://schemas.openxmlformats.org/officeDocument/2006/relationships/hyperlink" Target="https://doi.org/10.1109/4234.951382" TargetMode="External"/><Relationship Id="rId76" Type="http://schemas.openxmlformats.org/officeDocument/2006/relationships/hyperlink" Target="https://doi.org/10.1109/ACP66871.2025.11350922" TargetMode="External"/><Relationship Id="rId31" Type="http://schemas.openxmlformats.org/officeDocument/2006/relationships/hyperlink" Target="https://doi.org/10.1109/COMST.2014.2329501" TargetMode="External"/><Relationship Id="rId72" Type="http://schemas.openxmlformats.org/officeDocument/2006/relationships/hyperlink" Target="https://doi.org/10.1109/ECOC48923.2020.9333326" TargetMode="External"/><Relationship Id="rId96" Type="http://schemas.openxmlformats.org/officeDocument/2006/relationships/hyperlink" Target="https://doi.org/10.1109/GLOCOM.1994.513002" TargetMode="External"/><Relationship Id="rId106" Type="http://schemas.openxmlformats.org/officeDocument/2006/relationships/hyperlink" Target="https://doi.org/10.1109/GLOCOM.2012.6503711" TargetMode="External"/><Relationship Id="rId74" Type="http://schemas.openxmlformats.org/officeDocument/2006/relationships/hyperlink" Target="https://doi.org/10.1109/ICCSN66511.2025.11172624" TargetMode="External"/><Relationship Id="rId83" Type="http://schemas.openxmlformats.org/officeDocument/2006/relationships/hyperlink" Target="https://doi.org/10.1109/JLT.2008.2010511" TargetMode="External"/><Relationship Id="rId81" Type="http://schemas.openxmlformats.org/officeDocument/2006/relationships/hyperlink" Target="https://doi.org/10.1109/JLT.2008.927778" TargetMode="External"/><Relationship Id="rId114" Type="http://schemas.openxmlformats.org/officeDocument/2006/relationships/hyperlink" Target="https://doi.org/10.1109/JLT.2017.2685678" TargetMode="External"/><Relationship Id="rId62" Type="http://schemas.openxmlformats.org/officeDocument/2006/relationships/hyperlink" Target="https://doi.org/10.1109/JLT.2022.3167035" TargetMode="External"/><Relationship Id="rId57" Type="http://schemas.openxmlformats.org/officeDocument/2006/relationships/hyperlink" Target="https://doi.org/10.1109/JLT.2022.3213519" TargetMode="External"/><Relationship Id="rId70" Type="http://schemas.openxmlformats.org/officeDocument/2006/relationships/hyperlink" Target="https://doi.org/10.1109/JLT.2023.3322697" TargetMode="External"/><Relationship Id="rId88" Type="http://schemas.openxmlformats.org/officeDocument/2006/relationships/hyperlink" Target="https://doi.org/10.1109/JLT.2024.3367890" TargetMode="External"/><Relationship Id="rId45" Type="http://schemas.openxmlformats.org/officeDocument/2006/relationships/hyperlink" Target="https://doi.org/10.1109/JLT.2024.3379203" TargetMode="External"/><Relationship Id="rId51" Type="http://schemas.openxmlformats.org/officeDocument/2006/relationships/hyperlink" Target="https://doi.org/10.1109/JPHOT.2023.3328423" TargetMode="External"/><Relationship Id="rId33" Type="http://schemas.openxmlformats.org/officeDocument/2006/relationships/hyperlink" Target="https://doi.org/10.1109/JSTQE.2025.3600154" TargetMode="External"/><Relationship Id="rId98" Type="http://schemas.openxmlformats.org/officeDocument/2006/relationships/hyperlink" Target="https://doi.org/10.1109/LPT.2011.2172405" TargetMode="External"/><Relationship Id="rId110" Type="http://schemas.openxmlformats.org/officeDocument/2006/relationships/hyperlink" Target="https://doi.org/10.1109/OECC.2017.8114989" TargetMode="External"/><Relationship Id="rId104" Type="http://schemas.openxmlformats.org/officeDocument/2006/relationships/hyperlink" Target="https://doi.org/10.1109/TCOMM.2004.826353" TargetMode="External"/><Relationship Id="rId91" Type="http://schemas.openxmlformats.org/officeDocument/2006/relationships/hyperlink" Target="https://doi.org/10.1109/TCOMM.2019.2912345" TargetMode="External"/><Relationship Id="rId112" Type="http://schemas.openxmlformats.org/officeDocument/2006/relationships/hyperlink" Target="https://doi.org/10.1109/TCOMM.2025.3489012" TargetMode="External"/><Relationship Id="rId78" Type="http://schemas.openxmlformats.org/officeDocument/2006/relationships/hyperlink" Target="https://doi.org/10.1109/TIT.1983.1056713" TargetMode="External"/><Relationship Id="rId66" Type="http://schemas.openxmlformats.org/officeDocument/2006/relationships/hyperlink" Target="https://doi.org/10.1109/TVT.2019.2916843" TargetMode="External"/><Relationship Id="rId47" Type="http://schemas.openxmlformats.org/officeDocument/2006/relationships/hyperlink" Target="https://doi.org/10.1109/TWC.2014.2371461" TargetMode="External"/><Relationship Id="rId40" Type="http://schemas.openxmlformats.org/officeDocument/2006/relationships/hyperlink" Target="https://doi.org/10.1117/1.1386641" TargetMode="External"/><Relationship Id="rId85" Type="http://schemas.openxmlformats.org/officeDocument/2006/relationships/hyperlink" Target="https://doi.org/10.1117/12.3059522" TargetMode="External"/><Relationship Id="rId35" Type="http://schemas.openxmlformats.org/officeDocument/2006/relationships/hyperlink" Target="https://doi.org/10.1364/JOCN.1.000536" TargetMode="External"/><Relationship Id="rId64" Type="http://schemas.openxmlformats.org/officeDocument/2006/relationships/hyperlink" Target="https://doi.org/10.1364/JOCN.505781" TargetMode="External"/><Relationship Id="rId100" Type="http://schemas.openxmlformats.org/officeDocument/2006/relationships/hyperlink" Target="https://doi.org/10.1364/OE.23.018901" TargetMode="External"/><Relationship Id="rId49" Type="http://schemas.openxmlformats.org/officeDocument/2006/relationships/hyperlink" Target="https://doi.org/10.1364/OE.26.022182" TargetMode="External"/><Relationship Id="rId53" Type="http://schemas.openxmlformats.org/officeDocument/2006/relationships/hyperlink" Target="https://doi.org/10.1364/OE.26.025678" TargetMode="External"/><Relationship Id="rId116" Type="http://schemas.openxmlformats.org/officeDocument/2006/relationships/hyperlink" Target="https://doi.org/10.1364/OE.447408" TargetMode="External"/><Relationship Id="rId38" Type="http://schemas.openxmlformats.org/officeDocument/2006/relationships/hyperlink" Target="https://doi.org/10.1364/oe.557780" TargetMode="External"/><Relationship Id="rId93" Type="http://schemas.openxmlformats.org/officeDocument/2006/relationships/hyperlink" Target="https://doi.org/10.3390/math11010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0</Words>
  <Characters>0</Characters>
  <Lines>79</Lines>
  <Paragraphs>22</Paragraphs>
  <TotalTime>210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星地相干激光通信信号处理关键技术研究文献综述</dc:title>
  <dc:creator>作者</dc:creator>
  <cp:keywords/>
  <dcterms:created xsi:type="dcterms:W3CDTF">2026-06-07T09:08:28Z</dcterms:created>
  <dcterms:modified xsi:type="dcterms:W3CDTF">2026-06-07T09:08:28Z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../写作材料/references.bib</vt:lpwstr>
  </property>
  <property fmtid="{D5CDD505-2E9C-101B-9397-08002B2CF9AE}" pid="3" name="csl">
    <vt:lpwstr>../pandoc/gb7714-2015.csl</vt:lpwstr>
  </property>
  <property fmtid="{D5CDD505-2E9C-101B-9397-08002B2CF9AE}" pid="4" name="date">
    <vt:lpwstr>2026年6月</vt:lpwstr>
  </property>
  <property fmtid="{D5CDD505-2E9C-101B-9397-08002B2CF9AE}" pid="5" name="link-citations">
    <vt:lpwstr>True</vt:lpwstr>
  </property>
</Properties>
</file>