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608F85">
      <w:pPr>
        <w:jc w:val="left"/>
        <w:rPr>
          <w:rFonts w:hint="eastAsia" w:ascii="楷体" w:hAnsi="楷体" w:eastAsia="楷体" w:cs="楷体"/>
          <w:sz w:val="24"/>
          <w:szCs w:val="24"/>
        </w:rPr>
      </w:pPr>
      <w:r>
        <w:rPr>
          <w:rFonts w:hint="eastAsia" w:ascii="楷体" w:hAnsi="楷体" w:eastAsia="楷体" w:cs="楷体"/>
          <w:sz w:val="24"/>
          <w:szCs w:val="24"/>
        </w:rPr>
        <w:t>癫痫病灶定位，是指通过综合临床发作症状学、神经电生理、神经影像学等多种检查手段，精准界定导致大脑自发异常放电起源部位（即致痫区的综合诊断过程。大量临床研究证实，这一精准寻靶过程是决定后续手术切除范围以及术后无发作率的核心前提与最关键指标[38]。围绕精准锁定启动癫痫发作的核心区域这一诉求，国内外研究团队开展了长期的科研攻关，逐步形成了三大技术阵列：在电生理领域，通过脑电图、脑磁图及颅内脑电图等手段捕捉大脑异常放电，能够从非侵入性筛选到金标准监测，多层次地锁定发作起始区；神经影像学则利用高分辨率磁共振成像、PET代谢显像及DTI纤维束成像等技术，从解剖结构与分子代谢角度探寻隐匿性病灶并刻画致痫网络的拓扑特征；近年来，随着多模态融合趋势的发展，人工智能算法的介入极大提升了病灶识别的自动化水平与判读精度，正推动该领域从传统的经验判断转向基于数据驱动的智能化决策[39]。</w:t>
      </w:r>
    </w:p>
    <w:p w14:paraId="3A5C017B">
      <w:pPr>
        <w:jc w:val="left"/>
        <w:rPr>
          <w:rFonts w:hint="eastAsia" w:ascii="楷体" w:hAnsi="楷体" w:eastAsia="楷体" w:cs="楷体"/>
          <w:sz w:val="24"/>
          <w:szCs w:val="24"/>
        </w:rPr>
      </w:pPr>
      <w:r>
        <w:rPr>
          <w:rFonts w:hint="eastAsia" w:ascii="楷体" w:hAnsi="楷体" w:eastAsia="楷体" w:cs="楷体"/>
          <w:sz w:val="24"/>
          <w:szCs w:val="24"/>
        </w:rPr>
        <w:t>（1）基于电生理信号定位</w:t>
      </w:r>
    </w:p>
    <w:p w14:paraId="7AAAD760">
      <w:pPr>
        <w:jc w:val="left"/>
        <w:rPr>
          <w:rFonts w:hint="eastAsia" w:ascii="楷体" w:hAnsi="楷体" w:eastAsia="楷体" w:cs="楷体"/>
          <w:sz w:val="24"/>
          <w:szCs w:val="24"/>
        </w:rPr>
      </w:pPr>
      <w:r>
        <w:rPr>
          <w:rFonts w:hint="eastAsia" w:ascii="楷体" w:hAnsi="楷体" w:eastAsia="楷体" w:cs="楷体"/>
          <w:sz w:val="24"/>
          <w:szCs w:val="24"/>
        </w:rPr>
        <w:t>电生理信号的捕捉与分析是癫痫病理生理学研究的基石，也是术前定位致痫区最直接、最核心的手段。技术层面遵循从外周到核心、从无创到有创的递进逻辑。</w:t>
      </w:r>
      <w:r>
        <w:rPr>
          <w:rFonts w:hint="eastAsia" w:ascii="楷体" w:hAnsi="楷体" w:eastAsia="楷体" w:cs="楷体"/>
          <w:sz w:val="24"/>
          <w:szCs w:val="24"/>
        </w:rPr>
        <w:tab/>
      </w:r>
      <w:r>
        <w:rPr>
          <w:rFonts w:hint="eastAsia" w:ascii="楷体" w:hAnsi="楷体" w:eastAsia="楷体" w:cs="楷体"/>
          <w:sz w:val="24"/>
          <w:szCs w:val="24"/>
        </w:rPr>
        <w:t>脑电图其通过记录皮层神经元群体的同步电位变化，脑电图凭借其非侵入性、高时间分辨率成为癫痫诊断的首选工具[40]。针对头皮电信号在颅骨与软组织中传播时产生的体积传导效应导致的源空间反演不适定问题，诸多课题组开发了包括等效电偶极子拟合与分布式解算在内的电源定位技术[41,42]。其中，丹麦癫痫中心与日内瓦大学医院等机构组成的国际联合临床团队验证了该技术在MRI阴性癫痫评估中的极高准确率[43]。为进一步提取特异性生物标志物，多个研究机构将目光聚焦于高频振荡的识别[44,45]，并结合机器学习算法与网络动力学模型（如Granger因果、节点中心性分析）实现海量数据的高效降维与自动化判读[46-49]。近年来，加州大学洛杉矶分校、哈佛大学医学院以及库克儿童医疗系统等顶尖机构的交叉研究团队，分别通过机器学习分类算法与自监督数据驱动模型，成功实现了生理性与病理性高频振荡的无创精准剥离与同步提取，大幅提升了基于头皮多标志物联合定位的临床应用价值[50,51]。</w:t>
      </w:r>
    </w:p>
    <w:p w14:paraId="53DF81C2">
      <w:pPr>
        <w:jc w:val="left"/>
        <w:rPr>
          <w:rFonts w:hint="eastAsia" w:ascii="楷体" w:hAnsi="楷体" w:eastAsia="楷体" w:cs="楷体"/>
          <w:sz w:val="24"/>
          <w:szCs w:val="24"/>
        </w:rPr>
      </w:pPr>
      <w:r>
        <w:rPr>
          <w:rFonts w:hint="eastAsia" w:ascii="楷体" w:hAnsi="楷体" w:eastAsia="楷体" w:cs="楷体"/>
          <w:sz w:val="24"/>
          <w:szCs w:val="24"/>
        </w:rPr>
        <w:t>脑磁图作为探寻皮层浅表切向源的高灵敏度手段，脑磁图通过高灵敏度的超导量子干涉器记录神经元微弱磁场信号。其核心物理优势在于磁场信号几乎不受颅骨及软组织电导率差异的影响，在神经源的空间定位上具有更高潜力[52]。为突破单一标志物的局限，加州大学旧金山分校的临床团队利用先进算法从MEG信号中成功提取出80-200Hz的非侵入性高频振荡源，发现其与术后证实病灶的空间一致性达75%，显著提升了预后预测精度[44,50]。尽管传统依赖液氦冷却的设备运维成本高昂，但墨尔本大学等机构的硬件研发团队正大力推进新型光泵磁力计等可穿戴传感器的研发[53]。在此基础上，法国国家健康与医学研究院及里昂大学等机构，近期通过头皮4He-OPM传感器与立体定向颅内脑电的同步记录，首次直接验证了该新型便携系统捕捉深部异常放电的能力[54]。</w:t>
      </w:r>
    </w:p>
    <w:p w14:paraId="187BBDCB">
      <w:pPr>
        <w:jc w:val="left"/>
        <w:rPr>
          <w:rFonts w:hint="eastAsia" w:ascii="楷体" w:hAnsi="楷体" w:eastAsia="楷体" w:cs="楷体"/>
          <w:sz w:val="24"/>
          <w:szCs w:val="24"/>
        </w:rPr>
      </w:pPr>
      <w:r>
        <w:rPr>
          <w:rFonts w:hint="eastAsia" w:ascii="楷体" w:hAnsi="楷体" w:eastAsia="楷体" w:cs="楷体"/>
          <w:sz w:val="24"/>
          <w:szCs w:val="24"/>
        </w:rPr>
        <w:t>颅内脑电图其作为侵入性“金标准”方面，以立体定向脑电图（为代表的颅内脑电技术通过零距离接触脑深部特定结构靶区，为致痫灶的定位提供了极高的信噪比。梅奥医学中心、荷兰乌得勒支大学医学中心等主导的国际多中心临床团队证实，颅内脑电图捕获的快频率振荡（&gt;250Hz）脑区的完整切除，与患者术后的良好预后高度正相关[45,55-57]。针对海量长程数据人工阅片效率低下的痛点，加州大学洛杉矶分校与密歇根儿童医院等机构组成的交叉团队，创新性地提出纯数据驱动的自监督学习框架，利用变分自编码器在无标签数据中首次实现了对病理性与生理性高频振荡的客观定义与精准剥离[46,51]。在动态电生理信号的深度挖掘方面，德克萨斯大学阿灵顿分校、哈佛大学医学院与UCLA等顶尖机构的交叉课题组，成功实现了直接利用无发作期iEEG信号进行致痫网络动态模式的智能提取与降维分解[51,82]。此外，国际前沿神经调控团队进一步拓展了iEEG在响应性神经刺激植入调控规划中的应用[58]，完善了从精准定位到自适应主动干预的闭环诊疗范式。</w:t>
      </w:r>
    </w:p>
    <w:p w14:paraId="68088054">
      <w:pPr>
        <w:jc w:val="left"/>
        <w:rPr>
          <w:rFonts w:hint="eastAsia" w:ascii="楷体" w:hAnsi="楷体" w:eastAsia="楷体" w:cs="楷体"/>
          <w:sz w:val="24"/>
          <w:szCs w:val="24"/>
        </w:rPr>
      </w:pPr>
      <w:r>
        <w:rPr>
          <w:rFonts w:hint="eastAsia" w:ascii="楷体" w:hAnsi="楷体" w:eastAsia="楷体" w:cs="楷体"/>
          <w:sz w:val="24"/>
          <w:szCs w:val="24"/>
        </w:rPr>
        <w:t>（2）基于神经影像学定位</w:t>
      </w:r>
    </w:p>
    <w:p w14:paraId="3A364776">
      <w:pPr>
        <w:jc w:val="left"/>
        <w:rPr>
          <w:rFonts w:hint="eastAsia" w:ascii="楷体" w:hAnsi="楷体" w:eastAsia="楷体" w:cs="楷体"/>
          <w:sz w:val="24"/>
          <w:szCs w:val="24"/>
        </w:rPr>
      </w:pPr>
      <w:r>
        <w:rPr>
          <w:rFonts w:hint="eastAsia" w:ascii="楷体" w:hAnsi="楷体" w:eastAsia="楷体" w:cs="楷体"/>
          <w:sz w:val="24"/>
          <w:szCs w:val="24"/>
        </w:rPr>
        <w:t>在药物难治性癫痫的术前评估中，电生理信号虽能提供极高的毫秒级时间分辨率，但往往难以精准界定病灶的三维空间边界。与之相对，神经影像学技术通过结构、代谢及白质网络等多个维度，极大地补充了发作起始区的空间全貌与解剖学背景。</w:t>
      </w:r>
    </w:p>
    <w:p w14:paraId="2A465A83">
      <w:pPr>
        <w:jc w:val="left"/>
        <w:rPr>
          <w:rFonts w:hint="eastAsia" w:ascii="楷体" w:hAnsi="楷体" w:eastAsia="楷体" w:cs="楷体"/>
          <w:sz w:val="24"/>
          <w:szCs w:val="24"/>
        </w:rPr>
      </w:pPr>
      <w:r>
        <w:rPr>
          <w:rFonts w:hint="eastAsia" w:ascii="楷体" w:hAnsi="楷体" w:eastAsia="楷体" w:cs="楷体"/>
          <w:sz w:val="24"/>
          <w:szCs w:val="24"/>
        </w:rPr>
        <w:t>结构磁共振成像（sMRI)：基于氢质子自旋与弛豫特性的磁共振成像技术是获得高分辨率宏观脑解剖图像的基础。在临床定位实践中，海马硬化与局灶性皮质发育不良是导致难治性癫痫最常见的典型结构病变。围绕这些核心致痫基质，国内外影像研究团队长期致力于其形态学异常特征（如灰白质交界模糊、皮层增厚等）的精准量化[59,60]。针对常规肉眼阅片难以识别的隐匿性微小病变，基于体素形态学和MAP程序的定量分析技术已被广泛应用于临床辅助诊断[61]。然而，临床上仍有大量患者在常规（如1.5T或3T）扫描中未表现出明确的结构异常，即面临严峻的“MRI阴性”挑战。面对这一难题，亚利桑那州立大学与巴罗神经学研究所等组成的联合计算团队，创新性地开发了基于静息态功能磁共振的致痫区自动化定位系统，为纯结构影像难以确诊的病例提供了全新的靶点[62]。与此同时，英国剑桥大学与法国原子能委员会联合验证了基于并行发射的7T超高场MRI临床效能，成功在近三分之一的常规3T阴性患者中探明隐匿病灶，实质性改变了难治性患者的术前决策路径[63]。</w:t>
      </w:r>
    </w:p>
    <w:p w14:paraId="491EB372">
      <w:pPr>
        <w:jc w:val="left"/>
        <w:rPr>
          <w:rFonts w:hint="eastAsia" w:ascii="楷体" w:hAnsi="楷体" w:eastAsia="楷体" w:cs="楷体"/>
          <w:sz w:val="24"/>
          <w:szCs w:val="24"/>
        </w:rPr>
      </w:pPr>
      <w:r>
        <w:rPr>
          <w:rFonts w:hint="eastAsia" w:ascii="楷体" w:hAnsi="楷体" w:eastAsia="楷体" w:cs="楷体"/>
          <w:sz w:val="24"/>
          <w:szCs w:val="24"/>
        </w:rPr>
        <w:t>静息态功能磁共振，该技术通过检测静息状态下低频血氧水平依赖信号的自发波动，间接反映神经元群体活动及脑区间功能连通性的变化。由于癫痫发作本质上涉及异常网络的同步化放电，rs-fMRI在揭示“MRI阴性”等复杂病例的功能网络重构方面具有独特优势。针对癫痫网络同步化异常的特征，德黑兰大学与哈佛大学医学院等顶尖机构的研究团队通过引入时空独立成分分析、局部一致性及低频振幅等高级计算指标，成功在缺乏显著结构异常的病例中刻画了功能网络的重构拓扑[64,65]。为克服BOLD信号本质上的血流动力学时间延迟及特异性受限问题[66]，北卡罗来纳大学教堂山分校的临床与转化科学研究团队提出了分数功率谱贡献等频域细分量化指标，并结合EEG-fMRI同步采集技术，大幅强化对局部残留网络兴奋性的精准空间刻画[67]。</w:t>
      </w:r>
    </w:p>
    <w:p w14:paraId="6BA54879">
      <w:pPr>
        <w:jc w:val="left"/>
        <w:rPr>
          <w:rFonts w:hint="eastAsia" w:ascii="楷体" w:hAnsi="楷体" w:eastAsia="楷体" w:cs="楷体"/>
          <w:sz w:val="24"/>
          <w:szCs w:val="24"/>
        </w:rPr>
      </w:pPr>
      <w:r>
        <w:rPr>
          <w:rFonts w:hint="eastAsia" w:ascii="楷体" w:hAnsi="楷体" w:eastAsia="楷体" w:cs="楷体"/>
          <w:sz w:val="24"/>
          <w:szCs w:val="24"/>
        </w:rPr>
        <w:t>正电子发射断层扫描，其</w:t>
      </w:r>
      <w:bookmarkStart w:id="0" w:name="_GoBack"/>
      <w:bookmarkEnd w:id="0"/>
      <w:r>
        <w:rPr>
          <w:rFonts w:hint="eastAsia" w:ascii="楷体" w:hAnsi="楷体" w:eastAsia="楷体" w:cs="楷体"/>
          <w:sz w:val="24"/>
          <w:szCs w:val="24"/>
        </w:rPr>
        <w:t>以18F-FDG代谢显像为核心，PET通过测量脑组织葡萄糖摄取率直接反映区域代谢活性。致痫区在发作间期常表现为局部的葡萄糖低代谢状态，这一特性使得PET在MRI阴性病例的定位中展现出极为突出的辅助诊断价值，并建立了针对低代谢灶的标准摄取值与不对称指数统计规范[68,69]。为了抑制远隔效应导致的低代谢可疑范围扩大误差[70]，意大利佩鲁贾大学的研究人员相继验证了基于硅光电倍增管的数字PET（dPET）及飞行时间增强技术在病灶定位中的临床效能[71]。扩散张量成像，其基于水分子在白质纤维束中的各向异性扩散特性，是目前在体评估脑白质微结构完整性的核心手段。传统扩散张量成像基于各向异性分数等张量指标完成了对关键神经传导通路的无创三维重构，有效降低了术后功能受损风险[73]。然而，针对单张量模型难以解析交叉纤维或区分继发性脱髓鞘损伤的理论瓶颈[74]，澳大利亚默多克儿童研究所、墨尔本大学等核心机构的高阶扩散成像联合团队，大力推动了多室模型（如神经突方向色散与密度成像）及基于纤维的分析方法的研发与应用[75,76]。这一系列底层算法的突破，使得脑白质网络分析深入至体素内多成分量化与复杂交叉纤维解析的微观层面。</w:t>
      </w:r>
    </w:p>
    <w:p w14:paraId="4D1296AC">
      <w:pPr>
        <w:jc w:val="left"/>
        <w:rPr>
          <w:rFonts w:hint="eastAsia" w:ascii="楷体" w:hAnsi="楷体" w:eastAsia="楷体" w:cs="楷体"/>
          <w:sz w:val="24"/>
          <w:szCs w:val="24"/>
        </w:rPr>
      </w:pPr>
      <w:r>
        <w:rPr>
          <w:rFonts w:hint="eastAsia" w:ascii="楷体" w:hAnsi="楷体" w:eastAsia="楷体" w:cs="楷体"/>
          <w:sz w:val="24"/>
          <w:szCs w:val="24"/>
        </w:rPr>
        <w:t>（3）基于多模态信号定位</w:t>
      </w:r>
    </w:p>
    <w:p w14:paraId="2B836293">
      <w:pPr>
        <w:jc w:val="left"/>
        <w:rPr>
          <w:rFonts w:hint="eastAsia" w:ascii="楷体" w:hAnsi="楷体" w:eastAsia="楷体" w:cs="楷体"/>
          <w:sz w:val="24"/>
          <w:szCs w:val="24"/>
        </w:rPr>
      </w:pPr>
      <w:r>
        <w:rPr>
          <w:rFonts w:hint="eastAsia" w:ascii="楷体" w:hAnsi="楷体" w:eastAsia="楷体" w:cs="楷体"/>
          <w:sz w:val="24"/>
          <w:szCs w:val="24"/>
        </w:rPr>
        <w:t>随着计算能力的飞跃和大规模多中心医疗数据集的建立，人工智能特别是深度学习技术，正在重塑癫痫病灶的定位范式，推动多模态融合突破单一模态的物理与时空限制[39]。在跨模态影像特征级融合与隐匿性病灶检测方面，北京邮电大学与北京大学第一医院组成的医工交叉团队，以及美国克利夫兰诊所研究组，分别通过引入拉普拉斯金字塔边缘引导网络</w:t>
      </w:r>
      <w:r>
        <w:rPr>
          <w:rFonts w:hint="eastAsia" w:ascii="楷体" w:hAnsi="楷体" w:eastAsia="楷体" w:cs="楷体"/>
          <w:sz w:val="24"/>
          <w:szCs w:val="24"/>
        </w:rPr>
        <w:t>及磁共振指纹定量图谱，结合三维卷积神经网络架构，大幅提升了常规MRI阴性的FCD模糊边界的自动化分割精度[77,78]。</w:t>
      </w:r>
    </w:p>
    <w:p w14:paraId="7AE5A9D9">
      <w:pPr>
        <w:jc w:val="left"/>
        <w:rPr>
          <w:rFonts w:hint="eastAsia" w:ascii="楷体" w:hAnsi="楷体" w:eastAsia="楷体" w:cs="楷体"/>
          <w:sz w:val="24"/>
          <w:szCs w:val="24"/>
        </w:rPr>
      </w:pPr>
      <w:r>
        <w:rPr>
          <w:rFonts w:hint="eastAsia" w:ascii="楷体" w:hAnsi="楷体" w:eastAsia="楷体" w:cs="楷体"/>
          <w:sz w:val="24"/>
          <w:szCs w:val="24"/>
        </w:rPr>
        <w:t>同时，默多克儿童研究所与墨尔本大学等机构组成的联合科研团队，通过在深度模型底层联合提取解剖学sMRI的结构特征与18F-FDG PET的代谢特征，成功缓解了脑沟深部隐匿性病变的跨模态诊断难题[79]。面对大脑皮层高度折叠的非欧几里得流形与极具动态特性的放电演化过程，研究重心逐渐向图计算与动态网络解析方向转移。英国伦敦大学学院、德国慕尼黑大学及伦敦国王学院等组成的国际协作团队，相继开发了MELDGraph与ST-GNN等模型，精准捕捉皮层的复杂形态连通性，并动态追踪SEEG异常放电的拓扑蔓延轨迹[80,81]。该系列纯数据驱动的计算框架极大降低了临床长程监测的资源消耗。</w:t>
      </w:r>
    </w:p>
    <w:p w14:paraId="6DD9B657">
      <w:pPr>
        <w:jc w:val="left"/>
        <w:rPr>
          <w:rFonts w:hint="eastAsia" w:ascii="楷体" w:hAnsi="楷体" w:eastAsia="楷体" w:cs="楷体"/>
          <w:sz w:val="24"/>
          <w:szCs w:val="24"/>
        </w:rPr>
      </w:pPr>
      <w:r>
        <w:rPr>
          <w:rFonts w:hint="eastAsia" w:ascii="楷体" w:hAnsi="楷体" w:eastAsia="楷体" w:cs="楷体"/>
          <w:sz w:val="24"/>
          <w:szCs w:val="24"/>
        </w:rPr>
        <w:t xml:space="preserve">面对临床真实环境中严峻的数据稀缺挑战与跨设备异构性难题，大型基础模型与可解释性框架正引领最新范式。上海人工智能实验室与清华大学等联合团队提出的BrainOmni架构，创造性地引入统一分词器，化解了EEG与MEG等异构传感器信号的底层对齐难题[83]。复旦大学与牛津大学等顶尖机构构建的GenBrain多模态脑影像基础模型，可依据现有模态条件生成多种目标模态的合成数据，显著提升了小样本临床任务的跨中心泛化能力[84,85]。此外，为解决AI“黑盒”危机，波士顿大学与约翰斯·霍普金斯大学结合大语言模型开发了跨模态可解释性辅助诊断系统，能自动输出符合严谨临床病理逻辑的结构化解读报告[86]。这些计算架构与涵盖详尽术后随访的IDEAS开源标准数据库[87]一道，正共同构筑新一代癫痫智能综合评估生态。 </w:t>
      </w:r>
    </w:p>
    <w:p w14:paraId="67CD85CB">
      <w:pPr>
        <w:jc w:val="left"/>
        <w:rPr>
          <w:rFonts w:hint="eastAsia" w:ascii="楷体" w:hAnsi="楷体" w:eastAsia="楷体" w:cs="楷体"/>
          <w:sz w:val="24"/>
          <w:szCs w:val="24"/>
        </w:rPr>
      </w:pPr>
      <w:r>
        <w:rPr>
          <w:rFonts w:hint="eastAsia" w:ascii="楷体" w:hAnsi="楷体" w:eastAsia="楷体" w:cs="楷体"/>
          <w:sz w:val="24"/>
          <w:szCs w:val="24"/>
        </w:rPr>
        <w:t>（4）基于专家的协同定位</w:t>
      </w:r>
    </w:p>
    <w:p w14:paraId="0A808ADF">
      <w:pPr>
        <w:jc w:val="left"/>
        <w:rPr>
          <w:rFonts w:hint="eastAsia" w:ascii="楷体" w:hAnsi="楷体" w:eastAsia="楷体" w:cs="楷体"/>
          <w:sz w:val="24"/>
          <w:szCs w:val="24"/>
        </w:rPr>
      </w:pPr>
      <w:r>
        <w:rPr>
          <w:rFonts w:hint="eastAsia" w:ascii="楷体" w:hAnsi="楷体" w:eastAsia="楷体" w:cs="楷体"/>
          <w:sz w:val="24"/>
          <w:szCs w:val="24"/>
        </w:rPr>
        <w:t>专家协同定位（HITL）是一种结合人工智能与专家协作的定位方法，能够有效减少跨中心“域偏移”和多模态信息可解释性不足带来的误判风险。由于跨中心数据的异质性和设备差异，单一模型往往难以确保在不同环境下的泛化能力，而HITL方法通过将专家的判断与模型的自动 预测相结合，在复杂病例和低置信度场景下有效弥补这一不足[88]。HITL 通过监测模型的置信度以及跨模态数据的冲突作为触发器，在低风险情况下实现自动决策，而在高风险时动态地将任务转交给专家进行复核和调整，从而有效减少了假阳性和误判，提高了病灶定位的准确性[89]。 HITL系统的关键在于专家参与的三层协作方式：实时交互、后期验证和反馈回路[90]。专家可以通过交互界面在 EEG/iEEG事件、影像热力图以及候选病灶区域上进行标注、删伪迹、微调边界等操作。专家的输入不仅确保了系统在处理低置信度和复杂病例时的准确性，还能通过对不同模态数据进行一致性验证，进一步提高病灶定位的可靠性。这种交互与专家反馈机制的加入，使得模型能够在不断的专家复核和训练中实现动态优化，从而不断适应新的数据模式和临床需求。</w:t>
      </w:r>
    </w:p>
    <w:p w14:paraId="13FBDEAA">
      <w:pPr>
        <w:jc w:val="left"/>
        <w:rPr>
          <w:rFonts w:hint="eastAsia" w:ascii="楷体" w:hAnsi="楷体" w:eastAsia="楷体" w:cs="楷体"/>
          <w:sz w:val="24"/>
          <w:szCs w:val="24"/>
        </w:rPr>
      </w:pPr>
      <w:r>
        <w:rPr>
          <w:rFonts w:hint="eastAsia" w:ascii="楷体" w:hAnsi="楷体" w:eastAsia="楷体" w:cs="楷体"/>
          <w:sz w:val="24"/>
          <w:szCs w:val="24"/>
        </w:rPr>
        <w:t>尽管 HITL在提升定位精度方面具有优势，但也存在一定局限性。首先，依赖专家的人工干预可能影响系统的实时性和扩展性，尤其在大规模病例处理时。其次，设备异质性和跨中心数据的差异可能影响模型的泛化能力，特别是在不同医院之间的数据协同时。最后，尽管 HITL可以改善可解释性，但仍然需要大量专家参与和标注，这在某些情况下可能增加系统的工作负担[90]。</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286D74"/>
    <w:rsid w:val="1D286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26</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2026-02-28T12:17:00Z</dcterms:created>
  <dc:creator>Peter夏</dc:creator>
  <cp:lastModifiedBy>Peter夏</cp:lastModifiedBy>
  <dcterms:modified xsi:type="dcterms:W3CDTF">2026-02-28T12:43:59Z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6DA244A8452C4AC3B5145C0E943EB063_11</vt:lpwstr>
  </property>
  <property fmtid="{D5CDD505-2E9C-101B-9397-08002B2CF9AE}" pid="4" name="KSOTemplateDocerSaveRecord">
    <vt:lpwstr>eyJoZGlkIjoiMGY3MzgyNWE4NGE1NWZkZDZiYTAwY2YwNjRmNDc1YmMiLCJ1c2VySWQiOiIxNDA4MjY2NDUzIn0=</vt:lpwstr>
  </property>
</Properties>
</file>