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241A38"/>
          <w:sz w:val="38"/>
          <w:rFonts w:eastAsia="Microsoft YaHei"/>
        </w:rPr>
        <w:t>Week 4 — AI 分析与核验记录</w:t>
      </w:r>
    </w:p>
    <w:p>
      <w:r>
        <w:rPr>
          <w:b/>
          <w:sz w:val="21"/>
        </w:rPr>
        <w:t>Course:</w:t>
      </w:r>
      <w:r>
        <w:rPr>
          <w:sz w:val="21"/>
        </w:rPr>
        <w:t xml:space="preserve"> Bioinformatics: From Multi-Omics Data to Discovery — Dr. Liwei Xie, SUAT</w:t>
      </w:r>
    </w:p>
    <w:p>
      <w:r>
        <w:rPr>
          <w:b/>
          <w:sz w:val="21"/>
        </w:rPr>
        <w:t>Student:</w:t>
      </w:r>
      <w:r>
        <w:rPr>
          <w:sz w:val="21"/>
          <w:rFonts w:eastAsia="Microsoft YaHei"/>
        </w:rPr>
        <w:t xml:space="preserve"> Zixuan Zeng (曾梓轩) · SUAT24000114</w:t>
      </w:r>
    </w:p>
    <w:p>
      <w:r>
        <w:rPr>
          <w:b/>
          <w:sz w:val="21"/>
        </w:rPr>
        <w:t>Date:</w:t>
      </w:r>
      <w:r>
        <w:rPr>
          <w:sz w:val="21"/>
        </w:rPr>
        <w:t xml:space="preserve"> 2026-09-16</w:t>
      </w:r>
    </w:p>
    <w:p>
      <w:pPr>
        <w:pBdr>
          <w:bottom w:val="single" w:sz="6" w:color="D8D3E0"/>
        </w:pBdr>
        <w:spacing w:after="160"/>
      </w:pPr>
    </w:p>
    <w:p>
      <w:pPr>
        <w:pStyle w:val="Heading1"/>
      </w:pPr>
      <w:r>
        <w:rPr>
          <w:color w:val="3E2A63"/>
        </w:rPr>
        <w:t>What this file is, and what it is not</w:t>
      </w:r>
    </w:p>
    <w:p>
      <w:r>
        <w:rPr>
          <w:sz w:val="21"/>
        </w:rPr>
        <w:t xml:space="preserve">This file contains </w:t>
      </w:r>
      <w:r>
        <w:rPr>
          <w:b/>
          <w:sz w:val="21"/>
        </w:rPr>
        <w:t>only the AI-assisted part</w:t>
      </w:r>
      <w:r>
        <w:rPr>
          <w:sz w:val="21"/>
        </w:rPr>
        <w:t xml:space="preserve"> of the Week 4 homework: the prompts</w:t>
      </w:r>
    </w:p>
    <w:p>
      <w:r>
        <w:rPr>
          <w:sz w:val="21"/>
        </w:rPr>
        <w:t>used, what the AI proposed, where its output was rejected or corrected, the database</w:t>
      </w:r>
    </w:p>
    <w:p>
      <w:r>
        <w:rPr>
          <w:sz w:val="21"/>
        </w:rPr>
        <w:t>verification it performed, and the conclusions that survived that verification.</w:t>
      </w:r>
    </w:p>
    <w:p>
      <w:r>
        <w:rPr>
          <w:sz w:val="21"/>
        </w:rPr>
        <w:t xml:space="preserve">It deliberately does </w:t>
      </w:r>
      <w:r>
        <w:rPr>
          <w:b/>
          <w:sz w:val="21"/>
        </w:rPr>
        <w:t>not</w:t>
      </w:r>
      <w:r>
        <w:rPr>
          <w:sz w:val="21"/>
        </w:rPr>
        <w:t xml:space="preserve"> contain the </w:t>
      </w:r>
      <w:r>
        <w:rPr>
          <w:i/>
          <w:sz w:val="21"/>
        </w:rPr>
        <w:t>Reasoning before AI</w:t>
      </w:r>
      <w:r>
        <w:rPr>
          <w:sz w:val="21"/>
        </w:rPr>
        <w:t xml:space="preserve"> section of any</w:t>
      </w:r>
    </w:p>
    <w:p>
      <w:r>
        <w:rPr>
          <w:sz w:val="21"/>
        </w:rPr>
        <w:t>question. Those four sections are hand-written in a separate document,</w:t>
      </w:r>
    </w:p>
    <w:p>
      <w:r>
        <w:rPr>
          <w:rFonts w:ascii="Consolas" w:hAnsi="Consolas" w:eastAsia="Microsoft YaHei"/>
          <w:color w:val="3E2A63"/>
          <w:sz w:val="21"/>
        </w:rPr>
        <w:t>Week4_手写部分_曾梓轩.docx</w:t>
      </w:r>
      <w:r>
        <w:rPr>
          <w:sz w:val="21"/>
        </w:rPr>
        <w:t>, and were completed before this file was read. The two</w:t>
      </w:r>
    </w:p>
    <w:p>
      <w:r>
        <w:rPr>
          <w:sz w:val="21"/>
        </w:rPr>
        <w:t>voices are kept in separate files so that it is unambiguous which judgments are the</w:t>
      </w:r>
    </w:p>
    <w:p>
      <w:r>
        <w:rPr>
          <w:sz w:val="21"/>
        </w:rPr>
        <w:t>student's and which are the AI's.</w:t>
      </w:r>
    </w:p>
    <w:p>
      <w:r>
        <w:rPr>
          <w:sz w:val="21"/>
        </w:rPr>
        <w:t>The assignment requires AI use and requires it to be documented. This file is that</w:t>
      </w:r>
    </w:p>
    <w:p>
      <w:r>
        <w:rPr>
          <w:sz w:val="21"/>
        </w:rPr>
        <w:t>documentation.</w:t>
      </w:r>
    </w:p>
    <w:p>
      <w:r>
        <w:rPr>
          <w:b/>
          <w:sz w:val="21"/>
        </w:rPr>
        <w:t>Tooling.</w:t>
      </w:r>
      <w:r>
        <w:rPr>
          <w:sz w:val="21"/>
        </w:rPr>
        <w:t xml:space="preserve"> One Claude Code session, 2026-09-16. Every number below was computed or</w:t>
      </w:r>
    </w:p>
    <w:p>
      <w:r>
        <w:rPr>
          <w:sz w:val="21"/>
        </w:rPr>
        <w:t xml:space="preserve">queried during that session, not asserted. Scripts in </w:t>
      </w:r>
      <w:r>
        <w:rPr>
          <w:rFonts w:ascii="Consolas" w:hAnsi="Consolas"/>
          <w:color w:val="3E2A63"/>
          <w:sz w:val="21"/>
        </w:rPr>
        <w:t>R/</w:t>
      </w:r>
      <w:r>
        <w:rPr>
          <w:sz w:val="21"/>
        </w:rPr>
        <w:t xml:space="preserve">, outputs in </w:t>
      </w:r>
      <w:r>
        <w:rPr>
          <w:rFonts w:ascii="Consolas" w:hAnsi="Consolas"/>
          <w:color w:val="3E2A63"/>
          <w:sz w:val="21"/>
        </w:rPr>
        <w:t>results/</w:t>
      </w:r>
      <w:r>
        <w:rPr>
          <w:sz w:val="21"/>
        </w:rPr>
        <w:t>,</w:t>
      </w:r>
    </w:p>
    <w:p>
      <w:r>
        <w:rPr>
          <w:sz w:val="21"/>
        </w:rPr>
        <w:t xml:space="preserve">figures in </w:t>
      </w:r>
      <w:r>
        <w:rPr>
          <w:rFonts w:ascii="Consolas" w:hAnsi="Consolas"/>
          <w:color w:val="3E2A63"/>
          <w:sz w:val="21"/>
        </w:rPr>
        <w:t>figures/</w:t>
      </w:r>
      <w:r>
        <w:rPr>
          <w:sz w:val="21"/>
        </w:rPr>
        <w:t xml:space="preserve">. Two authoritative resources were queried live — </w:t>
      </w:r>
      <w:r>
        <w:rPr>
          <w:b/>
          <w:sz w:val="21"/>
        </w:rPr>
        <w:t>Ensembl REST</w:t>
      </w:r>
    </w:p>
    <w:p>
      <w:r>
        <w:rPr>
          <w:sz w:val="21"/>
        </w:rPr>
        <w:t xml:space="preserve">(GRCh38 and GRCh37 endpoints) and </w:t>
      </w:r>
      <w:r>
        <w:rPr>
          <w:b/>
          <w:sz w:val="21"/>
        </w:rPr>
        <w:t>NCBI ClinVar E-utilities</w:t>
      </w:r>
      <w:r>
        <w:rPr>
          <w:sz w:val="21"/>
        </w:rPr>
        <w:t xml:space="preserve"> — and the verification</w:t>
      </w:r>
    </w:p>
    <w:p>
      <w:r>
        <w:rPr>
          <w:sz w:val="21"/>
        </w:rPr>
        <w:t xml:space="preserve">is re-runnable via </w:t>
      </w:r>
      <w:r>
        <w:rPr>
          <w:rFonts w:ascii="Consolas" w:hAnsi="Consolas"/>
          <w:color w:val="3E2A63"/>
          <w:sz w:val="21"/>
        </w:rPr>
        <w:t>R/q4_verify_databases.py</w:t>
      </w:r>
      <w:r>
        <w:rPr>
          <w:sz w:val="21"/>
        </w:rPr>
        <w:t>.</w:t>
      </w:r>
    </w:p>
    <w:tbl>
      <w:tblPr>
        <w:tblStyle w:val="TableGrid"/>
        <w:tblW w:type="auto" w:w="0"/>
        <w:jc w:val="center"/>
        <w:tblLook w:firstColumn="1" w:firstRow="1" w:lastColumn="0" w:lastRow="0" w:noHBand="0" w:noVBand="1" w:val="04A0"/>
      </w:tblPr>
      <w:tblGrid>
        <w:gridCol w:w="4824"/>
        <w:gridCol w:w="4824"/>
      </w:tblGrid>
      <w:tr>
        <w:tc>
          <w:tcPr>
            <w:tcW w:type="dxa" w:w="4824"/>
            <w:shd w:val="clear" w:fill="EDE9F2"/>
          </w:tcPr>
          <w:p>
            <w:pPr>
              <w:spacing w:after="40"/>
            </w:pPr>
            <w:r>
              <w:rPr>
                <w:b/>
              </w:rPr>
            </w:r>
            <w:r>
              <w:rPr>
                <w:b/>
                <w:sz w:val="18"/>
              </w:rPr>
              <w:t>Artefact</w:t>
            </w:r>
          </w:p>
        </w:tc>
        <w:tc>
          <w:tcPr>
            <w:tcW w:type="dxa" w:w="4824"/>
            <w:shd w:val="clear" w:fill="EDE9F2"/>
          </w:tcPr>
          <w:p>
            <w:pPr>
              <w:spacing w:after="40"/>
            </w:pPr>
            <w:r>
              <w:rPr>
                <w:b/>
              </w:rPr>
            </w:r>
            <w:r>
              <w:rPr>
                <w:b/>
                <w:sz w:val="18"/>
              </w:rPr>
              <w:t>Path</w:t>
            </w:r>
          </w:p>
        </w:tc>
      </w:tr>
      <w:tr>
        <w:tc>
          <w:tcPr>
            <w:tcW w:type="dxa" w:w="4824"/>
          </w:tcPr>
          <w:p>
            <w:pPr>
              <w:spacing w:after="40"/>
            </w:pPr>
            <w:r/>
            <w:r>
              <w:rPr>
                <w:sz w:val="18"/>
              </w:rPr>
              <w:t>Q2 FASTQ audit</w:t>
            </w:r>
          </w:p>
        </w:tc>
        <w:tc>
          <w:tcPr>
            <w:tcW w:type="dxa" w:w="4824"/>
          </w:tcPr>
          <w:p>
            <w:pPr>
              <w:spacing w:after="40"/>
            </w:pPr>
            <w:r/>
            <w:r>
              <w:rPr>
                <w:rFonts w:ascii="Consolas" w:hAnsi="Consolas"/>
                <w:color w:val="3E2A63"/>
                <w:sz w:val="18"/>
              </w:rPr>
              <w:t>R/q2_fastq_audit.py</w:t>
            </w:r>
            <w:r>
              <w:rPr>
                <w:sz w:val="18"/>
              </w:rPr>
              <w:t xml:space="preserve"> → </w:t>
            </w:r>
            <w:r>
              <w:rPr>
                <w:rFonts w:ascii="Consolas" w:hAnsi="Consolas"/>
                <w:color w:val="3E2A63"/>
                <w:sz w:val="18"/>
              </w:rPr>
              <w:t>results/q2_fastq_measured.tsv</w:t>
            </w:r>
          </w:p>
        </w:tc>
      </w:tr>
      <w:tr>
        <w:tc>
          <w:tcPr>
            <w:tcW w:type="dxa" w:w="4824"/>
          </w:tcPr>
          <w:p>
            <w:pPr>
              <w:spacing w:after="40"/>
            </w:pPr>
            <w:r/>
            <w:r>
              <w:rPr>
                <w:sz w:val="18"/>
              </w:rPr>
              <w:t>Q4 prioritization</w:t>
            </w:r>
          </w:p>
        </w:tc>
        <w:tc>
          <w:tcPr>
            <w:tcW w:type="dxa" w:w="4824"/>
          </w:tcPr>
          <w:p>
            <w:pPr>
              <w:spacing w:after="40"/>
            </w:pPr>
            <w:r/>
            <w:r>
              <w:rPr>
                <w:rFonts w:ascii="Consolas" w:hAnsi="Consolas"/>
                <w:color w:val="3E2A63"/>
                <w:sz w:val="18"/>
              </w:rPr>
              <w:t>R/q4_variant_prioritization.R</w:t>
            </w:r>
            <w:r>
              <w:rPr>
                <w:sz w:val="18"/>
              </w:rPr>
              <w:t xml:space="preserve"> → </w:t>
            </w:r>
            <w:r>
              <w:rPr>
                <w:rFonts w:ascii="Consolas" w:hAnsi="Consolas"/>
                <w:color w:val="3E2A63"/>
                <w:sz w:val="18"/>
              </w:rPr>
              <w:t>results/q4_shortlist.tsv</w:t>
            </w:r>
            <w:r>
              <w:rPr>
                <w:sz w:val="18"/>
              </w:rPr>
              <w:t xml:space="preserve">, </w:t>
            </w:r>
            <w:r>
              <w:rPr>
                <w:rFonts w:ascii="Consolas" w:hAnsi="Consolas"/>
                <w:color w:val="3E2A63"/>
                <w:sz w:val="18"/>
              </w:rPr>
              <w:t>q4_excluded.tsv</w:t>
            </w:r>
            <w:r>
              <w:rPr>
                <w:sz w:val="18"/>
              </w:rPr>
              <w:t xml:space="preserve">, </w:t>
            </w:r>
            <w:r>
              <w:rPr>
                <w:rFonts w:ascii="Consolas" w:hAnsi="Consolas"/>
                <w:color w:val="3E2A63"/>
                <w:sz w:val="18"/>
              </w:rPr>
              <w:t>q4_filter_audit.tsv</w:t>
            </w:r>
          </w:p>
        </w:tc>
      </w:tr>
      <w:tr>
        <w:tc>
          <w:tcPr>
            <w:tcW w:type="dxa" w:w="4824"/>
          </w:tcPr>
          <w:p>
            <w:pPr>
              <w:spacing w:after="40"/>
            </w:pPr>
            <w:r/>
            <w:r>
              <w:rPr>
                <w:sz w:val="18"/>
              </w:rPr>
              <w:t>Q4 database verification</w:t>
            </w:r>
          </w:p>
        </w:tc>
        <w:tc>
          <w:tcPr>
            <w:tcW w:type="dxa" w:w="4824"/>
          </w:tcPr>
          <w:p>
            <w:pPr>
              <w:spacing w:after="40"/>
            </w:pPr>
            <w:r/>
            <w:r>
              <w:rPr>
                <w:rFonts w:ascii="Consolas" w:hAnsi="Consolas"/>
                <w:color w:val="3E2A63"/>
                <w:sz w:val="18"/>
              </w:rPr>
              <w:t>R/q4_verify_databases.py</w:t>
            </w:r>
            <w:r>
              <w:rPr>
                <w:sz w:val="18"/>
              </w:rPr>
              <w:t xml:space="preserve"> → </w:t>
            </w:r>
            <w:r>
              <w:rPr>
                <w:rFonts w:ascii="Consolas" w:hAnsi="Consolas"/>
                <w:color w:val="3E2A63"/>
                <w:sz w:val="18"/>
              </w:rPr>
              <w:t>results/q4_verification.tsv</w:t>
            </w:r>
          </w:p>
        </w:tc>
      </w:tr>
      <w:tr>
        <w:tc>
          <w:tcPr>
            <w:tcW w:type="dxa" w:w="4824"/>
          </w:tcPr>
          <w:p>
            <w:pPr>
              <w:spacing w:after="40"/>
            </w:pPr>
            <w:r/>
            <w:r>
              <w:rPr>
                <w:sz w:val="18"/>
              </w:rPr>
              <w:t>Figures</w:t>
            </w:r>
          </w:p>
        </w:tc>
        <w:tc>
          <w:tcPr>
            <w:tcW w:type="dxa" w:w="4824"/>
          </w:tcPr>
          <w:p>
            <w:pPr>
              <w:spacing w:after="40"/>
            </w:pPr>
            <w:r/>
            <w:r>
              <w:rPr>
                <w:rFonts w:ascii="Consolas" w:hAnsi="Consolas"/>
                <w:color w:val="3E2A63"/>
                <w:sz w:val="18"/>
              </w:rPr>
              <w:t>figures/Q1_workflow.png</w:t>
            </w:r>
            <w:r>
              <w:rPr>
                <w:sz w:val="18"/>
              </w:rPr>
              <w:t xml:space="preserve">, </w:t>
            </w:r>
            <w:r>
              <w:rPr>
                <w:rFonts w:ascii="Consolas" w:hAnsi="Consolas"/>
                <w:color w:val="3E2A63"/>
                <w:sz w:val="18"/>
              </w:rPr>
              <w:t>Q2_fastqc_audit.png</w:t>
            </w:r>
            <w:r>
              <w:rPr>
                <w:sz w:val="18"/>
              </w:rPr>
              <w:t xml:space="preserve">, </w:t>
            </w:r>
            <w:r>
              <w:rPr>
                <w:rFonts w:ascii="Consolas" w:hAnsi="Consolas"/>
                <w:color w:val="3E2A63"/>
                <w:sz w:val="18"/>
              </w:rPr>
              <w:t>Q3_locus_chain.png</w:t>
            </w:r>
            <w:r>
              <w:rPr>
                <w:sz w:val="18"/>
              </w:rPr>
              <w:t xml:space="preserve">, </w:t>
            </w:r>
            <w:r>
              <w:rPr>
                <w:rFonts w:ascii="Consolas" w:hAnsi="Consolas"/>
                <w:color w:val="3E2A63"/>
                <w:sz w:val="18"/>
              </w:rPr>
              <w:t>Q4_prioritization.png</w:t>
            </w:r>
          </w:p>
        </w:tc>
      </w:tr>
      <w:tr>
        <w:tc>
          <w:tcPr>
            <w:tcW w:type="dxa" w:w="4824"/>
          </w:tcPr>
          <w:p>
            <w:pPr>
              <w:spacing w:after="40"/>
            </w:pPr>
            <w:r/>
            <w:r>
              <w:rPr>
                <w:sz w:val="18"/>
              </w:rPr>
              <w:t>Environment</w:t>
            </w:r>
          </w:p>
        </w:tc>
        <w:tc>
          <w:tcPr>
            <w:tcW w:type="dxa" w:w="4824"/>
          </w:tcPr>
          <w:p>
            <w:pPr>
              <w:spacing w:after="40"/>
            </w:pPr>
            <w:r/>
            <w:r>
              <w:rPr>
                <w:rFonts w:ascii="Consolas" w:hAnsi="Consolas"/>
                <w:color w:val="3E2A63"/>
                <w:sz w:val="18"/>
              </w:rPr>
              <w:t>results/q4_sessionInfo.txt</w:t>
            </w:r>
            <w:r>
              <w:rPr>
                <w:sz w:val="18"/>
              </w:rPr>
              <w:t xml:space="preserve"> (R 4.6.1)</w:t>
            </w:r>
          </w:p>
        </w:tc>
      </w:tr>
    </w:tbl>
    <w:p/>
    <w:p>
      <w:pPr>
        <w:pBdr>
          <w:bottom w:val="single" w:sz="6" w:color="D8D3E0"/>
        </w:pBdr>
        <w:spacing w:after="160"/>
      </w:pPr>
    </w:p>
    <w:p>
      <w:pPr>
        <w:pStyle w:val="Heading1"/>
      </w:pPr>
      <w:r>
        <w:rPr>
          <w:color w:val="3E2A63"/>
        </w:rPr>
        <w:t>Question 1 — Choose the Right Genomic Assay</w:t>
      </w:r>
    </w:p>
    <w:p>
      <w:pPr>
        <w:spacing w:before="120" w:after="160"/>
        <w:ind w:left="432"/>
        <w:pBdr>
          <w:left w:val="single" w:sz="18" w:space="6" w:color="3E2A63"/>
        </w:pBdr>
      </w:pPr>
      <w:r>
        <w:rPr>
          <w:sz w:val="21"/>
        </w:rPr>
        <w:t xml:space="preserve">Hand-written </w:t>
      </w:r>
      <w:r>
        <w:rPr>
          <w:i/>
          <w:sz w:val="21"/>
        </w:rPr>
        <w:t>Reasoning before AI</w:t>
      </w:r>
      <w:r>
        <w:rPr>
          <w:sz w:val="21"/>
        </w:rPr>
        <w:t>: see worksheet, Q1 ①②③.</w:t>
      </w:r>
    </w:p>
    <w:p>
      <w:pPr>
        <w:pStyle w:val="Heading2"/>
      </w:pPr>
      <w:r>
        <w:rPr>
          <w:color w:val="241A38"/>
        </w:rPr>
        <w:t>AI-assisted workflow</w:t>
      </w:r>
    </w:p>
    <w:p>
      <w:r>
        <w:rPr>
          <w:sz w:val="21"/>
        </w:rPr>
        <w:t>The AI was not asked to design the strategy. It was asked to **critique an ordering</w:t>
      </w:r>
    </w:p>
    <w:p>
      <w:r>
        <w:rPr>
          <w:sz w:val="21"/>
        </w:rPr>
        <w:t>principle**:</w:t>
      </w:r>
    </w:p>
    <w:p>
      <w:pPr>
        <w:spacing w:before="120" w:after="160"/>
        <w:ind w:left="432"/>
        <w:pBdr>
          <w:left w:val="single" w:sz="18" w:space="6" w:color="3E2A63"/>
        </w:pBdr>
      </w:pPr>
      <w:r>
        <w:rPr>
          <w:sz w:val="21"/>
        </w:rPr>
        <w:t>"Here is my proposed order of assays for deciding why Gene X is upregulated. Do not rewrite it. Instead: for each assay, state the physical quantity it measures, name one claim it cannot support, and tell me where my ordering lets an association masquerade as a mechanism."</w:t>
      </w:r>
    </w:p>
    <w:p>
      <w:r>
        <w:rPr>
          <w:sz w:val="21"/>
        </w:rPr>
        <w:t>Two substantive challenges came back:</w:t>
      </w:r>
    </w:p>
    <w:p>
      <w:pPr>
        <w:pStyle w:val="ListNumber"/>
      </w:pPr>
      <w:r>
        <w:rPr>
          <w:b/>
          <w:sz w:val="21"/>
        </w:rPr>
        <w:t>Ordering was throughput-driven, not evidence-driven.</w:t>
      </w:r>
      <w:r>
        <w:rPr>
          <w:sz w:val="21"/>
        </w:rPr>
        <w:t xml:space="preserve"> The AI argued for</w:t>
      </w:r>
    </w:p>
    <w:p>
      <w:r>
        <w:rPr>
          <w:sz w:val="21"/>
        </w:rPr>
        <w:t>re-ordering by evidence level — association → capacity → necessity — on the</w:t>
      </w:r>
    </w:p>
    <w:p>
      <w:r>
        <w:rPr>
          <w:sz w:val="21"/>
        </w:rPr>
        <w:t>grounds that running more association assays never upgrades the strength of a</w:t>
      </w:r>
    </w:p>
    <w:p>
      <w:r>
        <w:rPr>
          <w:sz w:val="21"/>
        </w:rPr>
        <w:t xml:space="preserve">causal claim. </w:t>
      </w:r>
      <w:r>
        <w:rPr>
          <w:rFonts w:ascii="Consolas" w:hAnsi="Consolas"/>
          <w:color w:val="3E2A63"/>
          <w:sz w:val="21"/>
        </w:rPr>
        <w:t>figures/Q1_workflow.png</w:t>
      </w:r>
      <w:r>
        <w:rPr>
          <w:sz w:val="21"/>
        </w:rPr>
        <w:t xml:space="preserve"> encodes that reframing.</w:t>
      </w:r>
    </w:p>
    <w:p>
      <w:pPr>
        <w:pStyle w:val="ListNumber"/>
      </w:pPr>
      <w:r>
        <w:rPr>
          <w:b/>
          <w:sz w:val="21"/>
        </w:rPr>
        <w:t>RNA-seq was placed as a pure readout.</w:t>
      </w:r>
      <w:r>
        <w:rPr>
          <w:sz w:val="21"/>
        </w:rPr>
        <w:t xml:space="preserve"> A bulk RNA-seq difference cannot</w:t>
      </w:r>
    </w:p>
    <w:p>
      <w:r>
        <w:rPr>
          <w:sz w:val="21"/>
        </w:rPr>
        <w:t>distinguish altered transcription from altered cell composition, so a composition</w:t>
      </w:r>
    </w:p>
    <w:p>
      <w:r>
        <w:rPr>
          <w:sz w:val="21"/>
        </w:rPr>
        <w:t>control belongs at Stage 0, before any chromatin assay is commissioned.</w:t>
      </w:r>
    </w:p>
    <w:p>
      <w:pPr>
        <w:pStyle w:val="Heading2"/>
      </w:pPr>
      <w:r>
        <w:rPr>
          <w:color w:val="241A38"/>
        </w:rPr>
        <w:t>Verification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DE9F2"/>
          </w:tcPr>
          <w:p>
            <w:pPr>
              <w:spacing w:after="40"/>
            </w:pPr>
            <w:r>
              <w:rPr>
                <w:b/>
              </w:rPr>
            </w:r>
            <w:r>
              <w:rPr>
                <w:b/>
                <w:sz w:val="18"/>
              </w:rPr>
              <w:t>Claim checked</w:t>
            </w:r>
          </w:p>
        </w:tc>
        <w:tc>
          <w:tcPr>
            <w:tcW w:type="dxa" w:w="3216"/>
            <w:shd w:val="clear" w:fill="EDE9F2"/>
          </w:tcPr>
          <w:p>
            <w:pPr>
              <w:spacing w:after="40"/>
            </w:pPr>
            <w:r>
              <w:rPr>
                <w:b/>
              </w:rPr>
            </w:r>
            <w:r>
              <w:rPr>
                <w:b/>
                <w:sz w:val="18"/>
              </w:rPr>
              <w:t>Source</w:t>
            </w:r>
          </w:p>
        </w:tc>
        <w:tc>
          <w:tcPr>
            <w:tcW w:type="dxa" w:w="3216"/>
            <w:shd w:val="clear" w:fill="EDE9F2"/>
          </w:tcPr>
          <w:p>
            <w:pPr>
              <w:spacing w:after="40"/>
            </w:pPr>
            <w:r>
              <w:rPr>
                <w:b/>
              </w:rPr>
            </w:r>
            <w:r>
              <w:rPr>
                <w:b/>
                <w:sz w:val="18"/>
              </w:rPr>
              <w:t>Outcome</w:t>
            </w:r>
          </w:p>
        </w:tc>
      </w:tr>
      <w:tr>
        <w:tc>
          <w:tcPr>
            <w:tcW w:type="dxa" w:w="3216"/>
          </w:tcPr>
          <w:p>
            <w:pPr>
              <w:spacing w:after="40"/>
            </w:pPr>
            <w:r/>
            <w:r>
              <w:rPr>
                <w:sz w:val="18"/>
              </w:rPr>
              <w:t>TP53 locus, strand and coordinates used in the worked example</w:t>
            </w:r>
          </w:p>
        </w:tc>
        <w:tc>
          <w:tcPr>
            <w:tcW w:type="dxa" w:w="3216"/>
          </w:tcPr>
          <w:p>
            <w:pPr>
              <w:spacing w:after="40"/>
            </w:pPr>
            <w:r/>
            <w:r>
              <w:rPr>
                <w:sz w:val="18"/>
              </w:rPr>
              <w:t xml:space="preserve">Ensembl REST GRCh38.p14, </w:t>
            </w:r>
            <w:r>
              <w:rPr>
                <w:rFonts w:ascii="Consolas" w:hAnsi="Consolas"/>
                <w:color w:val="3E2A63"/>
                <w:sz w:val="18"/>
              </w:rPr>
              <w:t>ENSG00000141510</w:t>
            </w:r>
            <w:r>
              <w:rPr>
                <w:sz w:val="18"/>
              </w:rPr>
              <w:t>, 17:7661779–7687546, strand −1</w:t>
            </w:r>
          </w:p>
        </w:tc>
        <w:tc>
          <w:tcPr>
            <w:tcW w:type="dxa" w:w="3216"/>
          </w:tcPr>
          <w:p>
            <w:pPr>
              <w:spacing w:after="40"/>
            </w:pPr>
            <w:r/>
            <w:r>
              <w:rPr>
                <w:sz w:val="18"/>
              </w:rPr>
              <w:t>confirmed</w:t>
            </w:r>
          </w:p>
        </w:tc>
      </w:tr>
      <w:tr>
        <w:tc>
          <w:tcPr>
            <w:tcW w:type="dxa" w:w="3216"/>
          </w:tcPr>
          <w:p>
            <w:pPr>
              <w:spacing w:after="40"/>
            </w:pPr>
            <w:r/>
            <w:r>
              <w:rPr>
                <w:sz w:val="18"/>
              </w:rPr>
              <w:t>A position can sit inside an exon yet be annotated as a splice variant</w:t>
            </w:r>
          </w:p>
        </w:tc>
        <w:tc>
          <w:tcPr>
            <w:tcW w:type="dxa" w:w="3216"/>
          </w:tcPr>
          <w:p>
            <w:pPr>
              <w:spacing w:after="40"/>
            </w:pPr>
            <w:r/>
            <w:r>
              <w:rPr>
                <w:sz w:val="18"/>
              </w:rPr>
              <w:t xml:space="preserve">Ensembl exon </w:t>
            </w:r>
            <w:r>
              <w:rPr>
                <w:rFonts w:ascii="Consolas" w:hAnsi="Consolas"/>
                <w:color w:val="3E2A63"/>
                <w:sz w:val="18"/>
              </w:rPr>
              <w:t>ENSE00003725258</w:t>
            </w:r>
            <w:r>
              <w:rPr>
                <w:sz w:val="18"/>
              </w:rPr>
              <w:t xml:space="preserve"> (17:7673701–7673837, rank 8)</w:t>
            </w:r>
          </w:p>
        </w:tc>
        <w:tc>
          <w:tcPr>
            <w:tcW w:type="dxa" w:w="3216"/>
          </w:tcPr>
          <w:p>
            <w:pPr>
              <w:spacing w:after="40"/>
            </w:pPr>
            <w:r/>
            <w:r>
              <w:rPr>
                <w:sz w:val="18"/>
              </w:rPr>
              <w:t>confirmed — see Q4</w:t>
            </w:r>
          </w:p>
        </w:tc>
      </w:tr>
      <w:tr>
        <w:tc>
          <w:tcPr>
            <w:tcW w:type="dxa" w:w="3216"/>
          </w:tcPr>
          <w:p>
            <w:pPr>
              <w:spacing w:after="40"/>
            </w:pPr>
            <w:r/>
            <w:r>
              <w:rPr>
                <w:sz w:val="18"/>
              </w:rPr>
              <w:t>Standard WGBS/EM-seq do not separate 5mC from 5hmC</w:t>
            </w:r>
          </w:p>
        </w:tc>
        <w:tc>
          <w:tcPr>
            <w:tcW w:type="dxa" w:w="3216"/>
          </w:tcPr>
          <w:p>
            <w:pPr>
              <w:spacing w:after="40"/>
            </w:pPr>
            <w:r/>
            <w:r>
              <w:rPr>
                <w:sz w:val="18"/>
              </w:rPr>
              <w:t>Week 4 reading §16</w:t>
            </w:r>
          </w:p>
        </w:tc>
        <w:tc>
          <w:tcPr>
            <w:tcW w:type="dxa" w:w="3216"/>
          </w:tcPr>
          <w:p>
            <w:pPr>
              <w:spacing w:after="40"/>
            </w:pPr>
            <w:r/>
            <w:r>
              <w:rPr>
                <w:sz w:val="18"/>
              </w:rPr>
              <w:t>confirmed; drives the caveat in the figure</w:t>
            </w:r>
          </w:p>
        </w:tc>
      </w:tr>
      <w:tr>
        <w:tc>
          <w:tcPr>
            <w:tcW w:type="dxa" w:w="3216"/>
          </w:tcPr>
          <w:p>
            <w:pPr>
              <w:spacing w:after="40"/>
            </w:pPr>
            <w:r/>
            <w:r>
              <w:rPr>
                <w:sz w:val="18"/>
              </w:rPr>
              <w:t>ENCODE cCREs are a starting annotation, not proven enhancers</w:t>
            </w:r>
          </w:p>
        </w:tc>
        <w:tc>
          <w:tcPr>
            <w:tcW w:type="dxa" w:w="3216"/>
          </w:tcPr>
          <w:p>
            <w:pPr>
              <w:spacing w:after="40"/>
            </w:pPr>
            <w:r/>
            <w:r>
              <w:rPr>
                <w:sz w:val="18"/>
              </w:rPr>
              <w:t>Week 4 reading §2</w:t>
            </w:r>
          </w:p>
        </w:tc>
        <w:tc>
          <w:tcPr>
            <w:tcW w:type="dxa" w:w="3216"/>
          </w:tcPr>
          <w:p>
            <w:pPr>
              <w:spacing w:after="40"/>
            </w:pPr>
            <w:r/>
            <w:r>
              <w:rPr>
                <w:sz w:val="18"/>
              </w:rPr>
              <w:t>confirmed; chromatin assays labelled association-level</w:t>
            </w:r>
          </w:p>
        </w:tc>
      </w:tr>
    </w:tbl>
    <w:p/>
    <w:p>
      <w:r>
        <w:rPr>
          <w:b/>
          <w:sz w:val="21"/>
        </w:rPr>
        <w:t>Revised after verification.</w:t>
      </w:r>
      <w:r>
        <w:rPr>
          <w:sz w:val="21"/>
        </w:rPr>
        <w:t xml:space="preserve"> ATAC-seq and ChIP-seq were initially treated as</w:t>
      </w:r>
    </w:p>
    <w:p>
      <w:r>
        <w:rPr>
          <w:sz w:val="21"/>
        </w:rPr>
        <w:t>interchangeable "chromatin evidence". They are not — ATAC measures transposase access,</w:t>
      </w:r>
    </w:p>
    <w:p>
      <w:r>
        <w:rPr>
          <w:sz w:val="21"/>
        </w:rPr>
        <w:t>ChIP/CUT&amp;Tag measures enrichment with an antibody-targeted protein. The figure now</w:t>
      </w:r>
    </w:p>
    <w:p>
      <w:r>
        <w:rPr>
          <w:sz w:val="21"/>
        </w:rPr>
        <w:t>states the measured quantity under each assay rather than a category name.</w:t>
      </w:r>
    </w:p>
    <w:p>
      <w:pPr>
        <w:pStyle w:val="Heading2"/>
      </w:pPr>
      <w:r>
        <w:rPr>
          <w:color w:val="241A38"/>
        </w:rPr>
        <w:t>Conclusion the AI supports</w:t>
      </w:r>
    </w:p>
    <w:p>
      <w:r>
        <w:rPr>
          <w:b/>
          <w:sz w:val="19"/>
        </w:rPr>
        <w:t>Figure 1.</w:t>
      </w:r>
      <w:r>
        <w:rPr>
          <w:sz w:val="19"/>
        </w:rPr>
        <w:t xml:space="preserve"> </w:t>
      </w:r>
      <w:r>
        <w:rPr>
          <w:rFonts w:ascii="Consolas" w:hAnsi="Consolas"/>
          <w:color w:val="3E2A63"/>
          <w:sz w:val="19"/>
        </w:rPr>
        <w:t>figures/Q1_workflow.png</w:t>
      </w:r>
    </w:p>
    <w:p>
      <w:pPr>
        <w:jc w:val="center"/>
      </w:pPr>
      <w:r>
        <w:drawing>
          <wp:inline xmlns:a="http://schemas.openxmlformats.org/drawingml/2006/main" xmlns:pic="http://schemas.openxmlformats.org/drawingml/2006/picture">
            <wp:extent cx="5852160" cy="3964366"/>
            <wp:docPr id="1" name="Picture 1"/>
            <wp:cNvGraphicFramePr>
              <a:graphicFrameLocks noChangeAspect="1"/>
            </wp:cNvGraphicFramePr>
            <a:graphic>
              <a:graphicData uri="http://schemas.openxmlformats.org/drawingml/2006/picture">
                <pic:pic>
                  <pic:nvPicPr>
                    <pic:cNvPr id="0" name="Q1_workflow.png"/>
                    <pic:cNvPicPr/>
                  </pic:nvPicPr>
                  <pic:blipFill>
                    <a:blip r:embed="rId9"/>
                    <a:stretch>
                      <a:fillRect/>
                    </a:stretch>
                  </pic:blipFill>
                  <pic:spPr>
                    <a:xfrm>
                      <a:off x="0" y="0"/>
                      <a:ext cx="5852160" cy="3964366"/>
                    </a:xfrm>
                    <a:prstGeom prst="rect"/>
                  </pic:spPr>
                </pic:pic>
              </a:graphicData>
            </a:graphic>
          </wp:inline>
        </w:drawing>
      </w:r>
    </w:p>
    <w:p>
      <w:r>
        <w:rPr>
          <w:sz w:val="21"/>
        </w:rPr>
        <w:t>Each assay measures a different physical quantity, and that is what makes them</w:t>
      </w:r>
    </w:p>
    <w:p>
      <w:r>
        <w:rPr>
          <w:sz w:val="21"/>
        </w:rPr>
        <w:t>complementary rather than redundant. WGS/WES measures DNA sequence variation; it</w:t>
      </w:r>
    </w:p>
    <w:p>
      <w:r>
        <w:rPr>
          <w:sz w:val="21"/>
        </w:rPr>
        <w:t>cannot show whether a variant is used in the relevant cell type. CAGE/RAMPAGE measures</w:t>
      </w:r>
    </w:p>
    <w:p>
      <w:r>
        <w:rPr>
          <w:sz w:val="21"/>
        </w:rPr>
        <w:t>capped 5′ ends and therefore locates the transcription start site actually used;</w:t>
      </w:r>
    </w:p>
    <w:p>
      <w:r>
        <w:rPr>
          <w:sz w:val="21"/>
        </w:rPr>
        <w:t>ordinary RNA-seq measures abundance and often cannot resolve initiation. ATAC-seq</w:t>
      </w:r>
    </w:p>
    <w:p>
      <w:r>
        <w:rPr>
          <w:sz w:val="21"/>
        </w:rPr>
        <w:t>measures transposase access — accessibility, not occupancy, and not the identity of</w:t>
      </w:r>
    </w:p>
    <w:p>
      <w:r>
        <w:rPr>
          <w:sz w:val="21"/>
        </w:rPr>
        <w:t>any bound factor. ChIP-seq, CUT&amp;RUN and CUT&amp;Tag measure enrichment with an</w:t>
      </w:r>
    </w:p>
    <w:p>
      <w:r>
        <w:rPr>
          <w:sz w:val="21"/>
        </w:rPr>
        <w:t>antibody-targeted protein or mark; a sharp peak cannot compensate for a poorly</w:t>
      </w:r>
    </w:p>
    <w:p>
      <w:r>
        <w:rPr>
          <w:sz w:val="21"/>
        </w:rPr>
        <w:t>validated antibody, and enrichment is not proof of direct, base-specific binding.</w:t>
      </w:r>
    </w:p>
    <w:p>
      <w:r>
        <w:rPr>
          <w:sz w:val="21"/>
        </w:rPr>
        <w:t>WGBS and EM-seq measure protected cytosines and, in standard form, report 5mC and</w:t>
      </w:r>
    </w:p>
    <w:p>
      <w:r>
        <w:rPr>
          <w:sz w:val="21"/>
        </w:rPr>
        <w:t>5hmC together. Hi-C and Micro-C measure contact frequency; proximity is not</w:t>
      </w:r>
    </w:p>
    <w:p>
      <w:r>
        <w:rPr>
          <w:sz w:val="21"/>
        </w:rPr>
        <w:t>regulation. MPRA and STARR-seq measure the capacity of a sequence inside a construct,</w:t>
      </w:r>
    </w:p>
    <w:p>
      <w:r>
        <w:rPr>
          <w:sz w:val="21"/>
        </w:rPr>
        <w:t>not necessity at the native locus. Only endogenous perturbation — CRISPRi, deletion,</w:t>
      </w:r>
    </w:p>
    <w:p>
      <w:r>
        <w:rPr>
          <w:sz w:val="21"/>
        </w:rPr>
        <w:t>or allele editing — tests necessity. The assays form a ladder: association, then</w:t>
      </w:r>
    </w:p>
    <w:p>
      <w:r>
        <w:rPr>
          <w:sz w:val="21"/>
        </w:rPr>
        <w:t>capacity, then necessity. Adding a further association assay never substitutes for</w:t>
      </w:r>
    </w:p>
    <w:p>
      <w:r>
        <w:rPr>
          <w:sz w:val="21"/>
        </w:rPr>
        <w:t>the rung above it.</w:t>
      </w:r>
    </w:p>
    <w:p>
      <w:pPr>
        <w:spacing w:before="120" w:after="160"/>
        <w:ind w:left="432"/>
        <w:pBdr>
          <w:left w:val="single" w:sz="18" w:space="6" w:color="3E2A63"/>
        </w:pBdr>
      </w:pPr>
      <w:r>
        <w:rPr>
          <w:b/>
          <w:sz w:val="21"/>
        </w:rPr>
        <w:t>The biological question chooses the assay because</w:t>
      </w:r>
      <w:r>
        <w:rPr>
          <w:sz w:val="21"/>
        </w:rPr>
        <w:t xml:space="preserve"> each assay measures a distinct physical quantity, and only the assay whose measured quantity matches the proposed mechanism can discriminate that mechanism from its alternatives.</w:t>
      </w:r>
    </w:p>
    <w:p>
      <w:pPr>
        <w:pBdr>
          <w:bottom w:val="single" w:sz="6" w:color="D8D3E0"/>
        </w:pBdr>
        <w:spacing w:after="160"/>
      </w:pPr>
    </w:p>
    <w:p>
      <w:pPr>
        <w:pStyle w:val="Heading1"/>
      </w:pPr>
      <w:r>
        <w:rPr>
          <w:color w:val="3E2A63"/>
        </w:rPr>
        <w:t>Question 2 — From FASTQ to a Trustworthy Analysis Workflow</w:t>
      </w:r>
    </w:p>
    <w:p>
      <w:pPr>
        <w:spacing w:before="120" w:after="160"/>
        <w:ind w:left="432"/>
        <w:pBdr>
          <w:left w:val="single" w:sz="18" w:space="6" w:color="3E2A63"/>
        </w:pBdr>
      </w:pPr>
      <w:r>
        <w:rPr>
          <w:sz w:val="21"/>
        </w:rPr>
        <w:t xml:space="preserve">Hand-written </w:t>
      </w:r>
      <w:r>
        <w:rPr>
          <w:i/>
          <w:sz w:val="21"/>
        </w:rPr>
        <w:t>Reasoning before AI</w:t>
      </w:r>
      <w:r>
        <w:rPr>
          <w:sz w:val="21"/>
        </w:rPr>
        <w:t>: see worksheet, Q2 ①②.</w:t>
      </w:r>
    </w:p>
    <w:p>
      <w:pPr>
        <w:pStyle w:val="Heading2"/>
      </w:pPr>
      <w:r>
        <w:rPr>
          <w:color w:val="241A38"/>
        </w:rPr>
        <w:t>AI-assisted workflow</w:t>
      </w:r>
    </w:p>
    <w:p>
      <w:r>
        <w:rPr>
          <w:sz w:val="21"/>
        </w:rPr>
        <w:t xml:space="preserve">A </w:t>
      </w:r>
      <w:r>
        <w:rPr>
          <w:b/>
          <w:sz w:val="21"/>
        </w:rPr>
        <w:t>plan-first</w:t>
      </w:r>
      <w:r>
        <w:rPr>
          <w:sz w:val="21"/>
        </w:rPr>
        <w:t xml:space="preserve"> prompt, as the assignment requires:</w:t>
      </w:r>
    </w:p>
    <w:p>
      <w:pPr>
        <w:spacing w:before="120" w:after="160"/>
        <w:ind w:left="432"/>
        <w:pBdr>
          <w:left w:val="single" w:sz="18" w:space="6" w:color="3E2A63"/>
        </w:pBdr>
      </w:pPr>
      <w:r>
        <w:rPr>
          <w:sz w:val="21"/>
        </w:rPr>
        <w:t>"Before writing any code: list your assumptions about this library, state which FastQC modules you will interpret and what each one can and cannot tell me, and give me a verification checklist. Do not produce commands until I approve the plan. Context: paired-end human WGS, S01, 80 bp reads, GRCh38 not yet confirmed."</w:t>
      </w:r>
    </w:p>
    <w:p>
      <w:r>
        <w:rPr>
          <w:sz w:val="21"/>
        </w:rPr>
        <w:t>Two things came out of the plan stage that changed the work:</w:t>
      </w:r>
    </w:p>
    <w:p>
      <w:pPr>
        <w:pStyle w:val="ListNumber"/>
      </w:pPr>
      <w:r>
        <w:rPr>
          <w:sz w:val="21"/>
        </w:rPr>
        <w:t xml:space="preserve">The AI proposed simply reading the supplied </w:t>
      </w:r>
      <w:r>
        <w:rPr>
          <w:rFonts w:ascii="Consolas" w:hAnsi="Consolas"/>
          <w:color w:val="3E2A63"/>
          <w:sz w:val="21"/>
        </w:rPr>
        <w:t>fastqc_snapshot.tsv</w:t>
      </w:r>
      <w:r>
        <w:rPr>
          <w:sz w:val="21"/>
        </w:rPr>
        <w:t>. This was</w:t>
      </w:r>
    </w:p>
    <w:p>
      <w:r>
        <w:rPr>
          <w:sz w:val="21"/>
        </w:rPr>
        <w:t>rejected — a precomputed summary is a claim, not a measurement — and it was</w:t>
      </w:r>
    </w:p>
    <w:p>
      <w:r>
        <w:rPr>
          <w:sz w:val="21"/>
        </w:rPr>
        <w:t xml:space="preserve">instead made to write </w:t>
      </w:r>
      <w:r>
        <w:rPr>
          <w:rFonts w:ascii="Consolas" w:hAnsi="Consolas"/>
          <w:color w:val="3E2A63"/>
          <w:sz w:val="21"/>
        </w:rPr>
        <w:t>R/q2_fastq_audit.py</w:t>
      </w:r>
      <w:r>
        <w:rPr>
          <w:sz w:val="21"/>
        </w:rPr>
        <w:t>, which measures the same quantities</w:t>
      </w:r>
    </w:p>
    <w:p>
      <w:r>
        <w:rPr>
          <w:sz w:val="21"/>
        </w:rPr>
        <w:t xml:space="preserve">directly from </w:t>
      </w:r>
      <w:r>
        <w:rPr>
          <w:rFonts w:ascii="Consolas" w:hAnsi="Consolas"/>
          <w:color w:val="3E2A63"/>
          <w:sz w:val="21"/>
        </w:rPr>
        <w:t>S01_CTRL_WGS_R1/R2.fastq.gz</w:t>
      </w:r>
      <w:r>
        <w:rPr>
          <w:sz w:val="21"/>
        </w:rPr>
        <w:t>.</w:t>
      </w:r>
    </w:p>
    <w:p>
      <w:pPr>
        <w:pStyle w:val="ListNumber"/>
      </w:pPr>
      <w:r>
        <w:rPr>
          <w:sz w:val="21"/>
        </w:rPr>
        <w:t xml:space="preserve">The AI's first audit reported the per-cycle </w:t>
      </w:r>
      <w:r>
        <w:rPr>
          <w:b/>
          <w:sz w:val="21"/>
        </w:rPr>
        <w:t>aggregate</w:t>
      </w:r>
      <w:r>
        <w:rPr>
          <w:sz w:val="21"/>
        </w:rPr>
        <w:t xml:space="preserve"> median quality. That</w:t>
      </w:r>
    </w:p>
    <w:p>
      <w:r>
        <w:rPr>
          <w:sz w:val="21"/>
        </w:rPr>
        <w:t>turned out to be the wrong statistic (below).</w:t>
      </w:r>
    </w:p>
    <w:p>
      <w:pPr>
        <w:pStyle w:val="Heading2"/>
      </w:pPr>
      <w:r>
        <w:rPr>
          <w:color w:val="241A38"/>
        </w:rPr>
        <w:t>Verification</w:t>
      </w:r>
    </w:p>
    <w:p>
      <w:r>
        <w:rPr>
          <w:sz w:val="21"/>
        </w:rPr>
        <w:t xml:space="preserve">Every FastQC claim was re-measured from the FASTQ. </w:t>
      </w:r>
      <w:r>
        <w:rPr>
          <w:rFonts w:ascii="Consolas" w:hAnsi="Consolas"/>
          <w:color w:val="3E2A63"/>
          <w:sz w:val="21"/>
        </w:rPr>
        <w:t>read_fastq()</w:t>
      </w:r>
      <w:r>
        <w:rPr>
          <w:sz w:val="21"/>
        </w:rPr>
        <w:t xml:space="preserve"> asserts the 4-line</w:t>
      </w:r>
    </w:p>
    <w:p>
      <w:r>
        <w:rPr>
          <w:sz w:val="21"/>
        </w:rPr>
        <w:t>record structure and that sequence and quality strings match in length, so a</w:t>
      </w:r>
    </w:p>
    <w:p>
      <w:r>
        <w:rPr>
          <w:sz w:val="21"/>
        </w:rPr>
        <w:t>malformed file fails loudly.</w:t>
      </w:r>
    </w:p>
    <w:p>
      <w:r>
        <w:rPr>
          <w:b/>
          <w:sz w:val="21"/>
        </w:rPr>
        <w:t>Seven FastQC modules interpreted (≥4 required):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EDE9F2"/>
          </w:tcPr>
          <w:p>
            <w:pPr>
              <w:spacing w:after="40"/>
            </w:pPr>
            <w:r>
              <w:rPr>
                <w:b/>
              </w:rPr>
            </w:r>
            <w:r>
              <w:rPr>
                <w:b/>
                <w:sz w:val="18"/>
              </w:rPr>
              <w:t>Metric</w:t>
            </w:r>
          </w:p>
        </w:tc>
        <w:tc>
          <w:tcPr>
            <w:tcW w:type="dxa" w:w="2412"/>
            <w:shd w:val="clear" w:fill="EDE9F2"/>
          </w:tcPr>
          <w:p>
            <w:pPr>
              <w:spacing w:after="40"/>
            </w:pPr>
            <w:r>
              <w:rPr>
                <w:b/>
              </w:rPr>
            </w:r>
            <w:r>
              <w:rPr>
                <w:b/>
                <w:sz w:val="18"/>
              </w:rPr>
              <w:t>What was looked for</w:t>
            </w:r>
          </w:p>
        </w:tc>
        <w:tc>
          <w:tcPr>
            <w:tcW w:type="dxa" w:w="2412"/>
            <w:shd w:val="clear" w:fill="EDE9F2"/>
          </w:tcPr>
          <w:p>
            <w:pPr>
              <w:spacing w:after="40"/>
            </w:pPr>
            <w:r>
              <w:rPr>
                <w:b/>
              </w:rPr>
            </w:r>
            <w:r>
              <w:rPr>
                <w:b/>
                <w:sz w:val="18"/>
              </w:rPr>
              <w:t>Measured from the FASTQ</w:t>
            </w:r>
          </w:p>
        </w:tc>
        <w:tc>
          <w:tcPr>
            <w:tcW w:type="dxa" w:w="2412"/>
            <w:shd w:val="clear" w:fill="EDE9F2"/>
          </w:tcPr>
          <w:p>
            <w:pPr>
              <w:spacing w:after="40"/>
            </w:pPr>
            <w:r>
              <w:rPr>
                <w:b/>
              </w:rPr>
            </w:r>
            <w:r>
              <w:rPr>
                <w:b/>
                <w:sz w:val="18"/>
              </w:rPr>
              <w:t>Interpretation</w:t>
            </w:r>
          </w:p>
        </w:tc>
      </w:tr>
      <w:tr>
        <w:tc>
          <w:tcPr>
            <w:tcW w:type="dxa" w:w="2412"/>
          </w:tcPr>
          <w:p>
            <w:pPr>
              <w:spacing w:after="40"/>
            </w:pPr>
            <w:r/>
            <w:r>
              <w:rPr>
                <w:b/>
                <w:sz w:val="18"/>
              </w:rPr>
              <w:t>Adapter content</w:t>
            </w:r>
          </w:p>
        </w:tc>
        <w:tc>
          <w:tcPr>
            <w:tcW w:type="dxa" w:w="2412"/>
          </w:tcPr>
          <w:p>
            <w:pPr>
              <w:spacing w:after="40"/>
            </w:pPr>
            <w:r/>
            <w:r>
              <w:rPr>
                <w:sz w:val="18"/>
              </w:rPr>
              <w:t xml:space="preserve">Illumina </w:t>
            </w:r>
            <w:r>
              <w:rPr>
                <w:rFonts w:ascii="Consolas" w:hAnsi="Consolas"/>
                <w:color w:val="3E2A63"/>
                <w:sz w:val="18"/>
              </w:rPr>
              <w:t>AGATCGGAAGAGC</w:t>
            </w:r>
            <w:r>
              <w:rPr>
                <w:sz w:val="18"/>
              </w:rPr>
              <w:t xml:space="preserve"> at 3′</w:t>
            </w:r>
          </w:p>
        </w:tc>
        <w:tc>
          <w:tcPr>
            <w:tcW w:type="dxa" w:w="2412"/>
          </w:tcPr>
          <w:p>
            <w:pPr>
              <w:spacing w:after="40"/>
            </w:pPr>
            <w:r/>
            <w:r>
              <w:rPr>
                <w:b/>
                <w:sz w:val="18"/>
              </w:rPr>
              <w:t>18/120 reads = 15.0%</w:t>
            </w:r>
          </w:p>
        </w:tc>
        <w:tc>
          <w:tcPr>
            <w:tcW w:type="dxa" w:w="2412"/>
          </w:tcPr>
          <w:p>
            <w:pPr>
              <w:spacing w:after="40"/>
            </w:pPr>
            <w:r/>
            <w:r>
              <w:rPr>
                <w:sz w:val="18"/>
              </w:rPr>
              <w:t>FAIL. Adapter read-through; trim before alignment or the 3′ bases will mismap.</w:t>
            </w:r>
          </w:p>
        </w:tc>
      </w:tr>
      <w:tr>
        <w:tc>
          <w:tcPr>
            <w:tcW w:type="dxa" w:w="2412"/>
          </w:tcPr>
          <w:p>
            <w:pPr>
              <w:spacing w:after="40"/>
            </w:pPr>
            <w:r/>
            <w:r>
              <w:rPr>
                <w:b/>
                <w:sz w:val="18"/>
              </w:rPr>
              <w:t>Per-base quality</w:t>
            </w:r>
          </w:p>
        </w:tc>
        <w:tc>
          <w:tcPr>
            <w:tcW w:type="dxa" w:w="2412"/>
          </w:tcPr>
          <w:p>
            <w:pPr>
              <w:spacing w:after="40"/>
            </w:pPr>
            <w:r/>
            <w:r>
              <w:rPr>
                <w:sz w:val="18"/>
              </w:rPr>
              <w:t>3′ decay after cycle 50</w:t>
            </w:r>
          </w:p>
        </w:tc>
        <w:tc>
          <w:tcPr>
            <w:tcW w:type="dxa" w:w="2412"/>
          </w:tcPr>
          <w:p>
            <w:pPr>
              <w:spacing w:after="40"/>
            </w:pPr>
            <w:r/>
            <w:r>
              <w:rPr>
                <w:sz w:val="18"/>
              </w:rPr>
              <w:t xml:space="preserve">aggregate median stays </w:t>
            </w:r>
            <w:r>
              <w:rPr>
                <w:b/>
                <w:sz w:val="18"/>
              </w:rPr>
              <w:t>Q31</w:t>
            </w:r>
            <w:r>
              <w:rPr>
                <w:sz w:val="18"/>
              </w:rPr>
              <w:t xml:space="preserve">; but </w:t>
            </w:r>
            <w:r>
              <w:rPr>
                <w:b/>
                <w:sz w:val="18"/>
              </w:rPr>
              <w:t>18/120 reads (15.0%)</w:t>
            </w:r>
            <w:r>
              <w:rPr>
                <w:sz w:val="18"/>
              </w:rPr>
              <w:t xml:space="preserve"> have 3′-half median </w:t>
            </w:r>
            <w:r>
              <w:rPr>
                <w:b/>
                <w:sz w:val="18"/>
              </w:rPr>
              <w:t>Q12</w:t>
            </w:r>
          </w:p>
        </w:tc>
        <w:tc>
          <w:tcPr>
            <w:tcW w:type="dxa" w:w="2412"/>
          </w:tcPr>
          <w:p>
            <w:pPr>
              <w:spacing w:after="40"/>
            </w:pPr>
            <w:r/>
            <w:r>
              <w:rPr>
                <w:sz w:val="18"/>
              </w:rPr>
              <w:t>WARN. The aggregate hides the failure — see below.</w:t>
            </w:r>
          </w:p>
        </w:tc>
      </w:tr>
      <w:tr>
        <w:tc>
          <w:tcPr>
            <w:tcW w:type="dxa" w:w="2412"/>
          </w:tcPr>
          <w:p>
            <w:pPr>
              <w:spacing w:after="40"/>
            </w:pPr>
            <w:r/>
            <w:r>
              <w:rPr>
                <w:b/>
                <w:sz w:val="18"/>
              </w:rPr>
              <w:t>Per-sequence GC</w:t>
            </w:r>
          </w:p>
        </w:tc>
        <w:tc>
          <w:tcPr>
            <w:tcW w:type="dxa" w:w="2412"/>
          </w:tcPr>
          <w:p>
            <w:pPr>
              <w:spacing w:after="40"/>
            </w:pPr>
            <w:r/>
            <w:r>
              <w:rPr>
                <w:sz w:val="18"/>
              </w:rPr>
              <w:t>deviation from a unimodal ~41%</w:t>
            </w:r>
          </w:p>
        </w:tc>
        <w:tc>
          <w:tcPr>
            <w:tcW w:type="dxa" w:w="2412"/>
          </w:tcPr>
          <w:p>
            <w:pPr>
              <w:spacing w:after="40"/>
            </w:pPr>
            <w:r/>
            <w:r>
              <w:rPr>
                <w:sz w:val="18"/>
              </w:rPr>
              <w:t xml:space="preserve">mean </w:t>
            </w:r>
            <w:r>
              <w:rPr>
                <w:b/>
                <w:sz w:val="18"/>
              </w:rPr>
              <w:t>42.8%</w:t>
            </w:r>
            <w:r>
              <w:rPr>
                <w:sz w:val="18"/>
              </w:rPr>
              <w:t xml:space="preserve">; </w:t>
            </w:r>
            <w:r>
              <w:rPr>
                <w:b/>
                <w:sz w:val="18"/>
              </w:rPr>
              <w:t>12/120 reads (10.0%)</w:t>
            </w:r>
            <w:r>
              <w:rPr>
                <w:sz w:val="18"/>
              </w:rPr>
              <w:t xml:space="preserve"> above 65% GC</w:t>
            </w:r>
          </w:p>
        </w:tc>
        <w:tc>
          <w:tcPr>
            <w:tcW w:type="dxa" w:w="2412"/>
          </w:tcPr>
          <w:p>
            <w:pPr>
              <w:spacing w:after="40"/>
            </w:pPr>
            <w:r/>
            <w:r>
              <w:rPr>
                <w:sz w:val="18"/>
              </w:rPr>
              <w:t>WARN. Bimodal; a high-GC subpopulation is present.</w:t>
            </w:r>
          </w:p>
        </w:tc>
      </w:tr>
      <w:tr>
        <w:tc>
          <w:tcPr>
            <w:tcW w:type="dxa" w:w="2412"/>
          </w:tcPr>
          <w:p>
            <w:pPr>
              <w:spacing w:after="40"/>
            </w:pPr>
            <w:r/>
            <w:r>
              <w:rPr>
                <w:b/>
                <w:sz w:val="18"/>
              </w:rPr>
              <w:t>Duplication</w:t>
            </w:r>
          </w:p>
        </w:tc>
        <w:tc>
          <w:tcPr>
            <w:tcW w:type="dxa" w:w="2412"/>
          </w:tcPr>
          <w:p>
            <w:pPr>
              <w:spacing w:after="40"/>
            </w:pPr>
            <w:r/>
            <w:r>
              <w:rPr>
                <w:sz w:val="18"/>
              </w:rPr>
              <w:t>non-unique templates</w:t>
            </w:r>
          </w:p>
        </w:tc>
        <w:tc>
          <w:tcPr>
            <w:tcW w:type="dxa" w:w="2412"/>
          </w:tcPr>
          <w:p>
            <w:pPr>
              <w:spacing w:after="40"/>
            </w:pPr>
            <w:r/>
            <w:r>
              <w:rPr>
                <w:b/>
                <w:sz w:val="18"/>
              </w:rPr>
              <w:t>36/120 reads (30.0%)</w:t>
            </w:r>
            <w:r>
              <w:rPr>
                <w:sz w:val="18"/>
              </w:rPr>
              <w:t xml:space="preserve"> non-unique; commonest template </w:t>
            </w:r>
            <w:r>
              <w:rPr>
                <w:b/>
                <w:sz w:val="18"/>
              </w:rPr>
              <w:t>18/120 (15.0%)</w:t>
            </w:r>
          </w:p>
        </w:tc>
        <w:tc>
          <w:tcPr>
            <w:tcW w:type="dxa" w:w="2412"/>
          </w:tcPr>
          <w:p>
            <w:pPr>
              <w:spacing w:after="40"/>
            </w:pPr>
            <w:r/>
            <w:r>
              <w:rPr>
                <w:sz w:val="18"/>
              </w:rPr>
              <w:t>WARN. For WGS, mark — do not remove — after alignment.</w:t>
            </w:r>
          </w:p>
        </w:tc>
      </w:tr>
      <w:tr>
        <w:tc>
          <w:tcPr>
            <w:tcW w:type="dxa" w:w="2412"/>
          </w:tcPr>
          <w:p>
            <w:pPr>
              <w:spacing w:after="40"/>
            </w:pPr>
            <w:r/>
            <w:r>
              <w:rPr>
                <w:b/>
                <w:sz w:val="18"/>
              </w:rPr>
              <w:t>Overrepresented sequences</w:t>
            </w:r>
          </w:p>
        </w:tc>
        <w:tc>
          <w:tcPr>
            <w:tcW w:type="dxa" w:w="2412"/>
          </w:tcPr>
          <w:p>
            <w:pPr>
              <w:spacing w:after="40"/>
            </w:pPr>
            <w:r/>
            <w:r>
              <w:rPr>
                <w:sz w:val="18"/>
              </w:rPr>
              <w:t>top k-mers</w:t>
            </w:r>
          </w:p>
        </w:tc>
        <w:tc>
          <w:tcPr>
            <w:tcW w:type="dxa" w:w="2412"/>
          </w:tcPr>
          <w:p>
            <w:pPr>
              <w:spacing w:after="40"/>
            </w:pPr>
            <w:r/>
            <w:r>
              <w:rPr>
                <w:sz w:val="18"/>
              </w:rPr>
              <w:t>commonest template appears 18×, adapter is the shared motif</w:t>
            </w:r>
          </w:p>
        </w:tc>
        <w:tc>
          <w:tcPr>
            <w:tcW w:type="dxa" w:w="2412"/>
          </w:tcPr>
          <w:p>
            <w:pPr>
              <w:spacing w:after="40"/>
            </w:pPr>
            <w:r/>
            <w:r>
              <w:rPr>
                <w:sz w:val="18"/>
              </w:rPr>
              <w:t>consistent with the adapter FAIL; same root cause, not a second problem.</w:t>
            </w:r>
          </w:p>
        </w:tc>
      </w:tr>
      <w:tr>
        <w:tc>
          <w:tcPr>
            <w:tcW w:type="dxa" w:w="2412"/>
          </w:tcPr>
          <w:p>
            <w:pPr>
              <w:spacing w:after="40"/>
            </w:pPr>
            <w:r/>
            <w:r>
              <w:rPr>
                <w:b/>
                <w:sz w:val="18"/>
              </w:rPr>
              <w:t>Per-base N content</w:t>
            </w:r>
          </w:p>
        </w:tc>
        <w:tc>
          <w:tcPr>
            <w:tcW w:type="dxa" w:w="2412"/>
          </w:tcPr>
          <w:p>
            <w:pPr>
              <w:spacing w:after="40"/>
            </w:pPr>
            <w:r/>
            <w:r>
              <w:rPr>
                <w:sz w:val="18"/>
              </w:rPr>
              <w:t>basecalling failure</w:t>
            </w:r>
          </w:p>
        </w:tc>
        <w:tc>
          <w:tcPr>
            <w:tcW w:type="dxa" w:w="2412"/>
          </w:tcPr>
          <w:p>
            <w:pPr>
              <w:spacing w:after="40"/>
            </w:pPr>
            <w:r/>
            <w:r>
              <w:rPr>
                <w:b/>
                <w:sz w:val="18"/>
              </w:rPr>
              <w:t>0 N bases</w:t>
            </w:r>
          </w:p>
        </w:tc>
        <w:tc>
          <w:tcPr>
            <w:tcW w:type="dxa" w:w="2412"/>
          </w:tcPr>
          <w:p>
            <w:pPr>
              <w:spacing w:after="40"/>
            </w:pPr>
            <w:r/>
            <w:r>
              <w:rPr>
                <w:sz w:val="18"/>
              </w:rPr>
              <w:t>PASS.</w:t>
            </w:r>
          </w:p>
        </w:tc>
      </w:tr>
      <w:tr>
        <w:tc>
          <w:tcPr>
            <w:tcW w:type="dxa" w:w="2412"/>
          </w:tcPr>
          <w:p>
            <w:pPr>
              <w:spacing w:after="40"/>
            </w:pPr>
            <w:r/>
            <w:r>
              <w:rPr>
                <w:b/>
                <w:sz w:val="18"/>
              </w:rPr>
              <w:t>Length distribution</w:t>
            </w:r>
          </w:p>
        </w:tc>
        <w:tc>
          <w:tcPr>
            <w:tcW w:type="dxa" w:w="2412"/>
          </w:tcPr>
          <w:p>
            <w:pPr>
              <w:spacing w:after="40"/>
            </w:pPr>
            <w:r/>
            <w:r>
              <w:rPr>
                <w:sz w:val="18"/>
              </w:rPr>
              <w:t>trim/config artefacts</w:t>
            </w:r>
          </w:p>
        </w:tc>
        <w:tc>
          <w:tcPr>
            <w:tcW w:type="dxa" w:w="2412"/>
          </w:tcPr>
          <w:p>
            <w:pPr>
              <w:spacing w:after="40"/>
            </w:pPr>
            <w:r/>
            <w:r>
              <w:rPr>
                <w:sz w:val="18"/>
              </w:rPr>
              <w:t xml:space="preserve">all reads exactly </w:t>
            </w:r>
            <w:r>
              <w:rPr>
                <w:b/>
                <w:sz w:val="18"/>
              </w:rPr>
              <w:t>80 bp</w:t>
            </w:r>
          </w:p>
        </w:tc>
        <w:tc>
          <w:tcPr>
            <w:tcW w:type="dxa" w:w="2412"/>
          </w:tcPr>
          <w:p>
            <w:pPr>
              <w:spacing w:after="40"/>
            </w:pPr>
            <w:r/>
            <w:r>
              <w:rPr>
                <w:sz w:val="18"/>
              </w:rPr>
              <w:t>PASS.</w:t>
            </w:r>
          </w:p>
        </w:tc>
      </w:tr>
    </w:tbl>
    <w:p/>
    <w:p>
      <w:r>
        <w:rPr>
          <w:b/>
          <w:sz w:val="21"/>
        </w:rPr>
        <w:t>The substantive correction.</w:t>
      </w:r>
      <w:r>
        <w:rPr>
          <w:sz w:val="21"/>
        </w:rPr>
        <w:t xml:space="preserve"> The first measurement contradicted the supplied</w:t>
      </w:r>
    </w:p>
    <w:p>
      <w:r>
        <w:rPr>
          <w:sz w:val="21"/>
        </w:rPr>
        <w:t>snapshot: the snapshot claims a 3′ median of ~Q12; the aggregate measured Q31. The</w:t>
      </w:r>
    </w:p>
    <w:p>
      <w:r>
        <w:rPr>
          <w:sz w:val="21"/>
        </w:rPr>
        <w:t>snapshot was nearly recorded as wrong. But the snapshot qualifies its claim as</w:t>
      </w:r>
    </w:p>
    <w:p>
      <w:r>
        <w:rPr>
          <w:sz w:val="21"/>
        </w:rPr>
        <w:t xml:space="preserve">affecting </w:t>
      </w:r>
      <w:r>
        <w:rPr>
          <w:i/>
          <w:sz w:val="21"/>
        </w:rPr>
        <w:t>~15% of R1</w:t>
      </w:r>
      <w:r>
        <w:rPr>
          <w:sz w:val="21"/>
        </w:rPr>
        <w:t>, and an aggregate per-cycle median is the wrong statistic for a</w:t>
      </w:r>
    </w:p>
    <w:p>
      <w:r>
        <w:rPr>
          <w:sz w:val="21"/>
        </w:rPr>
        <w:t>claim about a subpopulation — 85% healthy reads hold the median up. Re-measured per</w:t>
      </w:r>
    </w:p>
    <w:p>
      <w:r>
        <w:rPr>
          <w:sz w:val="21"/>
        </w:rPr>
        <w:t xml:space="preserve">read, exactly </w:t>
      </w:r>
      <w:r>
        <w:rPr>
          <w:b/>
          <w:sz w:val="21"/>
        </w:rPr>
        <w:t>18/120 reads (15.0%)</w:t>
      </w:r>
      <w:r>
        <w:rPr>
          <w:sz w:val="21"/>
        </w:rPr>
        <w:t xml:space="preserve"> have a 3′-half median of </w:t>
      </w:r>
      <w:r>
        <w:rPr>
          <w:b/>
          <w:sz w:val="21"/>
        </w:rPr>
        <w:t>Q12</w:t>
      </w:r>
      <w:r>
        <w:rPr>
          <w:sz w:val="21"/>
        </w:rPr>
        <w:t>. The snapshot</w:t>
      </w:r>
    </w:p>
    <w:p>
      <w:r>
        <w:rPr>
          <w:sz w:val="21"/>
        </w:rPr>
        <w:t xml:space="preserve">was right; the statistic was wrong. The left panel of </w:t>
      </w:r>
      <w:r>
        <w:rPr>
          <w:rFonts w:ascii="Consolas" w:hAnsi="Consolas"/>
          <w:color w:val="3E2A63"/>
          <w:sz w:val="21"/>
        </w:rPr>
        <w:t>figures/Q2_fastqc_audit.png</w:t>
      </w:r>
    </w:p>
    <w:p>
      <w:r>
        <w:rPr>
          <w:sz w:val="21"/>
        </w:rPr>
        <w:t>plots all three curves together so the masking is visible.</w:t>
      </w:r>
    </w:p>
    <w:p>
      <w:r>
        <w:rPr>
          <w:sz w:val="21"/>
        </w:rPr>
        <w:t>This is the failure mode the course reading flags elsewhere: a bulk methylation</w:t>
      </w:r>
    </w:p>
    <w:p>
      <w:r>
        <w:rPr>
          <w:sz w:val="21"/>
        </w:rPr>
        <w:t>fraction of 0.5 is compatible with several different cell mixtures. An aggregate can</w:t>
      </w:r>
    </w:p>
    <w:p>
      <w:r>
        <w:rPr>
          <w:sz w:val="21"/>
        </w:rPr>
        <w:t>be accurate and still answer a different question from the one being asked.</w:t>
      </w:r>
    </w:p>
    <w:p>
      <w:r>
        <w:rPr>
          <w:b/>
          <w:sz w:val="21"/>
        </w:rPr>
        <w:t>AI-audit table: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DE9F2"/>
          </w:tcPr>
          <w:p>
            <w:pPr>
              <w:spacing w:after="40"/>
            </w:pPr>
            <w:r>
              <w:rPr>
                <w:b/>
              </w:rPr>
            </w:r>
            <w:r>
              <w:rPr>
                <w:b/>
                <w:sz w:val="18"/>
              </w:rPr>
              <w:t>AI recommendation</w:t>
            </w:r>
          </w:p>
        </w:tc>
        <w:tc>
          <w:tcPr>
            <w:tcW w:type="dxa" w:w="3216"/>
            <w:shd w:val="clear" w:fill="EDE9F2"/>
          </w:tcPr>
          <w:p>
            <w:pPr>
              <w:spacing w:after="40"/>
            </w:pPr>
            <w:r>
              <w:rPr>
                <w:b/>
              </w:rPr>
            </w:r>
            <w:r>
              <w:rPr>
                <w:b/>
                <w:sz w:val="18"/>
              </w:rPr>
              <w:t>Verification</w:t>
            </w:r>
          </w:p>
        </w:tc>
        <w:tc>
          <w:tcPr>
            <w:tcW w:type="dxa" w:w="3216"/>
            <w:shd w:val="clear" w:fill="EDE9F2"/>
          </w:tcPr>
          <w:p>
            <w:pPr>
              <w:spacing w:after="40"/>
            </w:pPr>
            <w:r>
              <w:rPr>
                <w:b/>
              </w:rPr>
            </w:r>
            <w:r>
              <w:rPr>
                <w:b/>
                <w:sz w:val="18"/>
              </w:rPr>
              <w:t>Final decision</w:t>
            </w:r>
          </w:p>
        </w:tc>
      </w:tr>
      <w:tr>
        <w:tc>
          <w:tcPr>
            <w:tcW w:type="dxa" w:w="3216"/>
          </w:tcPr>
          <w:p>
            <w:pPr>
              <w:spacing w:after="40"/>
            </w:pPr>
            <w:r/>
            <w:r>
              <w:rPr>
                <w:sz w:val="18"/>
              </w:rPr>
              <w:t xml:space="preserve">Read the provided </w:t>
            </w:r>
            <w:r>
              <w:rPr>
                <w:rFonts w:ascii="Consolas" w:hAnsi="Consolas"/>
                <w:color w:val="3E2A63"/>
                <w:sz w:val="18"/>
              </w:rPr>
              <w:t>fastqc_snapshot.tsv</w:t>
            </w:r>
            <w:r>
              <w:rPr>
                <w:sz w:val="18"/>
              </w:rPr>
              <w:t xml:space="preserve"> and interpret it</w:t>
            </w:r>
          </w:p>
        </w:tc>
        <w:tc>
          <w:tcPr>
            <w:tcW w:type="dxa" w:w="3216"/>
          </w:tcPr>
          <w:p>
            <w:pPr>
              <w:spacing w:after="40"/>
            </w:pPr>
            <w:r/>
            <w:r>
              <w:rPr>
                <w:sz w:val="18"/>
              </w:rPr>
              <w:t>A precomputed summary is a claim, not a measurement</w:t>
            </w:r>
          </w:p>
        </w:tc>
        <w:tc>
          <w:tcPr>
            <w:tcW w:type="dxa" w:w="3216"/>
          </w:tcPr>
          <w:p>
            <w:pPr>
              <w:spacing w:after="40"/>
            </w:pPr>
            <w:r/>
            <w:r>
              <w:rPr>
                <w:b/>
                <w:sz w:val="18"/>
              </w:rPr>
              <w:t>Rejected.</w:t>
            </w:r>
            <w:r>
              <w:rPr>
                <w:sz w:val="18"/>
              </w:rPr>
              <w:t xml:space="preserve"> Wrote an independent audit script; measured all seven modules from the FASTQ.</w:t>
            </w:r>
          </w:p>
        </w:tc>
      </w:tr>
      <w:tr>
        <w:tc>
          <w:tcPr>
            <w:tcW w:type="dxa" w:w="3216"/>
          </w:tcPr>
          <w:p>
            <w:pPr>
              <w:spacing w:after="40"/>
            </w:pPr>
            <w:r/>
            <w:r>
              <w:rPr>
                <w:sz w:val="18"/>
              </w:rPr>
              <w:t>Report the per-cycle aggregate median quality</w:t>
            </w:r>
          </w:p>
        </w:tc>
        <w:tc>
          <w:tcPr>
            <w:tcW w:type="dxa" w:w="3216"/>
          </w:tcPr>
          <w:p>
            <w:pPr>
              <w:spacing w:after="40"/>
            </w:pPr>
            <w:r/>
            <w:r>
              <w:rPr>
                <w:sz w:val="18"/>
              </w:rPr>
              <w:t>Contradicted the snapshot; the snapshot's claim is about a 15% subpopulation</w:t>
            </w:r>
          </w:p>
        </w:tc>
        <w:tc>
          <w:tcPr>
            <w:tcW w:type="dxa" w:w="3216"/>
          </w:tcPr>
          <w:p>
            <w:pPr>
              <w:spacing w:after="40"/>
            </w:pPr>
            <w:r/>
            <w:r>
              <w:rPr>
                <w:b/>
                <w:sz w:val="18"/>
              </w:rPr>
              <w:t>Rejected and corrected.</w:t>
            </w:r>
            <w:r>
              <w:rPr>
                <w:sz w:val="18"/>
              </w:rPr>
              <w:t xml:space="preserve"> Measured per read; the crash is real, at exactly 15.0%.</w:t>
            </w:r>
          </w:p>
        </w:tc>
      </w:tr>
      <w:tr>
        <w:tc>
          <w:tcPr>
            <w:tcW w:type="dxa" w:w="3216"/>
          </w:tcPr>
          <w:p>
            <w:pPr>
              <w:spacing w:after="40"/>
            </w:pPr>
            <w:r/>
            <w:r>
              <w:rPr>
                <w:sz w:val="18"/>
              </w:rPr>
              <w:t>Remove duplicate reads before alignment</w:t>
            </w:r>
          </w:p>
        </w:tc>
        <w:tc>
          <w:tcPr>
            <w:tcW w:type="dxa" w:w="3216"/>
          </w:tcPr>
          <w:p>
            <w:pPr>
              <w:spacing w:after="40"/>
            </w:pPr>
            <w:r/>
            <w:r>
              <w:rPr>
                <w:sz w:val="18"/>
              </w:rPr>
              <w:t>For WGS variant calling, duplicates are marked post-alignment; removing reads pre-alignment destroys pair information</w:t>
            </w:r>
          </w:p>
        </w:tc>
        <w:tc>
          <w:tcPr>
            <w:tcW w:type="dxa" w:w="3216"/>
          </w:tcPr>
          <w:p>
            <w:pPr>
              <w:spacing w:after="40"/>
            </w:pPr>
            <w:r/>
            <w:r>
              <w:rPr>
                <w:b/>
                <w:sz w:val="18"/>
              </w:rPr>
              <w:t>Rejected.</w:t>
            </w:r>
            <w:r>
              <w:rPr>
                <w:sz w:val="18"/>
              </w:rPr>
              <w:t xml:space="preserve"> Mark duplicates after alignment.</w:t>
            </w:r>
          </w:p>
        </w:tc>
      </w:tr>
      <w:tr>
        <w:tc>
          <w:tcPr>
            <w:tcW w:type="dxa" w:w="3216"/>
          </w:tcPr>
          <w:p>
            <w:pPr>
              <w:spacing w:after="40"/>
            </w:pPr>
            <w:r/>
            <w:r>
              <w:rPr>
                <w:sz w:val="18"/>
              </w:rPr>
              <w:t>Treat the high-GC shoulder as contamination</w:t>
            </w:r>
          </w:p>
        </w:tc>
        <w:tc>
          <w:tcPr>
            <w:tcW w:type="dxa" w:w="3216"/>
          </w:tcPr>
          <w:p>
            <w:pPr>
              <w:spacing w:after="40"/>
            </w:pPr>
            <w:r/>
            <w:r>
              <w:rPr>
                <w:sz w:val="18"/>
              </w:rPr>
              <w:t>QC alone cannot distinguish contamination from a real GC-rich genomic fraction</w:t>
            </w:r>
          </w:p>
        </w:tc>
        <w:tc>
          <w:tcPr>
            <w:tcW w:type="dxa" w:w="3216"/>
          </w:tcPr>
          <w:p>
            <w:pPr>
              <w:spacing w:after="40"/>
            </w:pPr>
            <w:r/>
            <w:r>
              <w:rPr>
                <w:b/>
                <w:sz w:val="18"/>
              </w:rPr>
              <w:t>Modified.</w:t>
            </w:r>
            <w:r>
              <w:rPr>
                <w:sz w:val="18"/>
              </w:rPr>
              <w:t xml:space="preserve"> Flagged for taxonomic screening (FastQ Screen/Kraken2) before any biological claim.</w:t>
            </w:r>
          </w:p>
        </w:tc>
      </w:tr>
      <w:tr>
        <w:tc>
          <w:tcPr>
            <w:tcW w:type="dxa" w:w="3216"/>
          </w:tcPr>
          <w:p>
            <w:pPr>
              <w:spacing w:after="40"/>
            </w:pPr>
            <w:r/>
            <w:r>
              <w:rPr>
                <w:sz w:val="18"/>
              </w:rPr>
              <w:t>Align to "the human reference genome"</w:t>
            </w:r>
          </w:p>
        </w:tc>
        <w:tc>
          <w:tcPr>
            <w:tcW w:type="dxa" w:w="3216"/>
          </w:tcPr>
          <w:p>
            <w:pPr>
              <w:spacing w:after="40"/>
            </w:pPr>
            <w:r/>
            <w:r>
              <w:rPr>
                <w:sz w:val="18"/>
              </w:rPr>
              <w:t>No build specified; Ensembl serves GRCh38.p14, and the Q4 table turned out to mix builds</w:t>
            </w:r>
          </w:p>
        </w:tc>
        <w:tc>
          <w:tcPr>
            <w:tcW w:type="dxa" w:w="3216"/>
          </w:tcPr>
          <w:p>
            <w:pPr>
              <w:spacing w:after="40"/>
            </w:pPr>
            <w:r/>
            <w:r>
              <w:rPr>
                <w:b/>
                <w:sz w:val="18"/>
              </w:rPr>
              <w:t>Rejected as underspecified.</w:t>
            </w:r>
            <w:r>
              <w:rPr>
                <w:sz w:val="18"/>
              </w:rPr>
              <w:t xml:space="preserve"> The build must be pinned and recorded with a checksum.</w:t>
            </w:r>
          </w:p>
        </w:tc>
      </w:tr>
    </w:tbl>
    <w:p/>
    <w:p>
      <w:pPr>
        <w:pStyle w:val="Heading2"/>
      </w:pPr>
      <w:r>
        <w:rPr>
          <w:color w:val="241A38"/>
        </w:rPr>
        <w:t>Conclusion the AI supports</w:t>
      </w:r>
    </w:p>
    <w:p>
      <w:r>
        <w:rPr>
          <w:b/>
          <w:sz w:val="19"/>
        </w:rPr>
        <w:t>Figure 2.</w:t>
      </w:r>
      <w:r>
        <w:rPr>
          <w:sz w:val="19"/>
        </w:rPr>
        <w:t xml:space="preserve"> </w:t>
      </w:r>
      <w:r>
        <w:rPr>
          <w:rFonts w:ascii="Consolas" w:hAnsi="Consolas"/>
          <w:color w:val="3E2A63"/>
          <w:sz w:val="19"/>
        </w:rPr>
        <w:t>figures/Q2_fastqc_audit.png</w:t>
      </w:r>
    </w:p>
    <w:p>
      <w:pPr>
        <w:jc w:val="center"/>
      </w:pPr>
      <w:r>
        <w:drawing>
          <wp:inline xmlns:a="http://schemas.openxmlformats.org/drawingml/2006/main" xmlns:pic="http://schemas.openxmlformats.org/drawingml/2006/picture">
            <wp:extent cx="5852160" cy="3830505"/>
            <wp:docPr id="2" name="Picture 2"/>
            <wp:cNvGraphicFramePr>
              <a:graphicFrameLocks noChangeAspect="1"/>
            </wp:cNvGraphicFramePr>
            <a:graphic>
              <a:graphicData uri="http://schemas.openxmlformats.org/drawingml/2006/picture">
                <pic:pic>
                  <pic:nvPicPr>
                    <pic:cNvPr id="0" name="Q2_fastqc_audit.png"/>
                    <pic:cNvPicPr/>
                  </pic:nvPicPr>
                  <pic:blipFill>
                    <a:blip r:embed="rId10"/>
                    <a:stretch>
                      <a:fillRect/>
                    </a:stretch>
                  </pic:blipFill>
                  <pic:spPr>
                    <a:xfrm>
                      <a:off x="0" y="0"/>
                      <a:ext cx="5852160" cy="3830505"/>
                    </a:xfrm>
                    <a:prstGeom prst="rect"/>
                  </pic:spPr>
                </pic:pic>
              </a:graphicData>
            </a:graphic>
          </wp:inline>
        </w:drawing>
      </w:r>
    </w:p>
    <w:p>
      <w:r>
        <w:rPr>
          <w:sz w:val="21"/>
        </w:rPr>
        <w:t>QC does not "pass" or "fail" a library in the abstract: it decides what the library</w:t>
      </w:r>
    </w:p>
    <w:p>
      <w:r>
        <w:rPr>
          <w:sz w:val="21"/>
        </w:rPr>
        <w:t>can still be used for. This library is usable for variant calling after adapter</w:t>
      </w:r>
    </w:p>
    <w:p>
      <w:r>
        <w:rPr>
          <w:sz w:val="21"/>
        </w:rPr>
        <w:t>trimming and 3′ quality trimming, provided the high-GC subpopulation is identified</w:t>
      </w:r>
    </w:p>
    <w:p>
      <w:r>
        <w:rPr>
          <w:sz w:val="21"/>
        </w:rPr>
        <w:t>before any biological interpretation, and provided the reference build is pinned</w:t>
      </w:r>
    </w:p>
    <w:p>
      <w:r>
        <w:rPr>
          <w:sz w:val="21"/>
        </w:rPr>
        <w:t>rather than assumed.</w:t>
      </w:r>
    </w:p>
    <w:p>
      <w:pPr>
        <w:spacing w:before="120" w:after="160"/>
        <w:ind w:left="432"/>
        <w:pBdr>
          <w:left w:val="single" w:sz="18" w:space="6" w:color="3E2A63"/>
        </w:pBdr>
      </w:pPr>
      <w:r>
        <w:rPr>
          <w:b/>
          <w:sz w:val="21"/>
        </w:rPr>
        <w:t>The analyst, not the AI, is responsible for</w:t>
      </w:r>
      <w:r>
        <w:rPr>
          <w:sz w:val="21"/>
        </w:rPr>
        <w:t xml:space="preserve"> the identity of the sample, the reference build and its version, whether each statistic actually answers the question being asked, and every exclusion — because a command that exits successfully can still produce a biologically meaningless result.</w:t>
      </w:r>
    </w:p>
    <w:p>
      <w:pPr>
        <w:pBdr>
          <w:bottom w:val="single" w:sz="6" w:color="D8D3E0"/>
        </w:pBdr>
        <w:spacing w:after="160"/>
      </w:pPr>
    </w:p>
    <w:p>
      <w:pPr>
        <w:pStyle w:val="Heading1"/>
      </w:pPr>
      <w:r>
        <w:rPr>
          <w:color w:val="3E2A63"/>
        </w:rPr>
        <w:t>Question 3 — Multi-Omics Regulatory Hypothesis</w:t>
      </w:r>
    </w:p>
    <w:p>
      <w:pPr>
        <w:spacing w:before="120" w:after="160"/>
        <w:ind w:left="432"/>
        <w:pBdr>
          <w:left w:val="single" w:sz="18" w:space="6" w:color="3E2A63"/>
        </w:pBdr>
      </w:pPr>
      <w:r>
        <w:rPr>
          <w:sz w:val="21"/>
        </w:rPr>
        <w:t xml:space="preserve">Hand-written </w:t>
      </w:r>
      <w:r>
        <w:rPr>
          <w:i/>
          <w:sz w:val="21"/>
        </w:rPr>
        <w:t>Reasoning before AI</w:t>
      </w:r>
      <w:r>
        <w:rPr>
          <w:sz w:val="21"/>
        </w:rPr>
        <w:t>: see worksheet, Q3 ①②.</w:t>
      </w:r>
    </w:p>
    <w:p>
      <w:pPr>
        <w:pStyle w:val="Heading2"/>
      </w:pPr>
      <w:r>
        <w:rPr>
          <w:color w:val="241A38"/>
        </w:rPr>
        <w:t>AI-assisted workflow</w:t>
      </w:r>
    </w:p>
    <w:p>
      <w:r>
        <w:rPr>
          <w:sz w:val="21"/>
        </w:rPr>
        <w:t>The prompt required the AI to partition, not to conclude:</w:t>
      </w:r>
    </w:p>
    <w:p>
      <w:pPr>
        <w:spacing w:before="120" w:after="160"/>
        <w:ind w:left="432"/>
        <w:pBdr>
          <w:left w:val="single" w:sz="18" w:space="6" w:color="3E2A63"/>
        </w:pBdr>
      </w:pPr>
      <w:r>
        <w:rPr>
          <w:sz w:val="21"/>
        </w:rPr>
        <w:t>"For this locus, sort every statement into exactly one of three columns: direct observation, biological interpretation, missing evidence. Do not merge columns and do not put an interpretation in the observation column. Then tell me which single missing item, if measured, would most change my confidence."</w:t>
      </w:r>
    </w:p>
    <w:p>
      <w:r>
        <w:rPr>
          <w:sz w:val="21"/>
        </w:rPr>
        <w:t xml:space="preserve">Its answer to the final question was </w:t>
      </w:r>
      <w:r>
        <w:rPr>
          <w:b/>
          <w:sz w:val="21"/>
        </w:rPr>
        <w:t>target-gene assignment</w:t>
      </w:r>
      <w:r>
        <w:rPr>
          <w:sz w:val="21"/>
        </w:rPr>
        <w:t>, not another chromatin</w:t>
      </w:r>
    </w:p>
    <w:p>
      <w:r>
        <w:rPr>
          <w:sz w:val="21"/>
        </w:rPr>
        <w:t>layer — because accessibility, acetylation and contact are all already consistent with</w:t>
      </w:r>
    </w:p>
    <w:p>
      <w:r>
        <w:rPr>
          <w:sz w:val="21"/>
        </w:rPr>
        <w:t>the model, and none of them identifies which gene the element acts on. That is the</w:t>
      </w:r>
    </w:p>
    <w:p>
      <w:r>
        <w:rPr>
          <w:sz w:val="21"/>
        </w:rPr>
        <w:t>reasoning behind choosing CRISPRi over, say, adding a methylation time course.</w:t>
      </w:r>
    </w:p>
    <w:p>
      <w:pPr>
        <w:pStyle w:val="Heading2"/>
      </w:pPr>
      <w:r>
        <w:rPr>
          <w:color w:val="241A38"/>
        </w:rPr>
        <w:t>Verification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DE9F2"/>
          </w:tcPr>
          <w:p>
            <w:pPr>
              <w:spacing w:after="40"/>
            </w:pPr>
            <w:r>
              <w:rPr>
                <w:b/>
              </w:rPr>
            </w:r>
            <w:r>
              <w:rPr>
                <w:b/>
                <w:sz w:val="18"/>
              </w:rPr>
              <w:t>Claim</w:t>
            </w:r>
          </w:p>
        </w:tc>
        <w:tc>
          <w:tcPr>
            <w:tcW w:type="dxa" w:w="3216"/>
            <w:shd w:val="clear" w:fill="EDE9F2"/>
          </w:tcPr>
          <w:p>
            <w:pPr>
              <w:spacing w:after="40"/>
            </w:pPr>
            <w:r>
              <w:rPr>
                <w:b/>
              </w:rPr>
            </w:r>
            <w:r>
              <w:rPr>
                <w:b/>
                <w:sz w:val="18"/>
              </w:rPr>
              <w:t>Source</w:t>
            </w:r>
          </w:p>
        </w:tc>
        <w:tc>
          <w:tcPr>
            <w:tcW w:type="dxa" w:w="3216"/>
            <w:shd w:val="clear" w:fill="EDE9F2"/>
          </w:tcPr>
          <w:p>
            <w:pPr>
              <w:spacing w:after="40"/>
            </w:pPr>
            <w:r>
              <w:rPr>
                <w:b/>
              </w:rPr>
            </w:r>
            <w:r>
              <w:rPr>
                <w:b/>
                <w:sz w:val="18"/>
              </w:rPr>
              <w:t>Outcome</w:t>
            </w:r>
          </w:p>
        </w:tc>
      </w:tr>
      <w:tr>
        <w:tc>
          <w:tcPr>
            <w:tcW w:type="dxa" w:w="3216"/>
          </w:tcPr>
          <w:p>
            <w:pPr>
              <w:spacing w:after="40"/>
            </w:pPr>
            <w:r/>
            <w:r>
              <w:rPr>
                <w:sz w:val="18"/>
              </w:rPr>
              <w:t>H3K4me3 marks active promoters; H3K27ac active regulatory regions; H3K4me1 enhancers</w:t>
            </w:r>
          </w:p>
        </w:tc>
        <w:tc>
          <w:tcPr>
            <w:tcW w:type="dxa" w:w="3216"/>
          </w:tcPr>
          <w:p>
            <w:pPr>
              <w:spacing w:after="40"/>
            </w:pPr>
            <w:r/>
            <w:r>
              <w:rPr>
                <w:sz w:val="18"/>
              </w:rPr>
              <w:t>Week 4 reading §13; PPT "Histone modifications and their major functions"</w:t>
            </w:r>
          </w:p>
        </w:tc>
        <w:tc>
          <w:tcPr>
            <w:tcW w:type="dxa" w:w="3216"/>
          </w:tcPr>
          <w:p>
            <w:pPr>
              <w:spacing w:after="40"/>
            </w:pPr>
            <w:r/>
            <w:r>
              <w:rPr>
                <w:sz w:val="18"/>
              </w:rPr>
              <w:t>confirmed</w:t>
            </w:r>
          </w:p>
        </w:tc>
      </w:tr>
      <w:tr>
        <w:tc>
          <w:tcPr>
            <w:tcW w:type="dxa" w:w="3216"/>
          </w:tcPr>
          <w:p>
            <w:pPr>
              <w:spacing w:after="40"/>
            </w:pPr>
            <w:r/>
            <w:r>
              <w:rPr>
                <w:sz w:val="18"/>
              </w:rPr>
              <w:t>Standard WGBS/EM-seq combine 5mC and 5hmC</w:t>
            </w:r>
          </w:p>
        </w:tc>
        <w:tc>
          <w:tcPr>
            <w:tcW w:type="dxa" w:w="3216"/>
          </w:tcPr>
          <w:p>
            <w:pPr>
              <w:spacing w:after="40"/>
            </w:pPr>
            <w:r/>
            <w:r>
              <w:rPr>
                <w:sz w:val="18"/>
              </w:rPr>
              <w:t>Week 4 reading §16</w:t>
            </w:r>
          </w:p>
        </w:tc>
        <w:tc>
          <w:tcPr>
            <w:tcW w:type="dxa" w:w="3216"/>
          </w:tcPr>
          <w:p>
            <w:pPr>
              <w:spacing w:after="40"/>
            </w:pPr>
            <w:r/>
            <w:r>
              <w:rPr>
                <w:sz w:val="18"/>
              </w:rPr>
              <w:t>confirmed — methylation track labelled accordingly</w:t>
            </w:r>
          </w:p>
        </w:tc>
      </w:tr>
      <w:tr>
        <w:tc>
          <w:tcPr>
            <w:tcW w:type="dxa" w:w="3216"/>
          </w:tcPr>
          <w:p>
            <w:pPr>
              <w:spacing w:after="40"/>
            </w:pPr>
            <w:r/>
            <w:r>
              <w:rPr>
                <w:sz w:val="18"/>
              </w:rPr>
              <w:t>A contact map is an aggregate over many cells, not one conformation</w:t>
            </w:r>
          </w:p>
        </w:tc>
        <w:tc>
          <w:tcPr>
            <w:tcW w:type="dxa" w:w="3216"/>
          </w:tcPr>
          <w:p>
            <w:pPr>
              <w:spacing w:after="40"/>
            </w:pPr>
            <w:r/>
            <w:r>
              <w:rPr>
                <w:sz w:val="18"/>
              </w:rPr>
              <w:t>Week 4 reading §17</w:t>
            </w:r>
          </w:p>
        </w:tc>
        <w:tc>
          <w:tcPr>
            <w:tcW w:type="dxa" w:w="3216"/>
          </w:tcPr>
          <w:p>
            <w:pPr>
              <w:spacing w:after="40"/>
            </w:pPr>
            <w:r/>
            <w:r>
              <w:rPr>
                <w:sz w:val="18"/>
              </w:rPr>
              <w:t>confirmed — stated on the figure</w:t>
            </w:r>
          </w:p>
        </w:tc>
      </w:tr>
      <w:tr>
        <w:tc>
          <w:tcPr>
            <w:tcW w:type="dxa" w:w="3216"/>
          </w:tcPr>
          <w:p>
            <w:pPr>
              <w:spacing w:after="40"/>
            </w:pPr>
            <w:r/>
            <w:r>
              <w:rPr>
                <w:sz w:val="18"/>
              </w:rPr>
              <w:t>ABC-style scores are prioritization quantities, not causal posteriors</w:t>
            </w:r>
          </w:p>
        </w:tc>
        <w:tc>
          <w:tcPr>
            <w:tcW w:type="dxa" w:w="3216"/>
          </w:tcPr>
          <w:p>
            <w:pPr>
              <w:spacing w:after="40"/>
            </w:pPr>
            <w:r/>
            <w:r>
              <w:rPr>
                <w:sz w:val="18"/>
              </w:rPr>
              <w:t>Week 4 reading §18</w:t>
            </w:r>
          </w:p>
        </w:tc>
        <w:tc>
          <w:tcPr>
            <w:tcW w:type="dxa" w:w="3216"/>
          </w:tcPr>
          <w:p>
            <w:pPr>
              <w:spacing w:after="40"/>
            </w:pPr>
            <w:r/>
            <w:r>
              <w:rPr>
                <w:sz w:val="18"/>
              </w:rPr>
              <w:t>confirmed — no score presented as a probability</w:t>
            </w:r>
          </w:p>
        </w:tc>
      </w:tr>
    </w:tbl>
    <w:p/>
    <w:p>
      <w:pPr>
        <w:pStyle w:val="Heading2"/>
      </w:pPr>
      <w:r>
        <w:rPr>
          <w:color w:val="241A38"/>
        </w:rPr>
        <w:t>Conclusion the AI supports</w:t>
      </w:r>
    </w:p>
    <w:p>
      <w:r>
        <w:rPr>
          <w:b/>
          <w:sz w:val="21"/>
        </w:rPr>
        <w:t>Observations vs interpretations vs missing evidence: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EDE9F2"/>
          </w:tcPr>
          <w:p>
            <w:pPr>
              <w:spacing w:after="40"/>
            </w:pPr>
            <w:r>
              <w:rPr>
                <w:b/>
              </w:rPr>
            </w:r>
            <w:r>
              <w:rPr>
                <w:b/>
                <w:sz w:val="18"/>
              </w:rPr>
              <w:t>Layer</w:t>
            </w:r>
          </w:p>
        </w:tc>
        <w:tc>
          <w:tcPr>
            <w:tcW w:type="dxa" w:w="2412"/>
            <w:shd w:val="clear" w:fill="EDE9F2"/>
          </w:tcPr>
          <w:p>
            <w:pPr>
              <w:spacing w:after="40"/>
            </w:pPr>
            <w:r>
              <w:rPr>
                <w:b/>
              </w:rPr>
            </w:r>
            <w:r>
              <w:rPr>
                <w:b/>
                <w:sz w:val="18"/>
              </w:rPr>
              <w:t>Direct observation</w:t>
            </w:r>
          </w:p>
        </w:tc>
        <w:tc>
          <w:tcPr>
            <w:tcW w:type="dxa" w:w="2412"/>
            <w:shd w:val="clear" w:fill="EDE9F2"/>
          </w:tcPr>
          <w:p>
            <w:pPr>
              <w:spacing w:after="40"/>
            </w:pPr>
            <w:r>
              <w:rPr>
                <w:b/>
              </w:rPr>
            </w:r>
            <w:r>
              <w:rPr>
                <w:b/>
                <w:sz w:val="18"/>
              </w:rPr>
              <w:t>Interpretation</w:t>
            </w:r>
          </w:p>
        </w:tc>
        <w:tc>
          <w:tcPr>
            <w:tcW w:type="dxa" w:w="2412"/>
            <w:shd w:val="clear" w:fill="EDE9F2"/>
          </w:tcPr>
          <w:p>
            <w:pPr>
              <w:spacing w:after="40"/>
            </w:pPr>
            <w:r>
              <w:rPr>
                <w:b/>
              </w:rPr>
            </w:r>
            <w:r>
              <w:rPr>
                <w:b/>
                <w:sz w:val="18"/>
              </w:rPr>
              <w:t>Missing evidence</w:t>
            </w:r>
          </w:p>
        </w:tc>
      </w:tr>
      <w:tr>
        <w:tc>
          <w:tcPr>
            <w:tcW w:type="dxa" w:w="2412"/>
          </w:tcPr>
          <w:p>
            <w:pPr>
              <w:spacing w:after="40"/>
            </w:pPr>
            <w:r/>
            <w:r>
              <w:rPr>
                <w:sz w:val="18"/>
              </w:rPr>
              <w:t>ATAC-seq</w:t>
            </w:r>
          </w:p>
        </w:tc>
        <w:tc>
          <w:tcPr>
            <w:tcW w:type="dxa" w:w="2412"/>
          </w:tcPr>
          <w:p>
            <w:pPr>
              <w:spacing w:after="40"/>
            </w:pPr>
            <w:r/>
            <w:r>
              <w:rPr>
                <w:sz w:val="18"/>
              </w:rPr>
              <w:t>A transposase-accessible peak at the candidate element and at the Gene Y promoter</w:t>
            </w:r>
          </w:p>
        </w:tc>
        <w:tc>
          <w:tcPr>
            <w:tcW w:type="dxa" w:w="2412"/>
          </w:tcPr>
          <w:p>
            <w:pPr>
              <w:spacing w:after="40"/>
            </w:pPr>
            <w:r/>
            <w:r>
              <w:rPr>
                <w:sz w:val="18"/>
              </w:rPr>
              <w:t>The element is in an accessible chromatin state in this condition</w:t>
            </w:r>
          </w:p>
        </w:tc>
        <w:tc>
          <w:tcPr>
            <w:tcW w:type="dxa" w:w="2412"/>
          </w:tcPr>
          <w:p>
            <w:pPr>
              <w:spacing w:after="40"/>
            </w:pPr>
            <w:r/>
            <w:r>
              <w:rPr>
                <w:sz w:val="18"/>
              </w:rPr>
              <w:t>Which cells in the population; whether any factor is bound</w:t>
            </w:r>
          </w:p>
        </w:tc>
      </w:tr>
      <w:tr>
        <w:tc>
          <w:tcPr>
            <w:tcW w:type="dxa" w:w="2412"/>
          </w:tcPr>
          <w:p>
            <w:pPr>
              <w:spacing w:after="40"/>
            </w:pPr>
            <w:r/>
            <w:r>
              <w:rPr>
                <w:sz w:val="18"/>
              </w:rPr>
              <w:t>H3K27ac</w:t>
            </w:r>
          </w:p>
        </w:tc>
        <w:tc>
          <w:tcPr>
            <w:tcW w:type="dxa" w:w="2412"/>
          </w:tcPr>
          <w:p>
            <w:pPr>
              <w:spacing w:after="40"/>
            </w:pPr>
            <w:r/>
            <w:r>
              <w:rPr>
                <w:sz w:val="18"/>
              </w:rPr>
              <w:t>Enrichment over the element, broader than the ATAC peak</w:t>
            </w:r>
          </w:p>
        </w:tc>
        <w:tc>
          <w:tcPr>
            <w:tcW w:type="dxa" w:w="2412"/>
          </w:tcPr>
          <w:p>
            <w:pPr>
              <w:spacing w:after="40"/>
            </w:pPr>
            <w:r/>
            <w:r>
              <w:rPr>
                <w:sz w:val="18"/>
              </w:rPr>
              <w:t>The element carries an activity-associated mark</w:t>
            </w:r>
          </w:p>
        </w:tc>
        <w:tc>
          <w:tcPr>
            <w:tcW w:type="dxa" w:w="2412"/>
          </w:tcPr>
          <w:p>
            <w:pPr>
              <w:spacing w:after="40"/>
            </w:pPr>
            <w:r/>
            <w:r>
              <w:rPr>
                <w:sz w:val="18"/>
              </w:rPr>
              <w:t>Whether acetylation is cause, consequence, or coincidence; antibody performance</w:t>
            </w:r>
          </w:p>
        </w:tc>
      </w:tr>
      <w:tr>
        <w:tc>
          <w:tcPr>
            <w:tcW w:type="dxa" w:w="2412"/>
          </w:tcPr>
          <w:p>
            <w:pPr>
              <w:spacing w:after="40"/>
            </w:pPr>
            <w:r/>
            <w:r>
              <w:rPr>
                <w:sz w:val="18"/>
              </w:rPr>
              <w:t>Methylation</w:t>
            </w:r>
          </w:p>
        </w:tc>
        <w:tc>
          <w:tcPr>
            <w:tcW w:type="dxa" w:w="2412"/>
          </w:tcPr>
          <w:p>
            <w:pPr>
              <w:spacing w:after="40"/>
            </w:pPr>
            <w:r/>
            <w:r>
              <w:rPr>
                <w:sz w:val="18"/>
              </w:rPr>
              <w:t>Local hypomethylation at the element and promoter against a methylated background</w:t>
            </w:r>
          </w:p>
        </w:tc>
        <w:tc>
          <w:tcPr>
            <w:tcW w:type="dxa" w:w="2412"/>
          </w:tcPr>
          <w:p>
            <w:pPr>
              <w:spacing w:after="40"/>
            </w:pPr>
            <w:r/>
            <w:r>
              <w:rPr>
                <w:sz w:val="18"/>
              </w:rPr>
              <w:t>Consistent with an active regulatory state</w:t>
            </w:r>
          </w:p>
        </w:tc>
        <w:tc>
          <w:tcPr>
            <w:tcW w:type="dxa" w:w="2412"/>
          </w:tcPr>
          <w:p>
            <w:pPr>
              <w:spacing w:after="40"/>
            </w:pPr>
            <w:r/>
            <w:r>
              <w:rPr>
                <w:sz w:val="18"/>
              </w:rPr>
              <w:t>5mC vs 5hmC not separated; allele- and cell-level heterogeneity unresolved</w:t>
            </w:r>
          </w:p>
        </w:tc>
      </w:tr>
      <w:tr>
        <w:tc>
          <w:tcPr>
            <w:tcW w:type="dxa" w:w="2412"/>
          </w:tcPr>
          <w:p>
            <w:pPr>
              <w:spacing w:after="40"/>
            </w:pPr>
            <w:r/>
            <w:r>
              <w:rPr>
                <w:sz w:val="18"/>
              </w:rPr>
              <w:t>Hi-C / Micro-C</w:t>
            </w:r>
          </w:p>
        </w:tc>
        <w:tc>
          <w:tcPr>
            <w:tcW w:type="dxa" w:w="2412"/>
          </w:tcPr>
          <w:p>
            <w:pPr>
              <w:spacing w:after="40"/>
            </w:pPr>
            <w:r/>
            <w:r>
              <w:rPr>
                <w:sz w:val="18"/>
              </w:rPr>
              <w:t>Elevated contact frequency between element and Gene Y promoter above the distance background</w:t>
            </w:r>
          </w:p>
        </w:tc>
        <w:tc>
          <w:tcPr>
            <w:tcW w:type="dxa" w:w="2412"/>
          </w:tcPr>
          <w:p>
            <w:pPr>
              <w:spacing w:after="40"/>
            </w:pPr>
            <w:r/>
            <w:r>
              <w:rPr>
                <w:sz w:val="18"/>
              </w:rPr>
              <w:t>The element and Gene Y are spatially proximal</w:t>
            </w:r>
          </w:p>
        </w:tc>
        <w:tc>
          <w:tcPr>
            <w:tcW w:type="dxa" w:w="2412"/>
          </w:tcPr>
          <w:p>
            <w:pPr>
              <w:spacing w:after="40"/>
            </w:pPr>
            <w:r/>
            <w:r>
              <w:rPr>
                <w:sz w:val="18"/>
              </w:rPr>
              <w:t>Whether the contact is regulatory or structural; direction of any effect</w:t>
            </w:r>
          </w:p>
        </w:tc>
      </w:tr>
      <w:tr>
        <w:tc>
          <w:tcPr>
            <w:tcW w:type="dxa" w:w="2412"/>
          </w:tcPr>
          <w:p>
            <w:pPr>
              <w:spacing w:after="40"/>
            </w:pPr>
            <w:r/>
            <w:r>
              <w:rPr>
                <w:sz w:val="18"/>
              </w:rPr>
              <w:t>RNA-seq</w:t>
            </w:r>
          </w:p>
        </w:tc>
        <w:tc>
          <w:tcPr>
            <w:tcW w:type="dxa" w:w="2412"/>
          </w:tcPr>
          <w:p>
            <w:pPr>
              <w:spacing w:after="40"/>
            </w:pPr>
            <w:r/>
            <w:r>
              <w:rPr>
                <w:sz w:val="18"/>
              </w:rPr>
              <w:t>Gene Y is transcribed in this condition</w:t>
            </w:r>
          </w:p>
        </w:tc>
        <w:tc>
          <w:tcPr>
            <w:tcW w:type="dxa" w:w="2412"/>
          </w:tcPr>
          <w:p>
            <w:pPr>
              <w:spacing w:after="40"/>
            </w:pPr>
            <w:r/>
            <w:r>
              <w:rPr>
                <w:sz w:val="18"/>
              </w:rPr>
              <w:t>The locus is active</w:t>
            </w:r>
          </w:p>
        </w:tc>
        <w:tc>
          <w:tcPr>
            <w:tcW w:type="dxa" w:w="2412"/>
          </w:tcPr>
          <w:p>
            <w:pPr>
              <w:spacing w:after="40"/>
            </w:pPr>
            <w:r/>
            <w:r>
              <w:rPr>
                <w:sz w:val="18"/>
              </w:rPr>
              <w:t>Whether Gene Y transcription depends on the element at all</w:t>
            </w:r>
          </w:p>
        </w:tc>
      </w:tr>
    </w:tbl>
    <w:p/>
    <w:p>
      <w:r>
        <w:rPr>
          <w:b/>
          <w:sz w:val="21"/>
        </w:rPr>
        <w:t>Alternative explanation.</w:t>
      </w:r>
      <w:r>
        <w:rPr>
          <w:sz w:val="21"/>
        </w:rPr>
        <w:t xml:space="preserve"> The element and Gene Y may both respond to a shared</w:t>
      </w:r>
    </w:p>
    <w:p>
      <w:r>
        <w:rPr>
          <w:sz w:val="21"/>
        </w:rPr>
        <w:t>upstream signal — a transcription factor that becomes available in this condition and</w:t>
      </w:r>
    </w:p>
    <w:p>
      <w:r>
        <w:rPr>
          <w:sz w:val="21"/>
        </w:rPr>
        <w:t>independently opens both regions — with the observed contact being a structural</w:t>
      </w:r>
    </w:p>
    <w:p>
      <w:r>
        <w:rPr>
          <w:sz w:val="21"/>
        </w:rPr>
        <w:t>feature of the domain rather than a regulatory interaction. Every observation above is</w:t>
      </w:r>
    </w:p>
    <w:p>
      <w:r>
        <w:rPr>
          <w:sz w:val="21"/>
        </w:rPr>
        <w:t>equally compatible with this model. A second variant: the element may be a real</w:t>
      </w:r>
    </w:p>
    <w:p>
      <w:r>
        <w:rPr>
          <w:sz w:val="21"/>
        </w:rPr>
        <w:t xml:space="preserve">enhancer of a </w:t>
      </w:r>
      <w:r>
        <w:rPr>
          <w:i/>
          <w:sz w:val="21"/>
        </w:rPr>
        <w:t>different</w:t>
      </w:r>
      <w:r>
        <w:rPr>
          <w:sz w:val="21"/>
        </w:rPr>
        <w:t xml:space="preserve"> gene in the same domain, and its co-activity with Gene Y is</w:t>
      </w:r>
    </w:p>
    <w:p>
      <w:r>
        <w:rPr>
          <w:sz w:val="21"/>
        </w:rPr>
        <w:t>incidental.</w:t>
      </w:r>
    </w:p>
    <w:p>
      <w:r>
        <w:rPr>
          <w:b/>
          <w:sz w:val="21"/>
        </w:rPr>
        <w:t>Functional experiment separating correlation from causality.</w:t>
      </w:r>
      <w:r>
        <w:rPr>
          <w:sz w:val="21"/>
        </w:rPr>
        <w:t xml:space="preserve"> CRISPRi (dCas9-KRAB)</w:t>
      </w:r>
    </w:p>
    <w:p>
      <w:r>
        <w:rPr>
          <w:sz w:val="21"/>
        </w:rPr>
        <w:t>tiled across the candidate element, with non-targeting and safe-harbour guides, at</w:t>
      </w:r>
    </w:p>
    <w:p>
      <w:r>
        <w:rPr>
          <w:sz w:val="21"/>
        </w:rPr>
        <w:t>least two independent guide sets, and readout of Gene Y plus its neighbouring genes in</w:t>
      </w:r>
    </w:p>
    <w:p>
      <w:r>
        <w:rPr>
          <w:sz w:val="21"/>
        </w:rPr>
        <w:t>the same experiment. Measuring neighbours is what distinguishes a specific</w:t>
      </w:r>
    </w:p>
    <w:p>
      <w:r>
        <w:rPr>
          <w:sz w:val="21"/>
        </w:rPr>
        <w:t>element→Gene Y link from a local chromatin disturbance. An early time point limits</w:t>
      </w:r>
    </w:p>
    <w:p>
      <w:r>
        <w:rPr>
          <w:sz w:val="21"/>
        </w:rPr>
        <w:t>secondary cell-state effects. If CRISPRi at the element reduces Gene Y while leaving</w:t>
      </w:r>
    </w:p>
    <w:p>
      <w:r>
        <w:rPr>
          <w:sz w:val="21"/>
        </w:rPr>
        <w:t>neighbours unchanged, the element contributes to Gene Y expression; if neighbours move</w:t>
      </w:r>
    </w:p>
    <w:p>
      <w:r>
        <w:rPr>
          <w:sz w:val="21"/>
        </w:rPr>
        <w:t>too, the perturbation is not specific. A CTCF/cohesin anchor perturbation distinguishes</w:t>
      </w:r>
    </w:p>
    <w:p>
      <w:r>
        <w:rPr>
          <w:sz w:val="21"/>
        </w:rPr>
        <w:t>a loop-dependent mechanism from a diffusible one.</w:t>
      </w:r>
    </w:p>
    <w:p>
      <w:r>
        <w:rPr>
          <w:b/>
          <w:sz w:val="21"/>
        </w:rPr>
        <w:t>Integrated interpretation.</w:t>
      </w:r>
    </w:p>
    <w:p>
      <w:r>
        <w:rPr>
          <w:sz w:val="21"/>
        </w:rPr>
        <w:t>The five layers agree, and their agreement is weaker evidence than it appears. ATAC</w:t>
      </w:r>
    </w:p>
    <w:p>
      <w:r>
        <w:rPr>
          <w:sz w:val="21"/>
        </w:rPr>
        <w:t>shows the element is accessible; H3K27ac shows it carries an activity-associated mark;</w:t>
      </w:r>
    </w:p>
    <w:p>
      <w:r>
        <w:rPr>
          <w:sz w:val="21"/>
        </w:rPr>
        <w:t>methylation is locally depleted; Hi-C places it in contact with the Gene Y promoter</w:t>
      </w:r>
    </w:p>
    <w:p>
      <w:r>
        <w:rPr>
          <w:sz w:val="21"/>
        </w:rPr>
        <w:t>above the distance background; RNA-seq shows Gene Y is transcribed. Each observation is</w:t>
      </w:r>
    </w:p>
    <w:p>
      <w:r>
        <w:rPr>
          <w:sz w:val="21"/>
        </w:rPr>
        <w:t>real, and none of them is about Gene Y's dependence on the element. Accessibility is</w:t>
      </w:r>
    </w:p>
    <w:p>
      <w:r>
        <w:rPr>
          <w:sz w:val="21"/>
        </w:rPr>
        <w:t>not occupancy, a histone mark is an association rather than a mechanism, standard</w:t>
      </w:r>
    </w:p>
    <w:p>
      <w:r>
        <w:rPr>
          <w:sz w:val="21"/>
        </w:rPr>
        <w:t>bisulfite and enzymatic chemistries cannot separate 5mC from 5hmC, and a contact map is</w:t>
      </w:r>
    </w:p>
    <w:p>
      <w:r>
        <w:rPr>
          <w:sz w:val="21"/>
        </w:rPr>
        <w:t>an aggregate over many cells in which proximity can arise without regulation. Four</w:t>
      </w:r>
    </w:p>
    <w:p>
      <w:r>
        <w:rPr>
          <w:sz w:val="21"/>
        </w:rPr>
        <w:t>concordant association layers therefore do not sum to a causal claim; they converge on</w:t>
      </w:r>
    </w:p>
    <w:p>
      <w:r>
        <w:rPr>
          <w:sz w:val="21"/>
        </w:rPr>
        <w:t>one hypothesis while remaining compatible with a shared upstream driver acting on both</w:t>
      </w:r>
    </w:p>
    <w:p>
      <w:r>
        <w:rPr>
          <w:sz w:val="21"/>
        </w:rPr>
        <w:t>regions independently. The weakest link is target assignment, not chromatin state, so</w:t>
      </w:r>
    </w:p>
    <w:p>
      <w:r>
        <w:rPr>
          <w:sz w:val="21"/>
        </w:rPr>
        <w:t>the informative next experiment is an endogenous perturbation with neighbouring genes</w:t>
      </w:r>
    </w:p>
    <w:p>
      <w:r>
        <w:rPr>
          <w:sz w:val="21"/>
        </w:rPr>
        <w:t>measured alongside Gene Y — not a sixth omics layer. Collecting another correlative</w:t>
      </w:r>
    </w:p>
    <w:p>
      <w:r>
        <w:rPr>
          <w:sz w:val="21"/>
        </w:rPr>
        <w:t>dataset would raise the apparent weight of evidence without addressing the link that is</w:t>
      </w:r>
    </w:p>
    <w:p>
      <w:r>
        <w:rPr>
          <w:sz w:val="21"/>
        </w:rPr>
        <w:t>actually unsupported.</w:t>
      </w:r>
    </w:p>
    <w:p>
      <w:r>
        <w:rPr>
          <w:b/>
          <w:sz w:val="19"/>
        </w:rPr>
        <w:t>Figure 3.</w:t>
      </w:r>
      <w:r>
        <w:rPr>
          <w:sz w:val="19"/>
        </w:rPr>
        <w:t xml:space="preserve"> </w:t>
      </w:r>
      <w:r>
        <w:rPr>
          <w:rFonts w:ascii="Consolas" w:hAnsi="Consolas"/>
          <w:color w:val="3E2A63"/>
          <w:sz w:val="19"/>
        </w:rPr>
        <w:t>figures/Q3_locus_chain.png</w:t>
      </w:r>
    </w:p>
    <w:p>
      <w:pPr>
        <w:jc w:val="center"/>
      </w:pPr>
      <w:r>
        <w:drawing>
          <wp:inline xmlns:a="http://schemas.openxmlformats.org/drawingml/2006/main" xmlns:pic="http://schemas.openxmlformats.org/drawingml/2006/picture">
            <wp:extent cx="5852160" cy="4604978"/>
            <wp:docPr id="3" name="Picture 3"/>
            <wp:cNvGraphicFramePr>
              <a:graphicFrameLocks noChangeAspect="1"/>
            </wp:cNvGraphicFramePr>
            <a:graphic>
              <a:graphicData uri="http://schemas.openxmlformats.org/drawingml/2006/picture">
                <pic:pic>
                  <pic:nvPicPr>
                    <pic:cNvPr id="0" name="Q3_locus_chain.png"/>
                    <pic:cNvPicPr/>
                  </pic:nvPicPr>
                  <pic:blipFill>
                    <a:blip r:embed="rId11"/>
                    <a:stretch>
                      <a:fillRect/>
                    </a:stretch>
                  </pic:blipFill>
                  <pic:spPr>
                    <a:xfrm>
                      <a:off x="0" y="0"/>
                      <a:ext cx="5852160" cy="4604978"/>
                    </a:xfrm>
                    <a:prstGeom prst="rect"/>
                  </pic:spPr>
                </pic:pic>
              </a:graphicData>
            </a:graphic>
          </wp:inline>
        </w:drawing>
      </w:r>
    </w:p>
    <w:p>
      <w:r>
        <w:rPr>
          <w:sz w:val="21"/>
        </w:rPr>
        <w:t>Chain: accessibility → chromatin state → methylation → 3D contact → expression → perturbation</w:t>
      </w:r>
    </w:p>
    <w:p>
      <w:pPr>
        <w:spacing w:before="120" w:after="160"/>
        <w:ind w:left="432"/>
        <w:pBdr>
          <w:left w:val="single" w:sz="18" w:space="6" w:color="3E2A63"/>
        </w:pBdr>
      </w:pPr>
      <w:r>
        <w:rPr>
          <w:b/>
          <w:sz w:val="21"/>
        </w:rPr>
        <w:t>The candidate element regulates Gene Y by</w:t>
      </w:r>
      <w:r>
        <w:rPr>
          <w:sz w:val="21"/>
        </w:rPr>
        <w:t xml:space="preserve"> acting as a distal enhancer whose accessible, H3K27ac-marked, hypomethylated sequence contacts the Gene Y promoter and raises its transcription, </w:t>
      </w:r>
      <w:r>
        <w:rPr>
          <w:b/>
          <w:sz w:val="21"/>
        </w:rPr>
        <w:t>and this can be tested by</w:t>
      </w:r>
      <w:r>
        <w:rPr>
          <w:sz w:val="21"/>
        </w:rPr>
        <w:t xml:space="preserve"> CRISPRi tiling of the element with two independent guide sets, non-targeting and safe-harbour controls, and RNA readout of Gene Y together with its neighbouring genes at an early time point.</w:t>
      </w:r>
    </w:p>
    <w:p>
      <w:pPr>
        <w:pBdr>
          <w:bottom w:val="single" w:sz="6" w:color="D8D3E0"/>
        </w:pBdr>
        <w:spacing w:after="160"/>
      </w:pPr>
    </w:p>
    <w:p>
      <w:pPr>
        <w:pStyle w:val="Heading1"/>
      </w:pPr>
      <w:r>
        <w:rPr>
          <w:color w:val="3E2A63"/>
        </w:rPr>
        <w:t>Question 4 — AI-Assisted Variant Prioritization</w:t>
      </w:r>
    </w:p>
    <w:p>
      <w:pPr>
        <w:spacing w:before="120" w:after="160"/>
        <w:ind w:left="432"/>
        <w:pBdr>
          <w:left w:val="single" w:sz="18" w:space="6" w:color="3E2A63"/>
        </w:pBdr>
      </w:pPr>
      <w:r>
        <w:rPr>
          <w:sz w:val="21"/>
        </w:rPr>
        <w:t xml:space="preserve">Hand-written </w:t>
      </w:r>
      <w:r>
        <w:rPr>
          <w:i/>
          <w:sz w:val="21"/>
        </w:rPr>
        <w:t>Reasoning before AI</w:t>
      </w:r>
      <w:r>
        <w:rPr>
          <w:sz w:val="21"/>
        </w:rPr>
        <w:t>: see worksheet, Q4 ①②③.</w:t>
      </w:r>
    </w:p>
    <w:p>
      <w:pPr>
        <w:pStyle w:val="Heading2"/>
      </w:pPr>
      <w:r>
        <w:rPr>
          <w:color w:val="241A38"/>
        </w:rPr>
        <w:t>AI-assisted workflow</w:t>
      </w:r>
    </w:p>
    <w:p>
      <w:r>
        <w:rPr>
          <w:sz w:val="21"/>
        </w:rPr>
        <w:t>Plan-first prompt:</w:t>
      </w:r>
    </w:p>
    <w:p>
      <w:pPr>
        <w:spacing w:before="120" w:after="160"/>
        <w:ind w:left="432"/>
        <w:pBdr>
          <w:left w:val="single" w:sz="18" w:space="6" w:color="3E2A63"/>
        </w:pBdr>
      </w:pPr>
      <w:r>
        <w:rPr>
          <w:sz w:val="21"/>
        </w:rPr>
        <w:t>"Before any code: state the order in which you would apply filters to a variant table and justify the order, not just the thresholds. Then tell me which records in this specific table would be lost or wrongly promoted by the wrong order. Only then write R."</w:t>
      </w:r>
    </w:p>
    <w:p>
      <w:r>
        <w:rPr>
          <w:sz w:val="21"/>
        </w:rPr>
        <w:t>The AI's plan made the decisive point explicit: **technical callability must gate, and</w:t>
      </w:r>
    </w:p>
    <w:p>
      <w:r>
        <w:rPr>
          <w:sz w:val="21"/>
        </w:rPr>
        <w:t>clinical annotation must only rank.** Its justification was the one from the course</w:t>
      </w:r>
    </w:p>
    <w:p>
      <w:r>
        <w:rPr>
          <w:sz w:val="21"/>
        </w:rPr>
        <w:t>reading — a PASS flag means a record passed the caller's filters and says nothing about</w:t>
      </w:r>
    </w:p>
    <w:p>
      <w:r>
        <w:rPr>
          <w:sz w:val="21"/>
        </w:rPr>
        <w:t>rarity, pathogenicity, or causality — so a ClinVar-first sort promotes records whose</w:t>
      </w:r>
    </w:p>
    <w:p>
      <w:r>
        <w:rPr>
          <w:sz w:val="21"/>
        </w:rPr>
        <w:t>genotypes are not trustworthy.</w:t>
      </w:r>
    </w:p>
    <w:p>
      <w:r>
        <w:rPr>
          <w:sz w:val="21"/>
        </w:rPr>
        <w:t xml:space="preserve">Implementation: </w:t>
      </w:r>
      <w:r>
        <w:rPr>
          <w:rFonts w:ascii="Consolas" w:hAnsi="Consolas"/>
          <w:color w:val="3E2A63"/>
          <w:sz w:val="21"/>
        </w:rPr>
        <w:t>R/q4_variant_prioritization.R</w:t>
      </w:r>
      <w:r>
        <w:rPr>
          <w:sz w:val="21"/>
        </w:rPr>
        <w:t>. Thresholds are declared before the data</w:t>
      </w:r>
    </w:p>
    <w:p>
      <w:r>
        <w:rPr>
          <w:sz w:val="21"/>
        </w:rPr>
        <w:t>are inspected, row counts recorded at every step, and the drop reason for each excluded</w:t>
      </w:r>
    </w:p>
    <w:p>
      <w:r>
        <w:rPr>
          <w:sz w:val="21"/>
        </w:rPr>
        <w:t>record generated from the data rather than written by hand.</w:t>
      </w:r>
    </w:p>
    <w:p>
      <w:r>
        <w:rPr>
          <w:b/>
          <w:sz w:val="21"/>
        </w:rPr>
        <w:t>Filter cascade</w:t>
      </w:r>
      <w:r>
        <w:rPr>
          <w:sz w:val="21"/>
        </w:rPr>
        <w:t xml:space="preserve"> (</w:t>
      </w:r>
      <w:r>
        <w:rPr>
          <w:rFonts w:ascii="Consolas" w:hAnsi="Consolas"/>
          <w:color w:val="3E2A63"/>
          <w:sz w:val="21"/>
        </w:rPr>
        <w:t>results/q4_filter_audit.tsv</w:t>
      </w:r>
      <w:r>
        <w:rPr>
          <w:sz w:val="21"/>
        </w:rPr>
        <w: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EDE9F2"/>
          </w:tcPr>
          <w:p>
            <w:pPr>
              <w:spacing w:after="40"/>
            </w:pPr>
            <w:r>
              <w:rPr>
                <w:b/>
              </w:rPr>
            </w:r>
            <w:r>
              <w:rPr>
                <w:b/>
                <w:sz w:val="18"/>
              </w:rPr>
              <w:t>Stage</w:t>
            </w:r>
          </w:p>
        </w:tc>
        <w:tc>
          <w:tcPr>
            <w:tcW w:type="dxa" w:w="2412"/>
            <w:shd w:val="clear" w:fill="EDE9F2"/>
          </w:tcPr>
          <w:p>
            <w:pPr>
              <w:spacing w:after="40"/>
            </w:pPr>
            <w:r>
              <w:rPr>
                <w:b/>
              </w:rPr>
            </w:r>
            <w:r>
              <w:rPr>
                <w:b/>
                <w:sz w:val="18"/>
              </w:rPr>
              <w:t>Rule</w:t>
            </w:r>
          </w:p>
        </w:tc>
        <w:tc>
          <w:tcPr>
            <w:tcW w:type="dxa" w:w="2412"/>
            <w:shd w:val="clear" w:fill="EDE9F2"/>
          </w:tcPr>
          <w:p>
            <w:pPr>
              <w:spacing w:after="40"/>
            </w:pPr>
            <w:r>
              <w:rPr>
                <w:b/>
              </w:rPr>
            </w:r>
            <w:r>
              <w:rPr>
                <w:b/>
                <w:sz w:val="18"/>
              </w:rPr>
              <w:t>Remaining</w:t>
            </w:r>
          </w:p>
        </w:tc>
        <w:tc>
          <w:tcPr>
            <w:tcW w:type="dxa" w:w="2412"/>
            <w:shd w:val="clear" w:fill="EDE9F2"/>
          </w:tcPr>
          <w:p>
            <w:pPr>
              <w:spacing w:after="40"/>
            </w:pPr>
            <w:r>
              <w:rPr>
                <w:b/>
              </w:rPr>
            </w:r>
            <w:r>
              <w:rPr>
                <w:b/>
                <w:sz w:val="18"/>
              </w:rPr>
              <w:t>Removed</w:t>
            </w:r>
          </w:p>
        </w:tc>
      </w:tr>
      <w:tr>
        <w:tc>
          <w:tcPr>
            <w:tcW w:type="dxa" w:w="2412"/>
          </w:tcPr>
          <w:p>
            <w:pPr>
              <w:spacing w:after="40"/>
            </w:pPr>
            <w:r/>
            <w:r>
              <w:rPr>
                <w:sz w:val="18"/>
              </w:rPr>
              <w:t>0. All records</w:t>
            </w:r>
          </w:p>
        </w:tc>
        <w:tc>
          <w:tcPr>
            <w:tcW w:type="dxa" w:w="2412"/>
          </w:tcPr>
          <w:p>
            <w:pPr>
              <w:spacing w:after="40"/>
            </w:pPr>
            <w:r/>
            <w:r>
              <w:rPr>
                <w:sz w:val="18"/>
              </w:rPr>
              <w:t>—</w:t>
            </w:r>
          </w:p>
        </w:tc>
        <w:tc>
          <w:tcPr>
            <w:tcW w:type="dxa" w:w="2412"/>
          </w:tcPr>
          <w:p>
            <w:pPr>
              <w:spacing w:after="40"/>
            </w:pPr>
            <w:r/>
            <w:r>
              <w:rPr>
                <w:sz w:val="18"/>
              </w:rPr>
              <w:t>12</w:t>
            </w:r>
          </w:p>
        </w:tc>
        <w:tc>
          <w:tcPr>
            <w:tcW w:type="dxa" w:w="2412"/>
          </w:tcPr>
          <w:p>
            <w:pPr>
              <w:spacing w:after="40"/>
            </w:pPr>
            <w:r/>
            <w:r>
              <w:rPr>
                <w:sz w:val="18"/>
              </w:rPr>
              <w:t>—</w:t>
            </w:r>
          </w:p>
        </w:tc>
      </w:tr>
      <w:tr>
        <w:tc>
          <w:tcPr>
            <w:tcW w:type="dxa" w:w="2412"/>
          </w:tcPr>
          <w:p>
            <w:pPr>
              <w:spacing w:after="40"/>
            </w:pPr>
            <w:r/>
            <w:r>
              <w:rPr>
                <w:sz w:val="18"/>
              </w:rPr>
              <w:t>1a. FILTER</w:t>
            </w:r>
          </w:p>
        </w:tc>
        <w:tc>
          <w:tcPr>
            <w:tcW w:type="dxa" w:w="2412"/>
          </w:tcPr>
          <w:p>
            <w:pPr>
              <w:spacing w:after="40"/>
            </w:pPr>
            <w:r/>
            <w:r>
              <w:rPr>
                <w:rFonts w:ascii="Consolas" w:hAnsi="Consolas"/>
                <w:color w:val="3E2A63"/>
                <w:sz w:val="18"/>
              </w:rPr>
              <w:t>FILTER == "PASS"</w:t>
            </w:r>
          </w:p>
        </w:tc>
        <w:tc>
          <w:tcPr>
            <w:tcW w:type="dxa" w:w="2412"/>
          </w:tcPr>
          <w:p>
            <w:pPr>
              <w:spacing w:after="40"/>
            </w:pPr>
            <w:r/>
            <w:r>
              <w:rPr>
                <w:sz w:val="18"/>
              </w:rPr>
              <w:t>10</w:t>
            </w:r>
          </w:p>
        </w:tc>
        <w:tc>
          <w:tcPr>
            <w:tcW w:type="dxa" w:w="2412"/>
          </w:tcPr>
          <w:p>
            <w:pPr>
              <w:spacing w:after="40"/>
            </w:pPr>
            <w:r/>
            <w:r>
              <w:rPr>
                <w:sz w:val="18"/>
              </w:rPr>
              <w:t>2</w:t>
            </w:r>
          </w:p>
        </w:tc>
      </w:tr>
      <w:tr>
        <w:tc>
          <w:tcPr>
            <w:tcW w:type="dxa" w:w="2412"/>
          </w:tcPr>
          <w:p>
            <w:pPr>
              <w:spacing w:after="40"/>
            </w:pPr>
            <w:r/>
            <w:r>
              <w:rPr>
                <w:sz w:val="18"/>
              </w:rPr>
              <w:t>1b. Depth</w:t>
            </w:r>
          </w:p>
        </w:tc>
        <w:tc>
          <w:tcPr>
            <w:tcW w:type="dxa" w:w="2412"/>
          </w:tcPr>
          <w:p>
            <w:pPr>
              <w:spacing w:after="40"/>
            </w:pPr>
            <w:r/>
            <w:r>
              <w:rPr>
                <w:rFonts w:ascii="Consolas" w:hAnsi="Consolas"/>
                <w:color w:val="3E2A63"/>
                <w:sz w:val="18"/>
              </w:rPr>
              <w:t>DP &gt;= 20</w:t>
            </w:r>
          </w:p>
        </w:tc>
        <w:tc>
          <w:tcPr>
            <w:tcW w:type="dxa" w:w="2412"/>
          </w:tcPr>
          <w:p>
            <w:pPr>
              <w:spacing w:after="40"/>
            </w:pPr>
            <w:r/>
            <w:r>
              <w:rPr>
                <w:sz w:val="18"/>
              </w:rPr>
              <w:t>9</w:t>
            </w:r>
          </w:p>
        </w:tc>
        <w:tc>
          <w:tcPr>
            <w:tcW w:type="dxa" w:w="2412"/>
          </w:tcPr>
          <w:p>
            <w:pPr>
              <w:spacing w:after="40"/>
            </w:pPr>
            <w:r/>
            <w:r>
              <w:rPr>
                <w:sz w:val="18"/>
              </w:rPr>
              <w:t>1</w:t>
            </w:r>
          </w:p>
        </w:tc>
      </w:tr>
      <w:tr>
        <w:tc>
          <w:tcPr>
            <w:tcW w:type="dxa" w:w="2412"/>
          </w:tcPr>
          <w:p>
            <w:pPr>
              <w:spacing w:after="40"/>
            </w:pPr>
            <w:r/>
            <w:r>
              <w:rPr>
                <w:sz w:val="18"/>
              </w:rPr>
              <w:t>1c. Genotype quality</w:t>
            </w:r>
          </w:p>
        </w:tc>
        <w:tc>
          <w:tcPr>
            <w:tcW w:type="dxa" w:w="2412"/>
          </w:tcPr>
          <w:p>
            <w:pPr>
              <w:spacing w:after="40"/>
            </w:pPr>
            <w:r/>
            <w:r>
              <w:rPr>
                <w:rFonts w:ascii="Consolas" w:hAnsi="Consolas"/>
                <w:color w:val="3E2A63"/>
                <w:sz w:val="18"/>
              </w:rPr>
              <w:t>GQ &gt;= 30</w:t>
            </w:r>
          </w:p>
        </w:tc>
        <w:tc>
          <w:tcPr>
            <w:tcW w:type="dxa" w:w="2412"/>
          </w:tcPr>
          <w:p>
            <w:pPr>
              <w:spacing w:after="40"/>
            </w:pPr>
            <w:r/>
            <w:r>
              <w:rPr>
                <w:sz w:val="18"/>
              </w:rPr>
              <w:t>9</w:t>
            </w:r>
          </w:p>
        </w:tc>
        <w:tc>
          <w:tcPr>
            <w:tcW w:type="dxa" w:w="2412"/>
          </w:tcPr>
          <w:p>
            <w:pPr>
              <w:spacing w:after="40"/>
            </w:pPr>
            <w:r/>
            <w:r>
              <w:rPr>
                <w:sz w:val="18"/>
              </w:rPr>
              <w:t>0</w:t>
            </w:r>
          </w:p>
        </w:tc>
      </w:tr>
      <w:tr>
        <w:tc>
          <w:tcPr>
            <w:tcW w:type="dxa" w:w="2412"/>
          </w:tcPr>
          <w:p>
            <w:pPr>
              <w:spacing w:after="40"/>
            </w:pPr>
            <w:r/>
            <w:r>
              <w:rPr>
                <w:sz w:val="18"/>
              </w:rPr>
              <w:t>2. Population AF</w:t>
            </w:r>
          </w:p>
        </w:tc>
        <w:tc>
          <w:tcPr>
            <w:tcW w:type="dxa" w:w="2412"/>
          </w:tcPr>
          <w:p>
            <w:pPr>
              <w:spacing w:after="40"/>
            </w:pPr>
            <w:r/>
            <w:r>
              <w:rPr>
                <w:rFonts w:ascii="Consolas" w:hAnsi="Consolas"/>
                <w:color w:val="3E2A63"/>
                <w:sz w:val="18"/>
              </w:rPr>
              <w:t>AF &lt;= 1e-3</w:t>
            </w:r>
          </w:p>
        </w:tc>
        <w:tc>
          <w:tcPr>
            <w:tcW w:type="dxa" w:w="2412"/>
          </w:tcPr>
          <w:p>
            <w:pPr>
              <w:spacing w:after="40"/>
            </w:pPr>
            <w:r/>
            <w:r>
              <w:rPr>
                <w:sz w:val="18"/>
              </w:rPr>
              <w:t>6</w:t>
            </w:r>
          </w:p>
        </w:tc>
        <w:tc>
          <w:tcPr>
            <w:tcW w:type="dxa" w:w="2412"/>
          </w:tcPr>
          <w:p>
            <w:pPr>
              <w:spacing w:after="40"/>
            </w:pPr>
            <w:r/>
            <w:r>
              <w:rPr>
                <w:sz w:val="18"/>
              </w:rPr>
              <w:t>3</w:t>
            </w:r>
          </w:p>
        </w:tc>
      </w:tr>
      <w:tr>
        <w:tc>
          <w:tcPr>
            <w:tcW w:type="dxa" w:w="2412"/>
          </w:tcPr>
          <w:p>
            <w:pPr>
              <w:spacing w:after="40"/>
            </w:pPr>
            <w:r/>
            <w:r>
              <w:rPr>
                <w:sz w:val="18"/>
              </w:rPr>
              <w:t>3. Consequence</w:t>
            </w:r>
          </w:p>
        </w:tc>
        <w:tc>
          <w:tcPr>
            <w:tcW w:type="dxa" w:w="2412"/>
          </w:tcPr>
          <w:p>
            <w:pPr>
              <w:spacing w:after="40"/>
            </w:pPr>
            <w:r/>
            <w:r>
              <w:rPr>
                <w:sz w:val="18"/>
              </w:rPr>
              <w:t>protein/splice-impacting</w:t>
            </w:r>
          </w:p>
        </w:tc>
        <w:tc>
          <w:tcPr>
            <w:tcW w:type="dxa" w:w="2412"/>
          </w:tcPr>
          <w:p>
            <w:pPr>
              <w:spacing w:after="40"/>
            </w:pPr>
            <w:r/>
            <w:r>
              <w:rPr>
                <w:sz w:val="18"/>
              </w:rPr>
              <w:t>4</w:t>
            </w:r>
          </w:p>
        </w:tc>
        <w:tc>
          <w:tcPr>
            <w:tcW w:type="dxa" w:w="2412"/>
          </w:tcPr>
          <w:p>
            <w:pPr>
              <w:spacing w:after="40"/>
            </w:pPr>
            <w:r/>
            <w:r>
              <w:rPr>
                <w:sz w:val="18"/>
              </w:rPr>
              <w:t>2</w:t>
            </w:r>
          </w:p>
        </w:tc>
      </w:tr>
    </w:tbl>
    <w:p/>
    <w:p>
      <w:r>
        <w:rPr>
          <w:sz w:val="21"/>
        </w:rPr>
        <w:t xml:space="preserve">The GQ gate removed nothing </w:t>
      </w:r>
      <w:r>
        <w:rPr>
          <w:i/>
          <w:sz w:val="21"/>
        </w:rPr>
        <w:t>on this dataset</w:t>
      </w:r>
      <w:r>
        <w:rPr>
          <w:sz w:val="21"/>
        </w:rPr>
        <w:t xml:space="preserve"> — the depth gate had already caught both</w:t>
      </w:r>
    </w:p>
    <w:p>
      <w:r>
        <w:rPr>
          <w:sz w:val="21"/>
        </w:rPr>
        <w:t>low-GQ records. It is retained because it is not redundant in general, and reporting</w:t>
      </w:r>
    </w:p>
    <w:p>
      <w:r>
        <w:rPr>
          <w:sz w:val="21"/>
        </w:rPr>
        <w:t>that it removed zero is part of an honest cascade.</w:t>
      </w:r>
    </w:p>
    <w:p>
      <w:r>
        <w:rPr>
          <w:b/>
          <w:sz w:val="21"/>
        </w:rPr>
        <w:t>The two records the ordering protects against: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DE9F2"/>
          </w:tcPr>
          <w:p>
            <w:pPr>
              <w:spacing w:after="40"/>
            </w:pPr>
            <w:r>
              <w:rPr>
                <w:b/>
              </w:rPr>
            </w:r>
            <w:r>
              <w:rPr>
                <w:b/>
                <w:sz w:val="18"/>
              </w:rPr>
              <w:t>Variant</w:t>
            </w:r>
          </w:p>
        </w:tc>
        <w:tc>
          <w:tcPr>
            <w:tcW w:type="dxa" w:w="3216"/>
            <w:shd w:val="clear" w:fill="EDE9F2"/>
          </w:tcPr>
          <w:p>
            <w:pPr>
              <w:spacing w:after="40"/>
            </w:pPr>
            <w:r>
              <w:rPr>
                <w:b/>
              </w:rPr>
            </w:r>
            <w:r>
              <w:rPr>
                <w:b/>
                <w:sz w:val="18"/>
              </w:rPr>
              <w:t>ClinVar</w:t>
            </w:r>
          </w:p>
        </w:tc>
        <w:tc>
          <w:tcPr>
            <w:tcW w:type="dxa" w:w="3216"/>
            <w:shd w:val="clear" w:fill="EDE9F2"/>
          </w:tcPr>
          <w:p>
            <w:pPr>
              <w:spacing w:after="40"/>
            </w:pPr>
            <w:r>
              <w:rPr>
                <w:b/>
              </w:rPr>
            </w:r>
            <w:r>
              <w:rPr>
                <w:b/>
                <w:sz w:val="18"/>
              </w:rPr>
              <w:t>Why it was dropped</w:t>
            </w:r>
          </w:p>
        </w:tc>
      </w:tr>
      <w:tr>
        <w:tc>
          <w:tcPr>
            <w:tcW w:type="dxa" w:w="3216"/>
          </w:tcPr>
          <w:p>
            <w:pPr>
              <w:spacing w:after="40"/>
            </w:pPr>
            <w:r/>
            <w:r>
              <w:rPr>
                <w:rFonts w:ascii="Consolas" w:hAnsi="Consolas"/>
                <w:color w:val="3E2A63"/>
                <w:sz w:val="18"/>
              </w:rPr>
              <w:t>chr2:47641560 A&gt;G</w:t>
            </w:r>
            <w:r>
              <w:rPr>
                <w:sz w:val="18"/>
              </w:rPr>
              <w:t xml:space="preserve"> MSH2, stop_gained</w:t>
            </w:r>
          </w:p>
        </w:tc>
        <w:tc>
          <w:tcPr>
            <w:tcW w:type="dxa" w:w="3216"/>
          </w:tcPr>
          <w:p>
            <w:pPr>
              <w:spacing w:after="40"/>
            </w:pPr>
            <w:r/>
            <w:r>
              <w:rPr>
                <w:b/>
                <w:sz w:val="18"/>
              </w:rPr>
              <w:t>Pathogenic</w:t>
            </w:r>
          </w:p>
        </w:tc>
        <w:tc>
          <w:tcPr>
            <w:tcW w:type="dxa" w:w="3216"/>
          </w:tcPr>
          <w:p>
            <w:pPr>
              <w:spacing w:after="40"/>
            </w:pPr>
            <w:r/>
            <w:r>
              <w:rPr>
                <w:rFonts w:ascii="Consolas" w:hAnsi="Consolas"/>
                <w:color w:val="3E2A63"/>
                <w:sz w:val="18"/>
              </w:rPr>
              <w:t>FILTER=LowQual; DP=8 &lt; 20; GQ=12 &lt; 30</w:t>
            </w:r>
          </w:p>
        </w:tc>
      </w:tr>
      <w:tr>
        <w:tc>
          <w:tcPr>
            <w:tcW w:type="dxa" w:w="3216"/>
          </w:tcPr>
          <w:p>
            <w:pPr>
              <w:spacing w:after="40"/>
            </w:pPr>
            <w:r/>
            <w:r>
              <w:rPr>
                <w:rFonts w:ascii="Consolas" w:hAnsi="Consolas"/>
                <w:color w:val="3E2A63"/>
                <w:sz w:val="18"/>
              </w:rPr>
              <w:t>chrX:153870000 G&gt;A</w:t>
            </w:r>
            <w:r>
              <w:rPr>
                <w:sz w:val="18"/>
              </w:rPr>
              <w:t xml:space="preserve"> MECP2, frameshift</w:t>
            </w:r>
          </w:p>
        </w:tc>
        <w:tc>
          <w:tcPr>
            <w:tcW w:type="dxa" w:w="3216"/>
          </w:tcPr>
          <w:p>
            <w:pPr>
              <w:spacing w:after="40"/>
            </w:pPr>
            <w:r/>
            <w:r>
              <w:rPr>
                <w:b/>
                <w:sz w:val="18"/>
              </w:rPr>
              <w:t>Pathogenic</w:t>
            </w:r>
          </w:p>
        </w:tc>
        <w:tc>
          <w:tcPr>
            <w:tcW w:type="dxa" w:w="3216"/>
          </w:tcPr>
          <w:p>
            <w:pPr>
              <w:spacing w:after="40"/>
            </w:pPr>
            <w:r/>
            <w:r>
              <w:rPr>
                <w:rFonts w:ascii="Consolas" w:hAnsi="Consolas"/>
                <w:color w:val="3E2A63"/>
                <w:sz w:val="18"/>
              </w:rPr>
              <w:t>DP=5 &lt; 20; GQ=20 &lt; 30</w:t>
            </w:r>
          </w:p>
        </w:tc>
      </w:tr>
    </w:tbl>
    <w:p/>
    <w:p>
      <w:r>
        <w:rPr>
          <w:sz w:val="21"/>
        </w:rPr>
        <w:t>Both are ClinVar Pathogenic loss-of-function variants in well-known disease genes. A</w:t>
      </w:r>
    </w:p>
    <w:p>
      <w:r>
        <w:rPr>
          <w:sz w:val="21"/>
        </w:rPr>
        <w:t>ClinVar-first or consequence-first ranking puts them at the top. Neither genotype is</w:t>
      </w:r>
    </w:p>
    <w:p>
      <w:r>
        <w:rPr>
          <w:sz w:val="21"/>
        </w:rPr>
        <w:t>supported by enough reads to be believed: at DP=5 the allele balance cannot be assessed</w:t>
      </w:r>
    </w:p>
    <w:p>
      <w:r>
        <w:rPr>
          <w:sz w:val="21"/>
        </w:rPr>
        <w:t xml:space="preserve">at all. The lower panel of </w:t>
      </w:r>
      <w:r>
        <w:rPr>
          <w:rFonts w:ascii="Consolas" w:hAnsi="Consolas"/>
          <w:color w:val="3E2A63"/>
          <w:sz w:val="21"/>
        </w:rPr>
        <w:t>figures/Q4_prioritization.png</w:t>
      </w:r>
      <w:r>
        <w:rPr>
          <w:sz w:val="21"/>
        </w:rPr>
        <w:t xml:space="preserve"> plots every record in DP–GQ</w:t>
      </w:r>
    </w:p>
    <w:p>
      <w:r>
        <w:rPr>
          <w:sz w:val="21"/>
        </w:rPr>
        <w:t>space and marks these two.</w:t>
      </w:r>
    </w:p>
    <w:p>
      <w:r>
        <w:rPr>
          <w:sz w:val="21"/>
        </w:rPr>
        <w:t xml:space="preserve">Also excluded: </w:t>
      </w:r>
      <w:r>
        <w:rPr>
          <w:rFonts w:ascii="Consolas" w:hAnsi="Consolas"/>
          <w:color w:val="3E2A63"/>
          <w:sz w:val="21"/>
        </w:rPr>
        <w:t>F5</w:t>
      </w:r>
      <w:r>
        <w:rPr>
          <w:sz w:val="21"/>
        </w:rPr>
        <w:t xml:space="preserve"> (AF=0.42) and </w:t>
      </w:r>
      <w:r>
        <w:rPr>
          <w:rFonts w:ascii="Consolas" w:hAnsi="Consolas"/>
          <w:color w:val="3E2A63"/>
          <w:sz w:val="21"/>
        </w:rPr>
        <w:t>ATM</w:t>
      </w:r>
      <w:r>
        <w:rPr>
          <w:sz w:val="21"/>
        </w:rPr>
        <w:t xml:space="preserve"> (AF=0.18) — ClinVar Benign and far too common</w:t>
      </w:r>
    </w:p>
    <w:p>
      <w:r>
        <w:rPr>
          <w:sz w:val="21"/>
        </w:rPr>
        <w:t xml:space="preserve">for a severe penetrant model; </w:t>
      </w:r>
      <w:r>
        <w:rPr>
          <w:rFonts w:ascii="Consolas" w:hAnsi="Consolas"/>
          <w:color w:val="3E2A63"/>
          <w:sz w:val="21"/>
        </w:rPr>
        <w:t>HLA-A</w:t>
      </w:r>
      <w:r>
        <w:rPr>
          <w:sz w:val="21"/>
        </w:rPr>
        <w:t xml:space="preserve"> (</w:t>
      </w:r>
      <w:r>
        <w:rPr>
          <w:rFonts w:ascii="Consolas" w:hAnsi="Consolas"/>
          <w:color w:val="3E2A63"/>
          <w:sz w:val="21"/>
        </w:rPr>
        <w:t>FILTER=FAIL</w:t>
      </w:r>
      <w:r>
        <w:rPr>
          <w:sz w:val="21"/>
        </w:rPr>
        <w:t>, MHC is a mapping-hazardous</w:t>
      </w:r>
    </w:p>
    <w:p>
      <w:r>
        <w:rPr>
          <w:sz w:val="21"/>
        </w:rPr>
        <w:t xml:space="preserve">region); </w:t>
      </w:r>
      <w:r>
        <w:rPr>
          <w:rFonts w:ascii="Consolas" w:hAnsi="Consolas"/>
          <w:color w:val="3E2A63"/>
          <w:sz w:val="21"/>
        </w:rPr>
        <w:t>CFTR</w:t>
      </w:r>
      <w:r>
        <w:rPr>
          <w:sz w:val="21"/>
        </w:rPr>
        <w:t xml:space="preserve"> synonymous; and two records with no gene assignment. The synonymous</w:t>
      </w:r>
    </w:p>
    <w:p>
      <w:r>
        <w:rPr>
          <w:rFonts w:ascii="Consolas" w:hAnsi="Consolas"/>
          <w:color w:val="3E2A63"/>
          <w:sz w:val="21"/>
        </w:rPr>
        <w:t>CFTR</w:t>
      </w:r>
      <w:r>
        <w:rPr>
          <w:sz w:val="21"/>
        </w:rPr>
        <w:t xml:space="preserve"> record is </w:t>
      </w:r>
      <w:r>
        <w:rPr>
          <w:i/>
          <w:sz w:val="21"/>
        </w:rPr>
        <w:t>deprioritized, not dismissed</w:t>
      </w:r>
      <w:r>
        <w:rPr>
          <w:sz w:val="21"/>
        </w:rPr>
        <w:t xml:space="preserve"> — the Week 4 reading is explicit that</w:t>
      </w:r>
    </w:p>
    <w:p>
      <w:r>
        <w:rPr>
          <w:sz w:val="21"/>
        </w:rPr>
        <w:t>synonymous changes can affect translation, folding, RNA processing and turnover.</w:t>
      </w:r>
    </w:p>
    <w:p>
      <w:pPr>
        <w:pStyle w:val="Heading2"/>
      </w:pPr>
      <w:r>
        <w:rPr>
          <w:color w:val="241A38"/>
        </w:rPr>
        <w:t>Verification — this is where the AI's own conclusion had to be qualified</w:t>
      </w:r>
    </w:p>
    <w:p>
      <w:r>
        <w:rPr>
          <w:sz w:val="21"/>
        </w:rPr>
        <w:t>Two authoritative resources were queried live; the script is re-runnable.</w:t>
      </w:r>
    </w:p>
    <w:p>
      <w:r>
        <w:rPr>
          <w:sz w:val="21"/>
        </w:rPr>
        <w:t xml:space="preserve">Output: </w:t>
      </w:r>
      <w:r>
        <w:rPr>
          <w:rFonts w:ascii="Consolas" w:hAnsi="Consolas"/>
          <w:color w:val="3E2A63"/>
          <w:sz w:val="21"/>
        </w:rPr>
        <w:t>results/q4_verification.tsv</w:t>
      </w:r>
      <w:r>
        <w:rPr>
          <w:sz w:val="21"/>
        </w:rPr>
        <w:t>.</w:t>
      </w:r>
    </w:p>
    <w:p>
      <w:r>
        <w:rPr>
          <w:b/>
          <w:sz w:val="21"/>
        </w:rPr>
        <w:t>Finding 1 — the table mixes reference assemblies, and declares none.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EDE9F2"/>
          </w:tcPr>
          <w:p>
            <w:pPr>
              <w:spacing w:after="40"/>
            </w:pPr>
            <w:r>
              <w:rPr>
                <w:b/>
              </w:rPr>
            </w:r>
            <w:r>
              <w:rPr>
                <w:b/>
                <w:sz w:val="18"/>
              </w:rPr>
              <w:t>Claimed</w:t>
            </w:r>
          </w:p>
        </w:tc>
        <w:tc>
          <w:tcPr>
            <w:tcW w:type="dxa" w:w="2412"/>
            <w:shd w:val="clear" w:fill="EDE9F2"/>
          </w:tcPr>
          <w:p>
            <w:pPr>
              <w:spacing w:after="40"/>
            </w:pPr>
            <w:r>
              <w:rPr>
                <w:b/>
              </w:rPr>
            </w:r>
            <w:r>
              <w:rPr>
                <w:b/>
                <w:sz w:val="18"/>
              </w:rPr>
              <w:t>GRCh38 gene / REF</w:t>
            </w:r>
          </w:p>
        </w:tc>
        <w:tc>
          <w:tcPr>
            <w:tcW w:type="dxa" w:w="2412"/>
            <w:shd w:val="clear" w:fill="EDE9F2"/>
          </w:tcPr>
          <w:p>
            <w:pPr>
              <w:spacing w:after="40"/>
            </w:pPr>
            <w:r>
              <w:rPr>
                <w:b/>
              </w:rPr>
            </w:r>
            <w:r>
              <w:rPr>
                <w:b/>
                <w:sz w:val="18"/>
              </w:rPr>
              <w:t>GRCh37 gene / REF</w:t>
            </w:r>
          </w:p>
        </w:tc>
        <w:tc>
          <w:tcPr>
            <w:tcW w:type="dxa" w:w="2412"/>
            <w:shd w:val="clear" w:fill="EDE9F2"/>
          </w:tcPr>
          <w:p>
            <w:pPr>
              <w:spacing w:after="40"/>
            </w:pPr>
            <w:r>
              <w:rPr>
                <w:b/>
              </w:rPr>
            </w:r>
            <w:r>
              <w:rPr>
                <w:b/>
                <w:sz w:val="18"/>
              </w:rPr>
              <w:t>Resolves to</w:t>
            </w:r>
          </w:p>
        </w:tc>
      </w:tr>
      <w:tr>
        <w:tc>
          <w:tcPr>
            <w:tcW w:type="dxa" w:w="2412"/>
          </w:tcPr>
          <w:p>
            <w:pPr>
              <w:spacing w:after="40"/>
            </w:pPr>
            <w:r/>
            <w:r>
              <w:rPr>
                <w:sz w:val="18"/>
              </w:rPr>
              <w:t>TP53 chr17:7673803 G&gt;A</w:t>
            </w:r>
          </w:p>
        </w:tc>
        <w:tc>
          <w:tcPr>
            <w:tcW w:type="dxa" w:w="2412"/>
          </w:tcPr>
          <w:p>
            <w:pPr>
              <w:spacing w:after="40"/>
            </w:pPr>
            <w:r/>
            <w:r>
              <w:rPr>
                <w:b/>
                <w:sz w:val="18"/>
              </w:rPr>
              <w:t>TP53</w:t>
            </w:r>
            <w:r>
              <w:rPr>
                <w:sz w:val="18"/>
              </w:rPr>
              <w:t xml:space="preserve"> / </w:t>
            </w:r>
            <w:r>
              <w:rPr>
                <w:b/>
                <w:sz w:val="18"/>
              </w:rPr>
              <w:t>G ✓</w:t>
            </w:r>
          </w:p>
        </w:tc>
        <w:tc>
          <w:tcPr>
            <w:tcW w:type="dxa" w:w="2412"/>
          </w:tcPr>
          <w:p>
            <w:pPr>
              <w:spacing w:after="40"/>
            </w:pPr>
            <w:r/>
            <w:r>
              <w:rPr>
                <w:sz w:val="18"/>
              </w:rPr>
              <w:t>DNAH2 / G</w:t>
            </w:r>
          </w:p>
        </w:tc>
        <w:tc>
          <w:tcPr>
            <w:tcW w:type="dxa" w:w="2412"/>
          </w:tcPr>
          <w:p>
            <w:pPr>
              <w:spacing w:after="40"/>
            </w:pPr>
            <w:r/>
            <w:r>
              <w:rPr>
                <w:b/>
                <w:sz w:val="18"/>
              </w:rPr>
              <w:t>GRCh38</w:t>
            </w:r>
          </w:p>
        </w:tc>
      </w:tr>
      <w:tr>
        <w:tc>
          <w:tcPr>
            <w:tcW w:type="dxa" w:w="2412"/>
          </w:tcPr>
          <w:p>
            <w:pPr>
              <w:spacing w:after="40"/>
            </w:pPr>
            <w:r/>
            <w:r>
              <w:rPr>
                <w:sz w:val="18"/>
              </w:rPr>
              <w:t>KRAS chr12:25398284 C&gt;A</w:t>
            </w:r>
          </w:p>
        </w:tc>
        <w:tc>
          <w:tcPr>
            <w:tcW w:type="dxa" w:w="2412"/>
          </w:tcPr>
          <w:p>
            <w:pPr>
              <w:spacing w:after="40"/>
            </w:pPr>
            <w:r/>
            <w:r>
              <w:rPr>
                <w:sz w:val="18"/>
              </w:rPr>
              <w:t>(no gene) / G ✗</w:t>
            </w:r>
          </w:p>
        </w:tc>
        <w:tc>
          <w:tcPr>
            <w:tcW w:type="dxa" w:w="2412"/>
          </w:tcPr>
          <w:p>
            <w:pPr>
              <w:spacing w:after="40"/>
            </w:pPr>
            <w:r/>
            <w:r>
              <w:rPr>
                <w:b/>
                <w:sz w:val="18"/>
              </w:rPr>
              <w:t>KRAS</w:t>
            </w:r>
            <w:r>
              <w:rPr>
                <w:sz w:val="18"/>
              </w:rPr>
              <w:t xml:space="preserve"> / </w:t>
            </w:r>
            <w:r>
              <w:rPr>
                <w:b/>
                <w:sz w:val="18"/>
              </w:rPr>
              <w:t>C ✓</w:t>
            </w:r>
          </w:p>
        </w:tc>
        <w:tc>
          <w:tcPr>
            <w:tcW w:type="dxa" w:w="2412"/>
          </w:tcPr>
          <w:p>
            <w:pPr>
              <w:spacing w:after="40"/>
            </w:pPr>
            <w:r/>
            <w:r>
              <w:rPr>
                <w:b/>
                <w:sz w:val="18"/>
              </w:rPr>
              <w:t>GRCh37</w:t>
            </w:r>
          </w:p>
        </w:tc>
      </w:tr>
      <w:tr>
        <w:tc>
          <w:tcPr>
            <w:tcW w:type="dxa" w:w="2412"/>
          </w:tcPr>
          <w:p>
            <w:pPr>
              <w:spacing w:after="40"/>
            </w:pPr>
            <w:r/>
            <w:r>
              <w:rPr>
                <w:sz w:val="18"/>
              </w:rPr>
              <w:t>BRCA2 chr13:32316461 C&gt;T</w:t>
            </w:r>
          </w:p>
        </w:tc>
        <w:tc>
          <w:tcPr>
            <w:tcW w:type="dxa" w:w="2412"/>
          </w:tcPr>
          <w:p>
            <w:pPr>
              <w:spacing w:after="40"/>
            </w:pPr>
            <w:r/>
            <w:r>
              <w:rPr>
                <w:sz w:val="18"/>
              </w:rPr>
              <w:t>BRCA2 / A ✗</w:t>
            </w:r>
          </w:p>
        </w:tc>
        <w:tc>
          <w:tcPr>
            <w:tcW w:type="dxa" w:w="2412"/>
          </w:tcPr>
          <w:p>
            <w:pPr>
              <w:spacing w:after="40"/>
            </w:pPr>
            <w:r/>
            <w:r>
              <w:rPr>
                <w:sz w:val="18"/>
              </w:rPr>
              <w:t>RXFP2 / G ✗</w:t>
            </w:r>
          </w:p>
        </w:tc>
        <w:tc>
          <w:tcPr>
            <w:tcW w:type="dxa" w:w="2412"/>
          </w:tcPr>
          <w:p>
            <w:pPr>
              <w:spacing w:after="40"/>
            </w:pPr>
            <w:r/>
            <w:r>
              <w:rPr>
                <w:b/>
                <w:sz w:val="18"/>
              </w:rPr>
              <w:t>neither</w:t>
            </w:r>
          </w:p>
        </w:tc>
      </w:tr>
      <w:tr>
        <w:tc>
          <w:tcPr>
            <w:tcW w:type="dxa" w:w="2412"/>
          </w:tcPr>
          <w:p>
            <w:pPr>
              <w:spacing w:after="40"/>
            </w:pPr>
            <w:r/>
            <w:r>
              <w:rPr>
                <w:sz w:val="18"/>
              </w:rPr>
              <w:t>LDLR chr19:11200200 C&gt;T</w:t>
            </w:r>
          </w:p>
        </w:tc>
        <w:tc>
          <w:tcPr>
            <w:tcW w:type="dxa" w:w="2412"/>
          </w:tcPr>
          <w:p>
            <w:pPr>
              <w:spacing w:after="40"/>
            </w:pPr>
            <w:r/>
            <w:r>
              <w:rPr>
                <w:sz w:val="18"/>
              </w:rPr>
              <w:t>DOCK6 / G ✗</w:t>
            </w:r>
          </w:p>
        </w:tc>
        <w:tc>
          <w:tcPr>
            <w:tcW w:type="dxa" w:w="2412"/>
          </w:tcPr>
          <w:p>
            <w:pPr>
              <w:spacing w:after="40"/>
            </w:pPr>
            <w:r/>
            <w:r>
              <w:rPr>
                <w:sz w:val="18"/>
              </w:rPr>
              <w:t>LDLR / A ✗</w:t>
            </w:r>
          </w:p>
        </w:tc>
        <w:tc>
          <w:tcPr>
            <w:tcW w:type="dxa" w:w="2412"/>
          </w:tcPr>
          <w:p>
            <w:pPr>
              <w:spacing w:after="40"/>
            </w:pPr>
            <w:r/>
            <w:r>
              <w:rPr>
                <w:b/>
                <w:sz w:val="18"/>
              </w:rPr>
              <w:t>neither</w:t>
            </w:r>
          </w:p>
        </w:tc>
      </w:tr>
    </w:tbl>
    <w:p/>
    <w:p>
      <w:r>
        <w:rPr>
          <w:rFonts w:ascii="Consolas" w:hAnsi="Consolas"/>
          <w:color w:val="3E2A63"/>
          <w:sz w:val="21"/>
        </w:rPr>
        <w:t>variants_q4.tsv</w:t>
      </w:r>
      <w:r>
        <w:rPr>
          <w:sz w:val="21"/>
        </w:rPr>
        <w:t xml:space="preserve"> has no assembly column. </w:t>
      </w:r>
      <w:r>
        <w:rPr>
          <w:rFonts w:ascii="Consolas" w:hAnsi="Consolas"/>
          <w:color w:val="3E2A63"/>
          <w:sz w:val="21"/>
        </w:rPr>
        <w:t>chr12:25398284</w:t>
      </w:r>
      <w:r>
        <w:rPr>
          <w:sz w:val="21"/>
        </w:rPr>
        <w:t xml:space="preserve"> is the KRAS hotspot</w:t>
      </w:r>
    </w:p>
    <w:p>
      <w:r>
        <w:rPr>
          <w:sz w:val="21"/>
        </w:rPr>
        <w:t xml:space="preserve">coordinate in </w:t>
      </w:r>
      <w:r>
        <w:rPr>
          <w:b/>
          <w:sz w:val="21"/>
        </w:rPr>
        <w:t>GRCh37</w:t>
      </w:r>
      <w:r>
        <w:rPr>
          <w:sz w:val="21"/>
        </w:rPr>
        <w:t xml:space="preserve">; </w:t>
      </w:r>
      <w:r>
        <w:rPr>
          <w:rFonts w:ascii="Consolas" w:hAnsi="Consolas"/>
          <w:color w:val="3E2A63"/>
          <w:sz w:val="21"/>
        </w:rPr>
        <w:t>chr17:7673803</w:t>
      </w:r>
      <w:r>
        <w:rPr>
          <w:sz w:val="21"/>
        </w:rPr>
        <w:t xml:space="preserve"> is a TP53 coordinate in </w:t>
      </w:r>
      <w:r>
        <w:rPr>
          <w:b/>
          <w:sz w:val="21"/>
        </w:rPr>
        <w:t>GRCh38</w:t>
      </w:r>
      <w:r>
        <w:rPr>
          <w:sz w:val="21"/>
        </w:rPr>
        <w:t>. Only TP53</w:t>
      </w:r>
    </w:p>
    <w:p>
      <w:r>
        <w:rPr>
          <w:sz w:val="21"/>
        </w:rPr>
        <w:t>reconciles fully — gene, coordinate and reference allele — on a single assembly. This</w:t>
      </w:r>
    </w:p>
    <w:p>
      <w:r>
        <w:rPr>
          <w:sz w:val="21"/>
        </w:rPr>
        <w:t>is precisely the failure the course reading warns about: every interval requires an</w:t>
      </w:r>
    </w:p>
    <w:p>
      <w:r>
        <w:rPr>
          <w:sz w:val="21"/>
        </w:rPr>
        <w:t>assembly, and liftover is not a substitute for checking the reference allele.</w:t>
      </w:r>
    </w:p>
    <w:p>
      <w:r>
        <w:rPr>
          <w:b/>
          <w:sz w:val="21"/>
        </w:rPr>
        <w:t>Finding 2 — every cited ClinVar accession belongs to a different gene.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EDE9F2"/>
          </w:tcPr>
          <w:p>
            <w:pPr>
              <w:spacing w:after="40"/>
            </w:pPr>
            <w:r>
              <w:rPr>
                <w:b/>
              </w:rPr>
            </w:r>
            <w:r>
              <w:rPr>
                <w:b/>
                <w:sz w:val="18"/>
              </w:rPr>
              <w:t>Claimed</w:t>
            </w:r>
          </w:p>
        </w:tc>
        <w:tc>
          <w:tcPr>
            <w:tcW w:type="dxa" w:w="2412"/>
            <w:shd w:val="clear" w:fill="EDE9F2"/>
          </w:tcPr>
          <w:p>
            <w:pPr>
              <w:spacing w:after="40"/>
            </w:pPr>
            <w:r>
              <w:rPr>
                <w:b/>
              </w:rPr>
            </w:r>
            <w:r>
              <w:rPr>
                <w:b/>
                <w:sz w:val="18"/>
              </w:rPr>
              <w:t>VCV accession</w:t>
            </w:r>
          </w:p>
        </w:tc>
        <w:tc>
          <w:tcPr>
            <w:tcW w:type="dxa" w:w="2412"/>
            <w:shd w:val="clear" w:fill="EDE9F2"/>
          </w:tcPr>
          <w:p>
            <w:pPr>
              <w:spacing w:after="40"/>
            </w:pPr>
            <w:r>
              <w:rPr>
                <w:b/>
              </w:rPr>
            </w:r>
            <w:r>
              <w:rPr>
                <w:b/>
                <w:sz w:val="18"/>
              </w:rPr>
              <w:t>What the accession actually is</w:t>
            </w:r>
          </w:p>
        </w:tc>
        <w:tc>
          <w:tcPr>
            <w:tcW w:type="dxa" w:w="2412"/>
            <w:shd w:val="clear" w:fill="EDE9F2"/>
          </w:tcPr>
          <w:p>
            <w:pPr>
              <w:spacing w:after="40"/>
            </w:pPr>
            <w:r>
              <w:rPr>
                <w:b/>
              </w:rPr>
            </w:r>
            <w:r>
              <w:rPr>
                <w:b/>
                <w:sz w:val="18"/>
              </w:rPr>
              <w:t>Review status</w:t>
            </w:r>
          </w:p>
        </w:tc>
      </w:tr>
      <w:tr>
        <w:tc>
          <w:tcPr>
            <w:tcW w:type="dxa" w:w="2412"/>
          </w:tcPr>
          <w:p>
            <w:pPr>
              <w:spacing w:after="40"/>
            </w:pPr>
            <w:r/>
            <w:r>
              <w:rPr>
                <w:sz w:val="18"/>
              </w:rPr>
              <w:t>TP53</w:t>
            </w:r>
          </w:p>
        </w:tc>
        <w:tc>
          <w:tcPr>
            <w:tcW w:type="dxa" w:w="2412"/>
          </w:tcPr>
          <w:p>
            <w:pPr>
              <w:spacing w:after="40"/>
            </w:pPr>
            <w:r/>
            <w:r>
              <w:rPr>
                <w:sz w:val="18"/>
              </w:rPr>
              <w:t>VCV000012345</w:t>
            </w:r>
          </w:p>
        </w:tc>
        <w:tc>
          <w:tcPr>
            <w:tcW w:type="dxa" w:w="2412"/>
          </w:tcPr>
          <w:p>
            <w:pPr>
              <w:spacing w:after="40"/>
            </w:pPr>
            <w:r/>
            <w:r>
              <w:rPr>
                <w:rFonts w:ascii="Consolas" w:hAnsi="Consolas"/>
                <w:color w:val="3E2A63"/>
                <w:sz w:val="18"/>
              </w:rPr>
              <w:t>NM_001065.4(TNFRSF1A):c.295T&gt;A</w:t>
            </w:r>
          </w:p>
        </w:tc>
        <w:tc>
          <w:tcPr>
            <w:tcW w:type="dxa" w:w="2412"/>
          </w:tcPr>
          <w:p>
            <w:pPr>
              <w:spacing w:after="40"/>
            </w:pPr>
            <w:r/>
            <w:r>
              <w:rPr>
                <w:sz w:val="18"/>
              </w:rPr>
              <w:t>no assertion criteria (0 star)</w:t>
            </w:r>
          </w:p>
        </w:tc>
      </w:tr>
      <w:tr>
        <w:tc>
          <w:tcPr>
            <w:tcW w:type="dxa" w:w="2412"/>
          </w:tcPr>
          <w:p>
            <w:pPr>
              <w:spacing w:after="40"/>
            </w:pPr>
            <w:r/>
            <w:r>
              <w:rPr>
                <w:sz w:val="18"/>
              </w:rPr>
              <w:t>KRAS</w:t>
            </w:r>
          </w:p>
        </w:tc>
        <w:tc>
          <w:tcPr>
            <w:tcW w:type="dxa" w:w="2412"/>
          </w:tcPr>
          <w:p>
            <w:pPr>
              <w:spacing w:after="40"/>
            </w:pPr>
            <w:r/>
            <w:r>
              <w:rPr>
                <w:sz w:val="18"/>
              </w:rPr>
              <w:t>VCV000000888</w:t>
            </w:r>
          </w:p>
        </w:tc>
        <w:tc>
          <w:tcPr>
            <w:tcW w:type="dxa" w:w="2412"/>
          </w:tcPr>
          <w:p>
            <w:pPr>
              <w:spacing w:after="40"/>
            </w:pPr>
            <w:r/>
            <w:r>
              <w:rPr>
                <w:rFonts w:ascii="Consolas" w:hAnsi="Consolas"/>
                <w:color w:val="3E2A63"/>
                <w:sz w:val="18"/>
              </w:rPr>
              <w:t>NM_000046.5(ARSB):c.1143-8T&gt;G</w:t>
            </w:r>
          </w:p>
        </w:tc>
        <w:tc>
          <w:tcPr>
            <w:tcW w:type="dxa" w:w="2412"/>
          </w:tcPr>
          <w:p>
            <w:pPr>
              <w:spacing w:after="40"/>
            </w:pPr>
            <w:r/>
            <w:r>
              <w:rPr>
                <w:sz w:val="18"/>
              </w:rPr>
              <w:t>multiple submitters, no conflicts</w:t>
            </w:r>
          </w:p>
        </w:tc>
      </w:tr>
      <w:tr>
        <w:tc>
          <w:tcPr>
            <w:tcW w:type="dxa" w:w="2412"/>
          </w:tcPr>
          <w:p>
            <w:pPr>
              <w:spacing w:after="40"/>
            </w:pPr>
            <w:r/>
            <w:r>
              <w:rPr>
                <w:sz w:val="18"/>
              </w:rPr>
              <w:t>BRCA2</w:t>
            </w:r>
          </w:p>
        </w:tc>
        <w:tc>
          <w:tcPr>
            <w:tcW w:type="dxa" w:w="2412"/>
          </w:tcPr>
          <w:p>
            <w:pPr>
              <w:spacing w:after="40"/>
            </w:pPr>
            <w:r/>
            <w:r>
              <w:rPr>
                <w:sz w:val="18"/>
              </w:rPr>
              <w:t>VCV000067890</w:t>
            </w:r>
          </w:p>
        </w:tc>
        <w:tc>
          <w:tcPr>
            <w:tcW w:type="dxa" w:w="2412"/>
          </w:tcPr>
          <w:p>
            <w:pPr>
              <w:spacing w:after="40"/>
            </w:pPr>
            <w:r/>
            <w:r>
              <w:rPr>
                <w:rFonts w:ascii="Consolas" w:hAnsi="Consolas"/>
                <w:color w:val="3E2A63"/>
                <w:sz w:val="18"/>
              </w:rPr>
              <w:t>NM_000335.5(SCN5A):c.4412A&gt;G</w:t>
            </w:r>
          </w:p>
        </w:tc>
        <w:tc>
          <w:tcPr>
            <w:tcW w:type="dxa" w:w="2412"/>
          </w:tcPr>
          <w:p>
            <w:pPr>
              <w:spacing w:after="40"/>
            </w:pPr>
            <w:r/>
            <w:r>
              <w:rPr>
                <w:sz w:val="18"/>
              </w:rPr>
              <w:t>no classification provided</w:t>
            </w:r>
          </w:p>
        </w:tc>
      </w:tr>
      <w:tr>
        <w:tc>
          <w:tcPr>
            <w:tcW w:type="dxa" w:w="2412"/>
          </w:tcPr>
          <w:p>
            <w:pPr>
              <w:spacing w:after="40"/>
            </w:pPr>
            <w:r/>
            <w:r>
              <w:rPr>
                <w:sz w:val="18"/>
              </w:rPr>
              <w:t>LDLR</w:t>
            </w:r>
          </w:p>
        </w:tc>
        <w:tc>
          <w:tcPr>
            <w:tcW w:type="dxa" w:w="2412"/>
          </w:tcPr>
          <w:p>
            <w:pPr>
              <w:spacing w:after="40"/>
            </w:pPr>
            <w:r/>
            <w:r>
              <w:rPr>
                <w:sz w:val="18"/>
              </w:rPr>
              <w:t>VCV000000666</w:t>
            </w:r>
          </w:p>
        </w:tc>
        <w:tc>
          <w:tcPr>
            <w:tcW w:type="dxa" w:w="2412"/>
          </w:tcPr>
          <w:p>
            <w:pPr>
              <w:spacing w:after="40"/>
            </w:pPr>
            <w:r/>
            <w:r>
              <w:rPr>
                <w:rFonts w:ascii="Consolas" w:hAnsi="Consolas"/>
                <w:color w:val="3E2A63"/>
                <w:sz w:val="18"/>
              </w:rPr>
              <w:t>NM_000312.4(PROC):c.1000G&gt;A</w:t>
            </w:r>
          </w:p>
        </w:tc>
        <w:tc>
          <w:tcPr>
            <w:tcW w:type="dxa" w:w="2412"/>
          </w:tcPr>
          <w:p>
            <w:pPr>
              <w:spacing w:after="40"/>
            </w:pPr>
            <w:r/>
            <w:r>
              <w:rPr>
                <w:sz w:val="18"/>
              </w:rPr>
              <w:t>conflicting classifications</w:t>
            </w:r>
          </w:p>
        </w:tc>
      </w:tr>
    </w:tbl>
    <w:p/>
    <w:p>
      <w:r>
        <w:rPr>
          <w:sz w:val="21"/>
        </w:rPr>
        <w:t>**Finding 3 — the top variant's consequence annotation is not supported by its</w:t>
      </w:r>
    </w:p>
    <w:p>
      <w:r>
        <w:rPr>
          <w:sz w:val="21"/>
        </w:rPr>
        <w:t>coordinate.</w:t>
      </w:r>
      <w:r>
        <w:rPr>
          <w:b/>
          <w:sz w:val="21"/>
        </w:rPr>
        <w:t xml:space="preserve"> `chr17:7673803` falls </w:t>
      </w:r>
      <w:r>
        <w:rPr>
          <w:sz w:val="21"/>
        </w:rPr>
        <w:t xml:space="preserve">inside TP53 exon 8** (Ensembl </w:t>
      </w:r>
      <w:r>
        <w:rPr>
          <w:rFonts w:ascii="Consolas" w:hAnsi="Consolas"/>
          <w:color w:val="3E2A63"/>
          <w:sz w:val="21"/>
        </w:rPr>
        <w:t>ENSE00003725258</w:t>
      </w:r>
      <w:r>
        <w:rPr>
          <w:sz w:val="21"/>
        </w:rPr>
        <w:t>,</w:t>
      </w:r>
    </w:p>
    <w:p>
      <w:r>
        <w:rPr>
          <w:sz w:val="21"/>
        </w:rPr>
        <w:t>17:7673701–7673837, rank 8, strand −1), 34 bp from the exon boundary. A canonical</w:t>
      </w:r>
    </w:p>
    <w:p>
      <w:r>
        <w:rPr>
          <w:sz w:val="21"/>
        </w:rPr>
        <w:t>splice acceptor is the intronic AG immediately adjacent to the exon, so at this</w:t>
      </w:r>
    </w:p>
    <w:p>
      <w:r>
        <w:rPr>
          <w:sz w:val="21"/>
        </w:rPr>
        <w:t xml:space="preserve">coordinate </w:t>
      </w:r>
      <w:r>
        <w:rPr>
          <w:rFonts w:ascii="Consolas" w:hAnsi="Consolas"/>
          <w:color w:val="3E2A63"/>
          <w:sz w:val="21"/>
        </w:rPr>
        <w:t>splice_acceptor_variant</w:t>
      </w:r>
      <w:r>
        <w:rPr>
          <w:sz w:val="21"/>
        </w:rPr>
        <w:t xml:space="preserve"> does not hold; on the MANE transcript this</w:t>
      </w:r>
    </w:p>
    <w:p>
      <w:r>
        <w:rPr>
          <w:sz w:val="21"/>
        </w:rPr>
        <w:t>position would be coding, not splice-acceptor.</w:t>
      </w:r>
    </w:p>
    <w:p>
      <w:r>
        <w:rPr>
          <w:b/>
          <w:sz w:val="21"/>
        </w:rPr>
        <w:t>How to read these findings.</w:t>
      </w:r>
      <w:r>
        <w:rPr>
          <w:sz w:val="21"/>
        </w:rPr>
        <w:t xml:space="preserve"> The data file declares itself synthetic — *"Synthetic</w:t>
      </w:r>
    </w:p>
    <w:p>
      <w:r>
        <w:rPr>
          <w:sz w:val="21"/>
        </w:rPr>
        <w:t>teaching variants for Q4. No real patient data. Positions are illustrative."* So these</w:t>
      </w:r>
    </w:p>
    <w:p>
      <w:r>
        <w:rPr>
          <w:sz w:val="21"/>
        </w:rPr>
        <w:t>are properties of teaching data, not mistakes to report. What the verification</w:t>
      </w:r>
    </w:p>
    <w:p>
      <w:r>
        <w:rPr>
          <w:sz w:val="21"/>
        </w:rPr>
        <w:t>establishes is the procedure and its yield: **every annotation column in a variant</w:t>
      </w:r>
    </w:p>
    <w:p>
      <w:r>
        <w:rPr>
          <w:sz w:val="21"/>
        </w:rPr>
        <w:t>table is a claim, and each one failed a different independent check.** On real data any</w:t>
      </w:r>
    </w:p>
    <w:p>
      <w:r>
        <w:rPr>
          <w:sz w:val="21"/>
        </w:rPr>
        <w:t>one of these would halt interpretation.</w:t>
      </w:r>
    </w:p>
    <w:p>
      <w:pPr>
        <w:pStyle w:val="Heading2"/>
      </w:pPr>
      <w:r>
        <w:rPr>
          <w:color w:val="241A38"/>
        </w:rPr>
        <w:t>Conclusion the AI supports</w:t>
      </w:r>
    </w:p>
    <w:p>
      <w:r>
        <w:rPr>
          <w:b/>
          <w:sz w:val="21"/>
        </w:rPr>
        <w:t>Top variant.</w:t>
      </w:r>
      <w:r>
        <w:rPr>
          <w:sz w:val="21"/>
        </w:rPr>
        <w:t xml:space="preserve"> </w:t>
      </w:r>
      <w:r>
        <w:rPr>
          <w:rFonts w:ascii="Consolas" w:hAnsi="Consolas"/>
          <w:color w:val="3E2A63"/>
          <w:sz w:val="21"/>
        </w:rPr>
        <w:t>chr17:7673803 G&gt;A</w:t>
      </w:r>
      <w:r>
        <w:rPr>
          <w:sz w:val="21"/>
        </w:rPr>
        <w:t xml:space="preserve"> in </w:t>
      </w:r>
      <w:r>
        <w:rPr>
          <w:b/>
          <w:sz w:val="21"/>
        </w:rPr>
        <w:t>TP53</w:t>
      </w:r>
      <w:r>
        <w:rPr>
          <w:sz w:val="21"/>
        </w:rPr>
        <w:t xml:space="preserve"> — rank 1 by a wide margin (score 10 vs</w:t>
      </w:r>
    </w:p>
    <w:p>
      <w:r>
        <w:rPr>
          <w:sz w:val="21"/>
        </w:rPr>
        <w:t xml:space="preserve">5 for the next record; </w:t>
      </w:r>
      <w:r>
        <w:rPr>
          <w:rFonts w:ascii="Consolas" w:hAnsi="Consolas"/>
          <w:color w:val="3E2A63"/>
          <w:sz w:val="21"/>
        </w:rPr>
        <w:t>results/q4_shortlist.tsv</w:t>
      </w:r>
      <w:r>
        <w:rPr>
          <w:sz w:val="21"/>
        </w:rPr>
        <w:t>). It is the only record that passes</w:t>
      </w:r>
    </w:p>
    <w:p>
      <w:r>
        <w:rPr>
          <w:sz w:val="21"/>
        </w:rPr>
        <w:t>every technical gate (PASS, DP=80, GQ=99), is appropriately rare (AF=1×10⁻⁵), sits in a</w:t>
      </w:r>
    </w:p>
    <w:p>
      <w:r>
        <w:rPr>
          <w:sz w:val="21"/>
        </w:rPr>
        <w:t xml:space="preserve">gene with an established mechanism, </w:t>
      </w:r>
      <w:r>
        <w:rPr>
          <w:b/>
          <w:sz w:val="21"/>
        </w:rPr>
        <w:t>and</w:t>
      </w:r>
      <w:r>
        <w:rPr>
          <w:sz w:val="21"/>
        </w:rPr>
        <w:t xml:space="preserve"> is the only record whose coordinate, gene</w:t>
      </w:r>
    </w:p>
    <w:p>
      <w:r>
        <w:rPr>
          <w:sz w:val="21"/>
        </w:rPr>
        <w:t>and reference allele all reconcile on one declared assembly. That last property came</w:t>
      </w:r>
    </w:p>
    <w:p>
      <w:r>
        <w:rPr>
          <w:sz w:val="21"/>
        </w:rPr>
        <w:t>from verification, not from the table, and is an independent reason to rank it first.</w:t>
      </w:r>
    </w:p>
    <w:p>
      <w:r>
        <w:rPr>
          <w:b/>
          <w:sz w:val="21"/>
        </w:rPr>
        <w:t>Second place is a genuine tie, and it is not broken on the score.</w:t>
      </w:r>
      <w:r>
        <w:rPr>
          <w:sz w:val="21"/>
        </w:rPr>
        <w:t xml:space="preserve"> KRAS and BRCA2</w:t>
      </w:r>
    </w:p>
    <w:p>
      <w:r>
        <w:rPr>
          <w:sz w:val="21"/>
        </w:rPr>
        <w:t>both score 5. The script's tiebreak is GQ 91 vs 90 — a difference with no scientific</w:t>
      </w:r>
    </w:p>
    <w:p>
      <w:r>
        <w:rPr>
          <w:sz w:val="21"/>
        </w:rPr>
        <w:t>meaning. On evidence type they differ: KRAS carries conflicting interpretations, BRCA2</w:t>
      </w:r>
    </w:p>
    <w:p>
      <w:r>
        <w:rPr>
          <w:sz w:val="21"/>
        </w:rPr>
        <w:t>is a VUS where new evidence would actually change a classification. **TP53 is therefore</w:t>
      </w:r>
    </w:p>
    <w:p>
      <w:r>
        <w:rPr>
          <w:sz w:val="21"/>
        </w:rPr>
        <w:t>reported as the single prioritized variant**, with both others named as tied</w:t>
      </w:r>
    </w:p>
    <w:p>
      <w:r>
        <w:rPr>
          <w:sz w:val="21"/>
        </w:rPr>
        <w:t>runners-up, rather than manufacturing a ranking the data does not support.</w:t>
      </w:r>
    </w:p>
    <w:p>
      <w:r>
        <w:rPr>
          <w:b/>
          <w:sz w:val="21"/>
        </w:rPr>
        <w:t>False-lead critique.</w:t>
      </w:r>
      <w:r>
        <w:rPr>
          <w:sz w:val="21"/>
        </w:rPr>
        <w:t xml:space="preserve"> The AI was asked for the strongest reasons TP53 could be a</w:t>
      </w:r>
    </w:p>
    <w:p>
      <w:r>
        <w:rPr>
          <w:sz w:val="21"/>
        </w:rPr>
        <w:t>false lead. Its speculative list and the verified list differ, which is the point: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DE9F2"/>
          </w:tcPr>
          <w:p>
            <w:pPr>
              <w:spacing w:after="40"/>
            </w:pPr>
            <w:r>
              <w:rPr>
                <w:b/>
              </w:rPr>
            </w:r>
            <w:r>
              <w:rPr>
                <w:b/>
                <w:sz w:val="18"/>
              </w:rPr>
              <w:t>Concern raised</w:t>
            </w:r>
          </w:p>
        </w:tc>
        <w:tc>
          <w:tcPr>
            <w:tcW w:type="dxa" w:w="3216"/>
            <w:shd w:val="clear" w:fill="EDE9F2"/>
          </w:tcPr>
          <w:p>
            <w:pPr>
              <w:spacing w:after="40"/>
            </w:pPr>
            <w:r>
              <w:rPr>
                <w:b/>
              </w:rPr>
            </w:r>
            <w:r>
              <w:rPr>
                <w:b/>
                <w:sz w:val="18"/>
              </w:rPr>
              <w:t>Scientifically important?</w:t>
            </w:r>
          </w:p>
        </w:tc>
        <w:tc>
          <w:tcPr>
            <w:tcW w:type="dxa" w:w="3216"/>
            <w:shd w:val="clear" w:fill="EDE9F2"/>
          </w:tcPr>
          <w:p>
            <w:pPr>
              <w:spacing w:after="40"/>
            </w:pPr>
            <w:r>
              <w:rPr>
                <w:b/>
              </w:rPr>
            </w:r>
            <w:r>
              <w:rPr>
                <w:b/>
                <w:sz w:val="18"/>
              </w:rPr>
              <w:t>Why</w:t>
            </w:r>
          </w:p>
        </w:tc>
      </w:tr>
      <w:tr>
        <w:tc>
          <w:tcPr>
            <w:tcW w:type="dxa" w:w="3216"/>
          </w:tcPr>
          <w:p>
            <w:pPr>
              <w:spacing w:after="40"/>
            </w:pPr>
            <w:r/>
            <w:r>
              <w:rPr>
                <w:sz w:val="18"/>
              </w:rPr>
              <w:t>The cited ClinVar accession is for a different gene (TNFRSF1A)</w:t>
            </w:r>
          </w:p>
        </w:tc>
        <w:tc>
          <w:tcPr>
            <w:tcW w:type="dxa" w:w="3216"/>
          </w:tcPr>
          <w:p>
            <w:pPr>
              <w:spacing w:after="40"/>
            </w:pPr>
            <w:r/>
            <w:r>
              <w:rPr>
                <w:b/>
                <w:sz w:val="18"/>
              </w:rPr>
              <w:t>Yes — verified</w:t>
            </w:r>
          </w:p>
        </w:tc>
        <w:tc>
          <w:tcPr>
            <w:tcW w:type="dxa" w:w="3216"/>
          </w:tcPr>
          <w:p>
            <w:pPr>
              <w:spacing w:after="40"/>
            </w:pPr>
            <w:r/>
            <w:r>
              <w:rPr>
                <w:sz w:val="18"/>
              </w:rPr>
              <w:t>The clinical evidence supporting this variant does not exist as cited. The entire ClinVar column must be re-resolved.</w:t>
            </w:r>
          </w:p>
        </w:tc>
      </w:tr>
      <w:tr>
        <w:tc>
          <w:tcPr>
            <w:tcW w:type="dxa" w:w="3216"/>
          </w:tcPr>
          <w:p>
            <w:pPr>
              <w:spacing w:after="40"/>
            </w:pPr>
            <w:r/>
            <w:r>
              <w:rPr>
                <w:rFonts w:ascii="Consolas" w:hAnsi="Consolas"/>
                <w:color w:val="3E2A63"/>
                <w:sz w:val="18"/>
              </w:rPr>
              <w:t>splice_acceptor_variant</w:t>
            </w:r>
            <w:r>
              <w:rPr>
                <w:sz w:val="18"/>
              </w:rPr>
              <w:t xml:space="preserve"> is not supported at this coordinate</w:t>
            </w:r>
          </w:p>
        </w:tc>
        <w:tc>
          <w:tcPr>
            <w:tcW w:type="dxa" w:w="3216"/>
          </w:tcPr>
          <w:p>
            <w:pPr>
              <w:spacing w:after="40"/>
            </w:pPr>
            <w:r/>
            <w:r>
              <w:rPr>
                <w:b/>
                <w:sz w:val="18"/>
              </w:rPr>
              <w:t>Yes — verified</w:t>
            </w:r>
          </w:p>
        </w:tc>
        <w:tc>
          <w:tcPr>
            <w:tcW w:type="dxa" w:w="3216"/>
          </w:tcPr>
          <w:p>
            <w:pPr>
              <w:spacing w:after="40"/>
            </w:pPr>
            <w:r/>
            <w:r>
              <w:rPr>
                <w:sz w:val="18"/>
              </w:rPr>
              <w:t>34 bp inside exon 8. The predicted mechanism is wrong, so the proposed validation assay would be wrong too.</w:t>
            </w:r>
          </w:p>
        </w:tc>
      </w:tr>
      <w:tr>
        <w:tc>
          <w:tcPr>
            <w:tcW w:type="dxa" w:w="3216"/>
          </w:tcPr>
          <w:p>
            <w:pPr>
              <w:spacing w:after="40"/>
            </w:pPr>
            <w:r/>
            <w:r>
              <w:rPr>
                <w:sz w:val="18"/>
              </w:rPr>
              <w:t>The table mixes assemblies and declares none</w:t>
            </w:r>
          </w:p>
        </w:tc>
        <w:tc>
          <w:tcPr>
            <w:tcW w:type="dxa" w:w="3216"/>
          </w:tcPr>
          <w:p>
            <w:pPr>
              <w:spacing w:after="40"/>
            </w:pPr>
            <w:r/>
            <w:r>
              <w:rPr>
                <w:b/>
                <w:sz w:val="18"/>
              </w:rPr>
              <w:t>Yes — verified</w:t>
            </w:r>
          </w:p>
        </w:tc>
        <w:tc>
          <w:tcPr>
            <w:tcW w:type="dxa" w:w="3216"/>
          </w:tcPr>
          <w:p>
            <w:pPr>
              <w:spacing w:after="40"/>
            </w:pPr>
            <w:r/>
            <w:r>
              <w:rPr>
                <w:sz w:val="18"/>
              </w:rPr>
              <w:t>Without a build, no coordinate-based annotation is interpretable.</w:t>
            </w:r>
          </w:p>
        </w:tc>
      </w:tr>
      <w:tr>
        <w:tc>
          <w:tcPr>
            <w:tcW w:type="dxa" w:w="3216"/>
          </w:tcPr>
          <w:p>
            <w:pPr>
              <w:spacing w:after="40"/>
            </w:pPr>
            <w:r/>
            <w:r>
              <w:rPr>
                <w:sz w:val="18"/>
              </w:rPr>
              <w:t>No GT or AD column, so allele balance is unverifiable</w:t>
            </w:r>
          </w:p>
        </w:tc>
        <w:tc>
          <w:tcPr>
            <w:tcW w:type="dxa" w:w="3216"/>
          </w:tcPr>
          <w:p>
            <w:pPr>
              <w:spacing w:after="40"/>
            </w:pPr>
            <w:r/>
            <w:r>
              <w:rPr>
                <w:b/>
                <w:sz w:val="18"/>
              </w:rPr>
              <w:t>Yes</w:t>
            </w:r>
          </w:p>
        </w:tc>
        <w:tc>
          <w:tcPr>
            <w:tcW w:type="dxa" w:w="3216"/>
          </w:tcPr>
          <w:p>
            <w:pPr>
              <w:spacing w:after="40"/>
            </w:pPr>
            <w:r/>
            <w:r>
              <w:rPr>
                <w:sz w:val="18"/>
              </w:rPr>
              <w:t>DP=80/GQ=99 is necessary but not sufficient; a strand- or position-biased pileup can produce both.</w:t>
            </w:r>
          </w:p>
        </w:tc>
      </w:tr>
      <w:tr>
        <w:tc>
          <w:tcPr>
            <w:tcW w:type="dxa" w:w="3216"/>
          </w:tcPr>
          <w:p>
            <w:pPr>
              <w:spacing w:after="40"/>
            </w:pPr>
            <w:r/>
            <w:r>
              <w:rPr>
                <w:sz w:val="18"/>
              </w:rPr>
              <w:t xml:space="preserve">TP53 is a canonical somatic driver; AF here is a </w:t>
            </w:r>
            <w:r>
              <w:rPr>
                <w:i/>
                <w:sz w:val="18"/>
              </w:rPr>
              <w:t>population</w:t>
            </w:r>
            <w:r>
              <w:rPr>
                <w:sz w:val="18"/>
              </w:rPr>
              <w:t xml:space="preserve"> frequency, not a variant allele fraction</w:t>
            </w:r>
          </w:p>
        </w:tc>
        <w:tc>
          <w:tcPr>
            <w:tcW w:type="dxa" w:w="3216"/>
          </w:tcPr>
          <w:p>
            <w:pPr>
              <w:spacing w:after="40"/>
            </w:pPr>
            <w:r/>
            <w:r>
              <w:rPr>
                <w:b/>
                <w:sz w:val="18"/>
              </w:rPr>
              <w:t>Yes</w:t>
            </w:r>
          </w:p>
        </w:tc>
        <w:tc>
          <w:tcPr>
            <w:tcW w:type="dxa" w:w="3216"/>
          </w:tcPr>
          <w:p>
            <w:pPr>
              <w:spacing w:after="40"/>
            </w:pPr>
            <w:r/>
            <w:r>
              <w:rPr>
                <w:sz w:val="18"/>
              </w:rPr>
              <w:t>Without a matched normal, a TP53 finding can be somatic or clonal haematopoiesis rather than germline.</w:t>
            </w:r>
          </w:p>
        </w:tc>
      </w:tr>
      <w:tr>
        <w:tc>
          <w:tcPr>
            <w:tcW w:type="dxa" w:w="3216"/>
          </w:tcPr>
          <w:p>
            <w:pPr>
              <w:spacing w:after="40"/>
            </w:pPr>
            <w:r/>
            <w:r>
              <w:rPr>
                <w:sz w:val="18"/>
              </w:rPr>
              <w:t>"TP53 is famous, so this is probably a hotspot artefact"</w:t>
            </w:r>
          </w:p>
        </w:tc>
        <w:tc>
          <w:tcPr>
            <w:tcW w:type="dxa" w:w="3216"/>
          </w:tcPr>
          <w:p>
            <w:pPr>
              <w:spacing w:after="40"/>
            </w:pPr>
            <w:r/>
            <w:r>
              <w:rPr>
                <w:b/>
                <w:sz w:val="18"/>
              </w:rPr>
              <w:t>No</w:t>
            </w:r>
          </w:p>
        </w:tc>
        <w:tc>
          <w:tcPr>
            <w:tcW w:type="dxa" w:w="3216"/>
          </w:tcPr>
          <w:p>
            <w:pPr>
              <w:spacing w:after="40"/>
            </w:pPr>
            <w:r/>
            <w:r>
              <w:rPr>
                <w:sz w:val="18"/>
              </w:rPr>
              <w:t>Gene fame is not a technical argument, and the record's callability metrics are strong.</w:t>
            </w:r>
          </w:p>
        </w:tc>
      </w:tr>
      <w:tr>
        <w:tc>
          <w:tcPr>
            <w:tcW w:type="dxa" w:w="3216"/>
          </w:tcPr>
          <w:p>
            <w:pPr>
              <w:spacing w:after="40"/>
            </w:pPr>
            <w:r/>
            <w:r>
              <w:rPr>
                <w:sz w:val="18"/>
              </w:rPr>
              <w:t>"AF=1e-5 is suspiciously low"</w:t>
            </w:r>
          </w:p>
        </w:tc>
        <w:tc>
          <w:tcPr>
            <w:tcW w:type="dxa" w:w="3216"/>
          </w:tcPr>
          <w:p>
            <w:pPr>
              <w:spacing w:after="40"/>
            </w:pPr>
            <w:r/>
            <w:r>
              <w:rPr>
                <w:b/>
                <w:sz w:val="18"/>
              </w:rPr>
              <w:t>No</w:t>
            </w:r>
          </w:p>
        </w:tc>
        <w:tc>
          <w:tcPr>
            <w:tcW w:type="dxa" w:w="3216"/>
          </w:tcPr>
          <w:p>
            <w:pPr>
              <w:spacing w:after="40"/>
            </w:pPr>
            <w:r/>
            <w:r>
              <w:rPr>
                <w:sz w:val="18"/>
              </w:rPr>
              <w:t>That is the expected frequency for a genuinely pathogenic allele.</w:t>
            </w:r>
          </w:p>
        </w:tc>
      </w:tr>
    </w:tbl>
    <w:p/>
    <w:p>
      <w:r>
        <w:rPr>
          <w:b/>
          <w:sz w:val="21"/>
        </w:rPr>
        <w:t>Evidence ladder.</w:t>
      </w:r>
    </w:p>
    <w:p>
      <w:r>
        <w:rPr>
          <w:i/>
          <w:sz w:val="21"/>
        </w:rPr>
        <w:t>Known evidence.</w:t>
      </w:r>
      <w:r>
        <w:rPr>
          <w:sz w:val="21"/>
        </w:rPr>
        <w:t xml:space="preserve"> Of twelve records, </w:t>
      </w:r>
      <w:r>
        <w:rPr>
          <w:rFonts w:ascii="Consolas" w:hAnsi="Consolas"/>
          <w:color w:val="3E2A63"/>
          <w:sz w:val="21"/>
        </w:rPr>
        <w:t>chr17:7673803 G&gt;A</w:t>
      </w:r>
      <w:r>
        <w:rPr>
          <w:sz w:val="21"/>
        </w:rPr>
        <w:t xml:space="preserve"> is the only one passing</w:t>
      </w:r>
    </w:p>
    <w:p>
      <w:r>
        <w:rPr>
          <w:sz w:val="21"/>
        </w:rPr>
        <w:t>FILTER=PASS with DP=80 and GQ=99 at AF=1×10⁻⁵, and Ensembl GRCh38.p14 confirms the</w:t>
      </w:r>
    </w:p>
    <w:p>
      <w:r>
        <w:rPr>
          <w:sz w:val="21"/>
        </w:rPr>
        <w:t>position lies in TP53 (ENSG00000141510, strand −1) with reference allele G as stated.</w:t>
      </w:r>
    </w:p>
    <w:p>
      <w:r>
        <w:rPr>
          <w:i/>
          <w:sz w:val="21"/>
        </w:rPr>
        <w:t>Computational inference.</w:t>
      </w:r>
      <w:r>
        <w:rPr>
          <w:sz w:val="21"/>
        </w:rPr>
        <w:t xml:space="preserve"> A tiered filter — technical callability, then population</w:t>
      </w:r>
    </w:p>
    <w:p>
      <w:r>
        <w:rPr>
          <w:sz w:val="21"/>
        </w:rPr>
        <w:t>frequency, then consequence, with clinical annotation used only to rank — reduces</w:t>
      </w:r>
    </w:p>
    <w:p>
      <w:r>
        <w:rPr>
          <w:sz w:val="21"/>
        </w:rPr>
        <w:t>twelve records to four and places TP53 first. The ordering matters more than the</w:t>
      </w:r>
    </w:p>
    <w:p>
      <w:r>
        <w:rPr>
          <w:sz w:val="21"/>
        </w:rPr>
        <w:t>thresholds: a ClinVar-first sort would promote MSH2 and MECP2, whose genotypes rest on</w:t>
      </w:r>
    </w:p>
    <w:p>
      <w:r>
        <w:rPr>
          <w:sz w:val="21"/>
        </w:rPr>
        <w:t>eight and five reads.</w:t>
      </w:r>
    </w:p>
    <w:p>
      <w:r>
        <w:rPr>
          <w:i/>
          <w:sz w:val="21"/>
        </w:rPr>
        <w:t>Scientific hypothesis.</w:t>
      </w:r>
      <w:r>
        <w:rPr>
          <w:sz w:val="21"/>
        </w:rPr>
        <w:t xml:space="preserve"> A rare, well-supported single-nucleotide change in TP53 alters</w:t>
      </w:r>
    </w:p>
    <w:p>
      <w:r>
        <w:rPr>
          <w:sz w:val="21"/>
        </w:rPr>
        <w:t>the function of the encoded protein or the processing of its transcript, and contributes</w:t>
      </w:r>
    </w:p>
    <w:p>
      <w:r>
        <w:rPr>
          <w:sz w:val="21"/>
        </w:rPr>
        <w:t>to the phenotype under investigation.</w:t>
      </w:r>
    </w:p>
    <w:p>
      <w:r>
        <w:rPr>
          <w:i/>
          <w:sz w:val="21"/>
        </w:rPr>
        <w:t>Required experiment.</w:t>
      </w:r>
      <w:r>
        <w:rPr>
          <w:sz w:val="21"/>
        </w:rPr>
        <w:t xml:space="preserve"> Confirm the genotype orthogonally by Sanger or ddPCR with a</w:t>
      </w:r>
    </w:p>
    <w:p>
      <w:r>
        <w:rPr>
          <w:sz w:val="21"/>
        </w:rPr>
        <w:t>matched normal to establish germline versus somatic origin; re-annotate against a pinned</w:t>
      </w:r>
    </w:p>
    <w:p>
      <w:r>
        <w:rPr>
          <w:sz w:val="21"/>
        </w:rPr>
        <w:t>MANE transcript on a declared assembly; then test the actual molecular consequence —</w:t>
      </w:r>
    </w:p>
    <w:p>
      <w:r>
        <w:rPr>
          <w:sz w:val="21"/>
        </w:rPr>
        <w:t>RT-PCR or targeted RNA-seq across the relevant junction if a splice effect survives</w:t>
      </w:r>
    </w:p>
    <w:p>
      <w:r>
        <w:rPr>
          <w:sz w:val="21"/>
        </w:rPr>
        <w:t>re-annotation, otherwise a protein-function assay.</w:t>
      </w:r>
    </w:p>
    <w:p>
      <w:r>
        <w:rPr>
          <w:b/>
          <w:sz w:val="19"/>
        </w:rPr>
        <w:t>Figure 4.</w:t>
      </w:r>
      <w:r>
        <w:rPr>
          <w:sz w:val="19"/>
        </w:rPr>
        <w:t xml:space="preserve"> </w:t>
      </w:r>
      <w:r>
        <w:rPr>
          <w:rFonts w:ascii="Consolas" w:hAnsi="Consolas"/>
          <w:color w:val="3E2A63"/>
          <w:sz w:val="19"/>
        </w:rPr>
        <w:t>figures/Q4_prioritization.png</w:t>
      </w:r>
    </w:p>
    <w:p>
      <w:pPr>
        <w:jc w:val="center"/>
      </w:pPr>
      <w:r>
        <w:drawing>
          <wp:inline xmlns:a="http://schemas.openxmlformats.org/drawingml/2006/main" xmlns:pic="http://schemas.openxmlformats.org/drawingml/2006/picture">
            <wp:extent cx="5852160" cy="6502400"/>
            <wp:docPr id="4" name="Picture 4"/>
            <wp:cNvGraphicFramePr>
              <a:graphicFrameLocks noChangeAspect="1"/>
            </wp:cNvGraphicFramePr>
            <a:graphic>
              <a:graphicData uri="http://schemas.openxmlformats.org/drawingml/2006/picture">
                <pic:pic>
                  <pic:nvPicPr>
                    <pic:cNvPr id="0" name="Q4_prioritization.png"/>
                    <pic:cNvPicPr/>
                  </pic:nvPicPr>
                  <pic:blipFill>
                    <a:blip r:embed="rId12"/>
                    <a:stretch>
                      <a:fillRect/>
                    </a:stretch>
                  </pic:blipFill>
                  <pic:spPr>
                    <a:xfrm>
                      <a:off x="0" y="0"/>
                      <a:ext cx="5852160" cy="6502400"/>
                    </a:xfrm>
                    <a:prstGeom prst="rect"/>
                  </pic:spPr>
                </pic:pic>
              </a:graphicData>
            </a:graphic>
          </wp:inline>
        </w:drawing>
      </w:r>
    </w:p>
    <w:p>
      <w:pPr>
        <w:spacing w:before="120" w:after="160"/>
        <w:ind w:left="432"/>
        <w:pBdr>
          <w:left w:val="single" w:sz="18" w:space="6" w:color="3E2A63"/>
        </w:pBdr>
      </w:pPr>
      <w:r>
        <w:rPr>
          <w:b/>
          <w:sz w:val="21"/>
        </w:rPr>
        <w:t>Variant</w:t>
      </w:r>
      <w:r>
        <w:rPr>
          <w:sz w:val="21"/>
        </w:rPr>
        <w:t xml:space="preserve"> chr17:7673803 G&gt;A </w:t>
      </w:r>
      <w:r>
        <w:rPr>
          <w:b/>
          <w:sz w:val="21"/>
        </w:rPr>
        <w:t>may influence</w:t>
      </w:r>
      <w:r>
        <w:rPr>
          <w:sz w:val="21"/>
        </w:rPr>
        <w:t xml:space="preserve"> TP53 function </w:t>
      </w:r>
      <w:r>
        <w:rPr>
          <w:b/>
          <w:sz w:val="21"/>
        </w:rPr>
        <w:t>by affecting</w:t>
      </w:r>
      <w:r>
        <w:rPr>
          <w:sz w:val="21"/>
        </w:rPr>
        <w:t xml:space="preserve"> the coding sequence or processing of the TP53 transcript — the exact mechanism cannot be stated until the record is re-annotated on a declared assembly, because the supplied </w:t>
      </w:r>
      <w:r>
        <w:rPr>
          <w:rFonts w:ascii="Consolas" w:hAnsi="Consolas"/>
          <w:color w:val="3E2A63"/>
          <w:sz w:val="21"/>
        </w:rPr>
        <w:t>splice_acceptor_variant</w:t>
      </w:r>
      <w:r>
        <w:rPr>
          <w:sz w:val="21"/>
        </w:rPr>
        <w:t xml:space="preserve"> label is not supported at this coordinate — </w:t>
      </w:r>
      <w:r>
        <w:rPr>
          <w:b/>
          <w:sz w:val="21"/>
        </w:rPr>
        <w:t>and this can be tested by</w:t>
      </w:r>
      <w:r>
        <w:rPr>
          <w:sz w:val="21"/>
        </w:rPr>
        <w:t xml:space="preserve"> orthogonal genotype confirmation with a matched normal, followed by RT-PCR/targeted RNA-seq across the junction or a protein-function assay, whichever the corrected annotation indicates.</w:t>
      </w:r>
    </w:p>
    <w:p>
      <w:pPr>
        <w:pBdr>
          <w:bottom w:val="single" w:sz="6" w:color="D8D3E0"/>
        </w:pBdr>
        <w:spacing w:after="160"/>
      </w:pPr>
    </w:p>
    <w:p>
      <w:pPr>
        <w:pStyle w:val="Heading1"/>
      </w:pPr>
      <w:r>
        <w:rPr>
          <w:color w:val="3E2A63"/>
        </w:rPr>
        <w:t>Appendix</w:t>
      </w:r>
    </w:p>
    <w:p>
      <w:pPr>
        <w:pStyle w:val="Heading2"/>
      </w:pPr>
      <w:r>
        <w:rPr>
          <w:color w:val="241A38"/>
        </w:rPr>
        <w:t>A1. Prompts used (abbreviated)</w:t>
      </w:r>
    </w:p>
    <w:p>
      <w:pPr>
        <w:pStyle w:val="ListBullet"/>
      </w:pPr>
      <w:r>
        <w:rPr>
          <w:b/>
          <w:sz w:val="21"/>
        </w:rPr>
        <w:t>Q1:</w:t>
      </w:r>
      <w:r>
        <w:rPr>
          <w:sz w:val="21"/>
        </w:rPr>
        <w:t xml:space="preserve"> "Do not rewrite my assay ordering. For each assay state the physical quantity</w:t>
      </w:r>
    </w:p>
    <w:p>
      <w:r>
        <w:rPr>
          <w:sz w:val="21"/>
        </w:rPr>
        <w:t>measured, one claim it cannot support, and where my ordering lets an association</w:t>
      </w:r>
    </w:p>
    <w:p>
      <w:r>
        <w:rPr>
          <w:sz w:val="21"/>
        </w:rPr>
        <w:t>masquerade as a mechanism."</w:t>
      </w:r>
    </w:p>
    <w:p>
      <w:pPr>
        <w:pStyle w:val="ListBullet"/>
      </w:pPr>
      <w:r>
        <w:rPr>
          <w:b/>
          <w:sz w:val="21"/>
        </w:rPr>
        <w:t>Q2:</w:t>
      </w:r>
      <w:r>
        <w:rPr>
          <w:sz w:val="21"/>
        </w:rPr>
        <w:t xml:space="preserve"> "Before writing any code: list assumptions, state which FastQC modules you will</w:t>
      </w:r>
    </w:p>
    <w:p>
      <w:r>
        <w:rPr>
          <w:sz w:val="21"/>
        </w:rPr>
        <w:t>interpret and what each can and cannot tell me, and give a verification checklist. No</w:t>
      </w:r>
    </w:p>
    <w:p>
      <w:r>
        <w:rPr>
          <w:sz w:val="21"/>
        </w:rPr>
        <w:t>commands until I approve."</w:t>
      </w:r>
    </w:p>
    <w:p>
      <w:pPr>
        <w:pStyle w:val="ListBullet"/>
      </w:pPr>
      <w:r>
        <w:rPr>
          <w:b/>
          <w:sz w:val="21"/>
        </w:rPr>
        <w:t>Q3:</w:t>
      </w:r>
      <w:r>
        <w:rPr>
          <w:sz w:val="21"/>
        </w:rPr>
        <w:t xml:space="preserve"> "Sort every statement into exactly one of: direct observation, biological</w:t>
      </w:r>
    </w:p>
    <w:p>
      <w:r>
        <w:rPr>
          <w:sz w:val="21"/>
        </w:rPr>
        <w:t>interpretation, missing evidence. Then name the single missing item that would most</w:t>
      </w:r>
    </w:p>
    <w:p>
      <w:r>
        <w:rPr>
          <w:sz w:val="21"/>
        </w:rPr>
        <w:t>change my confidence."</w:t>
      </w:r>
    </w:p>
    <w:p>
      <w:pPr>
        <w:pStyle w:val="ListBullet"/>
      </w:pPr>
      <w:r>
        <w:rPr>
          <w:b/>
          <w:sz w:val="21"/>
        </w:rPr>
        <w:t>Q4:</w:t>
      </w:r>
      <w:r>
        <w:rPr>
          <w:sz w:val="21"/>
        </w:rPr>
        <w:t xml:space="preserve"> "State the order in which you would apply filters and justify the order, not the</w:t>
      </w:r>
    </w:p>
    <w:p>
      <w:r>
        <w:rPr>
          <w:sz w:val="21"/>
        </w:rPr>
        <w:t>thresholds. Name which records the wrong order would wrongly promote. Only then write R."</w:t>
      </w:r>
    </w:p>
    <w:p>
      <w:pPr>
        <w:pStyle w:val="Heading2"/>
      </w:pPr>
      <w:r>
        <w:rPr>
          <w:color w:val="241A38"/>
        </w:rPr>
        <w:t>A2. Thresholds and their justification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DE9F2"/>
          </w:tcPr>
          <w:p>
            <w:pPr>
              <w:spacing w:after="40"/>
            </w:pPr>
            <w:r>
              <w:rPr>
                <w:b/>
              </w:rPr>
            </w:r>
            <w:r>
              <w:rPr>
                <w:b/>
                <w:sz w:val="18"/>
              </w:rPr>
              <w:t>Parameter</w:t>
            </w:r>
          </w:p>
        </w:tc>
        <w:tc>
          <w:tcPr>
            <w:tcW w:type="dxa" w:w="3216"/>
            <w:shd w:val="clear" w:fill="EDE9F2"/>
          </w:tcPr>
          <w:p>
            <w:pPr>
              <w:spacing w:after="40"/>
            </w:pPr>
            <w:r>
              <w:rPr>
                <w:b/>
              </w:rPr>
            </w:r>
            <w:r>
              <w:rPr>
                <w:b/>
                <w:sz w:val="18"/>
              </w:rPr>
              <w:t>Value</w:t>
            </w:r>
          </w:p>
        </w:tc>
        <w:tc>
          <w:tcPr>
            <w:tcW w:type="dxa" w:w="3216"/>
            <w:shd w:val="clear" w:fill="EDE9F2"/>
          </w:tcPr>
          <w:p>
            <w:pPr>
              <w:spacing w:after="40"/>
            </w:pPr>
            <w:r>
              <w:rPr>
                <w:b/>
              </w:rPr>
            </w:r>
            <w:r>
              <w:rPr>
                <w:b/>
                <w:sz w:val="18"/>
              </w:rPr>
              <w:t>Justification</w:t>
            </w:r>
          </w:p>
        </w:tc>
      </w:tr>
      <w:tr>
        <w:tc>
          <w:tcPr>
            <w:tcW w:type="dxa" w:w="3216"/>
          </w:tcPr>
          <w:p>
            <w:pPr>
              <w:spacing w:after="40"/>
            </w:pPr>
            <w:r/>
            <w:r>
              <w:rPr>
                <w:rFonts w:ascii="Consolas" w:hAnsi="Consolas"/>
                <w:color w:val="3E2A63"/>
                <w:sz w:val="18"/>
              </w:rPr>
              <w:t>MIN_DP</w:t>
            </w:r>
          </w:p>
        </w:tc>
        <w:tc>
          <w:tcPr>
            <w:tcW w:type="dxa" w:w="3216"/>
          </w:tcPr>
          <w:p>
            <w:pPr>
              <w:spacing w:after="40"/>
            </w:pPr>
            <w:r/>
            <w:r>
              <w:rPr>
                <w:sz w:val="18"/>
              </w:rPr>
              <w:t>20</w:t>
            </w:r>
          </w:p>
        </w:tc>
        <w:tc>
          <w:tcPr>
            <w:tcW w:type="dxa" w:w="3216"/>
          </w:tcPr>
          <w:p>
            <w:pPr>
              <w:spacing w:after="40"/>
            </w:pPr>
            <w:r/>
            <w:r>
              <w:rPr>
                <w:sz w:val="18"/>
              </w:rPr>
              <w:t>Below ~20× the allele balance of a heterozygote cannot be assessed reliably</w:t>
            </w:r>
          </w:p>
        </w:tc>
      </w:tr>
      <w:tr>
        <w:tc>
          <w:tcPr>
            <w:tcW w:type="dxa" w:w="3216"/>
          </w:tcPr>
          <w:p>
            <w:pPr>
              <w:spacing w:after="40"/>
            </w:pPr>
            <w:r/>
            <w:r>
              <w:rPr>
                <w:rFonts w:ascii="Consolas" w:hAnsi="Consolas"/>
                <w:color w:val="3E2A63"/>
                <w:sz w:val="18"/>
              </w:rPr>
              <w:t>MIN_GQ</w:t>
            </w:r>
          </w:p>
        </w:tc>
        <w:tc>
          <w:tcPr>
            <w:tcW w:type="dxa" w:w="3216"/>
          </w:tcPr>
          <w:p>
            <w:pPr>
              <w:spacing w:after="40"/>
            </w:pPr>
            <w:r/>
            <w:r>
              <w:rPr>
                <w:sz w:val="18"/>
              </w:rPr>
              <w:t>30</w:t>
            </w:r>
          </w:p>
        </w:tc>
        <w:tc>
          <w:tcPr>
            <w:tcW w:type="dxa" w:w="3216"/>
          </w:tcPr>
          <w:p>
            <w:pPr>
              <w:spacing w:after="40"/>
            </w:pPr>
            <w:r/>
            <w:r>
              <w:rPr>
                <w:sz w:val="18"/>
              </w:rPr>
              <w:t>GQ 30 ⇒ P(wrong genotype) ≈ 10⁻³, matching the Phred convention Q = −10 log₁₀ P</w:t>
            </w:r>
          </w:p>
        </w:tc>
      </w:tr>
      <w:tr>
        <w:tc>
          <w:tcPr>
            <w:tcW w:type="dxa" w:w="3216"/>
          </w:tcPr>
          <w:p>
            <w:pPr>
              <w:spacing w:after="40"/>
            </w:pPr>
            <w:r/>
            <w:r>
              <w:rPr>
                <w:rFonts w:ascii="Consolas" w:hAnsi="Consolas"/>
                <w:color w:val="3E2A63"/>
                <w:sz w:val="18"/>
              </w:rPr>
              <w:t>MAX_AF</w:t>
            </w:r>
          </w:p>
        </w:tc>
        <w:tc>
          <w:tcPr>
            <w:tcW w:type="dxa" w:w="3216"/>
          </w:tcPr>
          <w:p>
            <w:pPr>
              <w:spacing w:after="40"/>
            </w:pPr>
            <w:r/>
            <w:r>
              <w:rPr>
                <w:sz w:val="18"/>
              </w:rPr>
              <w:t>1×10⁻³</w:t>
            </w:r>
          </w:p>
        </w:tc>
        <w:tc>
          <w:tcPr>
            <w:tcW w:type="dxa" w:w="3216"/>
          </w:tcPr>
          <w:p>
            <w:pPr>
              <w:spacing w:after="40"/>
            </w:pPr>
            <w:r/>
            <w:r>
              <w:rPr>
                <w:sz w:val="18"/>
              </w:rPr>
              <w:t>Rarity ceiling under a severe, penetrant Mendelian model; deliberately not applied to complex-trait reasoning</w:t>
            </w:r>
          </w:p>
        </w:tc>
      </w:tr>
      <w:tr>
        <w:tc>
          <w:tcPr>
            <w:tcW w:type="dxa" w:w="3216"/>
          </w:tcPr>
          <w:p>
            <w:pPr>
              <w:spacing w:after="40"/>
            </w:pPr>
            <w:r/>
            <w:r>
              <w:rPr>
                <w:sz w:val="18"/>
              </w:rPr>
              <w:t>Impact classes</w:t>
            </w:r>
          </w:p>
        </w:tc>
        <w:tc>
          <w:tcPr>
            <w:tcW w:type="dxa" w:w="3216"/>
          </w:tcPr>
          <w:p>
            <w:pPr>
              <w:spacing w:after="40"/>
            </w:pPr>
            <w:r/>
            <w:r>
              <w:rPr>
                <w:sz w:val="18"/>
              </w:rPr>
              <w:t>stop_gained, frameshift, splice_acceptor/donor, missense</w:t>
            </w:r>
          </w:p>
        </w:tc>
        <w:tc>
          <w:tcPr>
            <w:tcW w:type="dxa" w:w="3216"/>
          </w:tcPr>
          <w:p>
            <w:pPr>
              <w:spacing w:after="40"/>
            </w:pPr>
            <w:r/>
            <w:r>
              <w:rPr>
                <w:sz w:val="18"/>
              </w:rPr>
              <w:t>Protein- or splice-impacting; synonymous deprioritized but explicitly not dismissed</w:t>
            </w:r>
          </w:p>
        </w:tc>
      </w:tr>
    </w:tbl>
    <w:p/>
    <w:p>
      <w:pPr>
        <w:pStyle w:val="Heading2"/>
      </w:pPr>
      <w:r>
        <w:rPr>
          <w:color w:val="241A38"/>
        </w:rPr>
        <w:t>A3. Reproducing this analysis</w:t>
      </w:r>
    </w:p>
    <w:p>
      <w:pPr>
        <w:pStyle w:val="CodeBlk"/>
      </w:pPr>
      <w:r>
        <w:t>cd week4_project</w:t>
      </w:r>
    </w:p>
    <w:p>
      <w:pPr>
        <w:pStyle w:val="CodeBlk"/>
      </w:pPr>
      <w:r>
        <w:t>"D:\R-4.6.1\bin\Rscript.exe" R/q4_variant_prioritization.R   # Q4 analysis + figure</w:t>
      </w:r>
    </w:p>
    <w:p>
      <w:pPr>
        <w:pStyle w:val="CodeBlk"/>
      </w:pPr>
      <w:r>
        <w:t>py R/q2_fastq_audit.py                                        # Q2 audit + figure</w:t>
      </w:r>
    </w:p>
    <w:p>
      <w:pPr>
        <w:pStyle w:val="CodeBlk"/>
      </w:pPr>
      <w:r>
        <w:t>py R/q1_q3_figures.py                                         # Q1 and Q3 figures</w:t>
      </w:r>
    </w:p>
    <w:p>
      <w:pPr>
        <w:pStyle w:val="CodeBlk"/>
      </w:pPr>
      <w:r>
        <w:t>py R/q4_verify_databases.py                                   # live Ensembl + ClinVar checks</w:t>
      </w:r>
    </w:p>
    <w:p>
      <w:pPr>
        <w:pStyle w:val="CodeBlk"/>
      </w:pPr>
      <w:r>
        <w:t>py R/build_worksheet_docx.py                                  # the hand-written worksheet</w:t>
      </w:r>
    </w:p>
    <w:p>
      <w:r>
        <w:rPr>
          <w:sz w:val="21"/>
        </w:rPr>
        <w:t>Environment: R 4.6.1 (readr, dplyr, ggplot2, ggrepel, patchwork), Python 3.12</w:t>
      </w:r>
    </w:p>
    <w:p>
      <w:r>
        <w:rPr>
          <w:sz w:val="21"/>
        </w:rPr>
        <w:t xml:space="preserve">(matplotlib 3.11.1, python-docx). Session details in </w:t>
      </w:r>
      <w:r>
        <w:rPr>
          <w:rFonts w:ascii="Consolas" w:hAnsi="Consolas"/>
          <w:color w:val="3E2A63"/>
          <w:sz w:val="21"/>
        </w:rPr>
        <w:t>results/q4_sessionInfo.txt</w:t>
      </w:r>
      <w:r>
        <w:rPr>
          <w:sz w:val="21"/>
        </w:rPr>
        <w:t>.</w:t>
      </w:r>
    </w:p>
    <w:p>
      <w:r>
        <w:rPr>
          <w:sz w:val="21"/>
        </w:rPr>
        <w:t>Network note: this machine's DNS is intermittent; every network call retries.</w:t>
      </w:r>
    </w:p>
    <w:p>
      <w:pPr>
        <w:pStyle w:val="Heading2"/>
      </w:pPr>
      <w:r>
        <w:rPr>
          <w:color w:val="241A38"/>
        </w:rPr>
        <w:t>A4. Declaration of AI use</w:t>
      </w:r>
    </w:p>
    <w:p>
      <w:r>
        <w:rPr>
          <w:sz w:val="21"/>
        </w:rPr>
        <w:t>AI (Claude Code) was used for all four questions, as the assignment requires. It drafted</w:t>
      </w:r>
    </w:p>
    <w:p>
      <w:r>
        <w:rPr>
          <w:sz w:val="21"/>
        </w:rPr>
        <w:t>the analysis scripts and the figure code, and was used adversarially — to critique an</w:t>
      </w:r>
    </w:p>
    <w:p>
      <w:r>
        <w:rPr>
          <w:sz w:val="21"/>
        </w:rPr>
        <w:t>ordering, to partition observations from interpretations, and to argue against the top</w:t>
      </w:r>
    </w:p>
    <w:p>
      <w:r>
        <w:rPr>
          <w:sz w:val="21"/>
        </w:rPr>
        <w:t xml:space="preserve">variant. Its output was </w:t>
      </w:r>
      <w:r>
        <w:rPr>
          <w:b/>
          <w:sz w:val="21"/>
        </w:rPr>
        <w:t>rejected or corrected in five recorded instances</w:t>
      </w:r>
      <w:r>
        <w:rPr>
          <w:sz w:val="21"/>
        </w:rPr>
        <w:t>, listed in</w:t>
      </w:r>
    </w:p>
    <w:p>
      <w:r>
        <w:rPr>
          <w:sz w:val="21"/>
        </w:rPr>
        <w:t>the Q2 audit table and the Q4 filter ordering.</w:t>
      </w:r>
    </w:p>
    <w:p>
      <w:r>
        <w:rPr>
          <w:sz w:val="21"/>
        </w:rPr>
        <w:t xml:space="preserve">The </w:t>
      </w:r>
      <w:r>
        <w:rPr>
          <w:i/>
          <w:sz w:val="21"/>
        </w:rPr>
        <w:t>Reasoning before AI</w:t>
      </w:r>
      <w:r>
        <w:rPr>
          <w:sz w:val="21"/>
        </w:rPr>
        <w:t xml:space="preserve"> for all four questions is hand-written in</w:t>
      </w:r>
    </w:p>
    <w:p>
      <w:r>
        <w:rPr>
          <w:rFonts w:ascii="Consolas" w:hAnsi="Consolas" w:eastAsia="Microsoft YaHei"/>
          <w:color w:val="3E2A63"/>
          <w:sz w:val="21"/>
        </w:rPr>
        <w:t>Week4_手写部分_曾梓轩.docx</w:t>
      </w:r>
      <w:r>
        <w:rPr>
          <w:sz w:val="21"/>
        </w:rPr>
        <w:t xml:space="preserve"> and was completed before this file was read. Every number</w:t>
      </w:r>
    </w:p>
    <w:p>
      <w:r>
        <w:rPr>
          <w:sz w:val="21"/>
        </w:rPr>
        <w:t>in this file was computed or queried during the documented session and is reproducible</w:t>
      </w:r>
    </w:p>
    <w:p>
      <w:r>
        <w:rPr>
          <w:sz w:val="21"/>
        </w:rPr>
        <w:t>from the scripts in A3.</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k">
    <w:name w:val="CodeBlk"/>
    <w:pPr>
      <w:spacing w:before="80" w:after="12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