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Bioinformatics: From Multi-Omics Data to Discovery</w:t>
      </w:r>
    </w:p>
    <w:p>
      <w:pPr>
        <w:pStyle w:val="Heading1"/>
        <w:jc w:val="center"/>
      </w:pPr>
      <w:r>
        <w:t>Week 2 Homework — Scientific Question Formulation &amp; Literature Mining</w:t>
      </w:r>
    </w:p>
    <w:p>
      <w:pPr>
        <w:jc w:val="center"/>
      </w:pPr>
      <w:r>
        <w:rPr>
          <w:color w:val="646464"/>
          <w:sz w:val="20"/>
        </w:rPr>
        <w:t>Name: Zixuan Zeng (曾梓轩)  |  Student ID: SUAT24000114  |  Date: 2026-09-06</w:t>
      </w:r>
    </w:p>
    <w:p/>
    <w:p>
      <w:pPr>
        <w:pStyle w:val="Heading1"/>
      </w:pPr>
      <w:r>
        <w:t>Part A: From Broad Topic to Data-Driven Question</w:t>
      </w:r>
    </w:p>
    <w:p>
      <w:r>
        <w:t>Chosen topic: Strawberry suspension cell culture for anthocyanin (pelargonidin) production — aligned with my research project (MYB10 overexpression in strawberry suspension cells).</w:t>
      </w:r>
    </w:p>
    <w:p>
      <w:pPr>
        <w:pStyle w:val="Heading2"/>
      </w:pPr>
      <w:r>
        <w:t>1. Six-Level Question Funnel (Worksheet)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Question state</w:t>
            </w:r>
          </w:p>
        </w:tc>
        <w:tc>
          <w:tcPr>
            <w:tcW w:type="dxa" w:w="2880"/>
          </w:tcPr>
          <w:p>
            <w:r>
              <w:rPr>
                <w:b/>
              </w:rPr>
              <w:t>My answer</w:t>
            </w:r>
          </w:p>
        </w:tc>
      </w:tr>
      <w:tr>
        <w:tc>
          <w:tcPr>
            <w:tcW w:type="dxa" w:w="2880"/>
          </w:tcPr>
          <w:p>
            <w:r>
              <w:rPr>
                <w:b/>
              </w:rPr>
              <w:t>1. Broad domain</w:t>
            </w:r>
          </w:p>
        </w:tc>
        <w:tc>
          <w:tcPr>
            <w:tcW w:type="dxa" w:w="2880"/>
          </w:tcPr>
          <w:p>
            <w:r>
              <w:t>General area of interest (one phrase)</w:t>
            </w:r>
          </w:p>
        </w:tc>
        <w:tc>
          <w:tcPr>
            <w:tcW w:type="dxa" w:w="2880"/>
          </w:tcPr>
          <w:p>
            <w:r>
              <w:t>Plant cell culture for secondary metabolite production</w:t>
            </w:r>
          </w:p>
        </w:tc>
      </w:tr>
      <w:tr>
        <w:tc>
          <w:tcPr>
            <w:tcW w:type="dxa" w:w="2880"/>
          </w:tcPr>
          <w:p>
            <w:r>
              <w:rPr>
                <w:b/>
              </w:rPr>
              <w:t>2. Sub-field</w:t>
            </w:r>
          </w:p>
        </w:tc>
        <w:tc>
          <w:tcPr>
            <w:tcW w:type="dxa" w:w="2880"/>
          </w:tcPr>
          <w:p>
            <w:r>
              <w:t>Narrower biological context (one sentence)</w:t>
            </w:r>
          </w:p>
        </w:tc>
        <w:tc>
          <w:tcPr>
            <w:tcW w:type="dxa" w:w="2880"/>
          </w:tcPr>
          <w:p>
            <w:r>
              <w:t>Anthocyanin/pelargonidin biosynthesis in strawberry (Fragaria × ananassa) suspension-cultured cells</w:t>
            </w:r>
          </w:p>
        </w:tc>
      </w:tr>
      <w:tr>
        <w:tc>
          <w:tcPr>
            <w:tcW w:type="dxa" w:w="2880"/>
          </w:tcPr>
          <w:p>
            <w:r>
              <w:rPr>
                <w:b/>
              </w:rPr>
              <w:t>3. Phenomenon</w:t>
            </w:r>
          </w:p>
        </w:tc>
        <w:tc>
          <w:tcPr>
            <w:tcW w:type="dxa" w:w="2880"/>
          </w:tcPr>
          <w:p>
            <w:r>
              <w:t>Specific observation or pattern (one sentence)</w:t>
            </w:r>
          </w:p>
        </w:tc>
        <w:tc>
          <w:tcPr>
            <w:tcW w:type="dxa" w:w="2880"/>
          </w:tcPr>
          <w:p>
            <w:r>
              <w:t>Overexpression of the MYB10 transcription factor induces anthocyanin accumulation in strawberry callus/cell cultures, but the transcriptional mechanism and the yield of pelargonidin remain incompletely characterized.</w:t>
            </w:r>
          </w:p>
        </w:tc>
      </w:tr>
      <w:tr>
        <w:tc>
          <w:tcPr>
            <w:tcW w:type="dxa" w:w="2880"/>
          </w:tcPr>
          <w:p>
            <w:r>
              <w:rPr>
                <w:b/>
              </w:rPr>
              <w:t>4. Testable hypothesis</w:t>
            </w:r>
          </w:p>
        </w:tc>
        <w:tc>
          <w:tcPr>
            <w:tcW w:type="dxa" w:w="2880"/>
          </w:tcPr>
          <w:p>
            <w:r>
              <w:t>One falsifiable claim</w:t>
            </w:r>
          </w:p>
        </w:tc>
        <w:tc>
          <w:tcPr>
            <w:tcW w:type="dxa" w:w="2880"/>
          </w:tcPr>
          <w:p>
            <w:r>
              <w:t>Compared with empty-vector controls, FaMYB10-overexpressing strawberry suspension cells show significantly higher expression of anthocyanin late biosynthetic genes (FaDFR, FaANS, FaUFGT) and higher pelargonidin-3-glucoside content.</w:t>
            </w:r>
          </w:p>
        </w:tc>
      </w:tr>
      <w:tr>
        <w:tc>
          <w:tcPr>
            <w:tcW w:type="dxa" w:w="2880"/>
          </w:tcPr>
          <w:p>
            <w:r>
              <w:rPr>
                <w:b/>
              </w:rPr>
              <w:t>5. Operationalized question</w:t>
            </w:r>
          </w:p>
        </w:tc>
        <w:tc>
          <w:tcPr>
            <w:tcW w:type="dxa" w:w="2880"/>
          </w:tcPr>
          <w:p>
            <w:r>
              <w:t>Concrete measurement or comparison</w:t>
            </w:r>
          </w:p>
        </w:tc>
        <w:tc>
          <w:tcPr>
            <w:tcW w:type="dxa" w:w="2880"/>
          </w:tcPr>
          <w:p>
            <w:r>
              <w:t>In strawberry suspension cells, does FaMYB10 overexpression increase pelargonidin-3-glucoside content and upregulate late anthocyanin biosynthetic gene expression relative to empty-vector controls?</w:t>
            </w:r>
          </w:p>
        </w:tc>
      </w:tr>
      <w:tr>
        <w:tc>
          <w:tcPr>
            <w:tcW w:type="dxa" w:w="2880"/>
          </w:tcPr>
          <w:p>
            <w:r>
              <w:rPr>
                <w:b/>
              </w:rPr>
              <w:t>6. Data-driven question</w:t>
            </w:r>
          </w:p>
        </w:tc>
        <w:tc>
          <w:tcPr>
            <w:tcW w:type="dxa" w:w="2880"/>
          </w:tcPr>
          <w:p>
            <w:r>
              <w:t>Question matched to available data and analysis</w:t>
            </w:r>
          </w:p>
        </w:tc>
        <w:tc>
          <w:tcPr>
            <w:tcW w:type="dxa" w:w="2880"/>
          </w:tcPr>
          <w:p>
            <w:r>
              <w:t>In RNA-seq data from FaMYB10-OX vs EV strawberry callus/cell cultures (3 biological replicates each), which differentially expressed genes are enriched in the flavonoid/anthocyanin biosynthesis pathway, and does pelargonidin content measured by HPLC correlate with FaUFGT expression?</w:t>
            </w:r>
          </w:p>
        </w:tc>
      </w:tr>
    </w:tbl>
    <w:p/>
    <w:p>
      <w:pPr>
        <w:pStyle w:val="Heading2"/>
      </w:pPr>
      <w:r>
        <w:t>2. PICO/PECO Application</w:t>
      </w:r>
    </w:p>
    <w:p>
      <w:r>
        <w:t>For observational bioinformatics research, PECO is the more natural framework (Population, Exposure, Comparison, Outcome). Applied to my question: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Meaning in my study</w:t>
            </w:r>
          </w:p>
        </w:tc>
        <w:tc>
          <w:tcPr>
            <w:tcW w:type="dxa" w:w="2880"/>
          </w:tcPr>
          <w:p>
            <w:r>
              <w:rPr>
                <w:b/>
              </w:rPr>
              <w:t>Value</w:t>
            </w:r>
          </w:p>
        </w:tc>
      </w:tr>
      <w:tr>
        <w:tc>
          <w:tcPr>
            <w:tcW w:type="dxa" w:w="2880"/>
          </w:tcPr>
          <w:p>
            <w:r>
              <w:rPr>
                <w:b/>
              </w:rPr>
              <w:t>P — Population</w:t>
            </w:r>
          </w:p>
        </w:tc>
        <w:tc>
          <w:tcPr>
            <w:tcW w:type="dxa" w:w="2880"/>
          </w:tcPr>
          <w:p>
            <w:r>
              <w:t>Study subjects / biological system</w:t>
            </w:r>
          </w:p>
        </w:tc>
        <w:tc>
          <w:tcPr>
            <w:tcW w:type="dxa" w:w="2880"/>
          </w:tcPr>
          <w:p>
            <w:r>
              <w:t>Cultivated strawberry (Fragaria × ananassa) suspension-cultured cells (e.g., cv. Benihoppe-derived callus/cell lines)</w:t>
            </w:r>
          </w:p>
        </w:tc>
      </w:tr>
      <w:tr>
        <w:tc>
          <w:tcPr>
            <w:tcW w:type="dxa" w:w="2880"/>
          </w:tcPr>
          <w:p>
            <w:r>
              <w:rPr>
                <w:b/>
              </w:rPr>
              <w:t>E — Exposure</w:t>
            </w:r>
          </w:p>
        </w:tc>
        <w:tc>
          <w:tcPr>
            <w:tcW w:type="dxa" w:w="2880"/>
          </w:tcPr>
          <w:p>
            <w:r>
              <w:t>The factor whose effect is studied</w:t>
            </w:r>
          </w:p>
        </w:tc>
        <w:tc>
          <w:tcPr>
            <w:tcW w:type="dxa" w:w="2880"/>
          </w:tcPr>
          <w:p>
            <w:r>
              <w:t>FaMYB10 (MYB10) transcription factor overexpression (CaMV 35S promoter-driven)</w:t>
            </w:r>
          </w:p>
        </w:tc>
      </w:tr>
      <w:tr>
        <w:tc>
          <w:tcPr>
            <w:tcW w:type="dxa" w:w="2880"/>
          </w:tcPr>
          <w:p>
            <w:r>
              <w:rPr>
                <w:b/>
              </w:rPr>
              <w:t>C — Comparison</w:t>
            </w:r>
          </w:p>
        </w:tc>
        <w:tc>
          <w:tcPr>
            <w:tcW w:type="dxa" w:w="2880"/>
          </w:tcPr>
          <w:p>
            <w:r>
              <w:t>Reference group</w:t>
            </w:r>
          </w:p>
        </w:tc>
        <w:tc>
          <w:tcPr>
            <w:tcW w:type="dxa" w:w="2880"/>
          </w:tcPr>
          <w:p>
            <w:r>
              <w:t>Empty-vector (EV) transformed control cells; dark vs light conditions as secondary contrast</w:t>
            </w:r>
          </w:p>
        </w:tc>
      </w:tr>
      <w:tr>
        <w:tc>
          <w:tcPr>
            <w:tcW w:type="dxa" w:w="2880"/>
          </w:tcPr>
          <w:p>
            <w:r>
              <w:rPr>
                <w:b/>
              </w:rPr>
              <w:t>O — Outcome</w:t>
            </w:r>
          </w:p>
        </w:tc>
        <w:tc>
          <w:tcPr>
            <w:tcW w:type="dxa" w:w="2880"/>
          </w:tcPr>
          <w:p>
            <w:r>
              <w:t>Measured result variable</w:t>
            </w:r>
          </w:p>
        </w:tc>
        <w:tc>
          <w:tcPr>
            <w:tcW w:type="dxa" w:w="2880"/>
          </w:tcPr>
          <w:p>
            <w:r>
              <w:t>Pelargonidin-3-glucoside (anthocyanin) content (HPLC / UV spectrophotometry); expression of anthocyanin biosynthetic genes (FaCHS, FaDFR2, FaANS, FaUFGT1) and transporter (FaRAP); transcriptome (RNA-seq)</w:t>
            </w:r>
          </w:p>
        </w:tc>
      </w:tr>
    </w:tbl>
    <w:p/>
    <w:p>
      <w:r>
        <w:rPr>
          <w:b/>
        </w:rPr>
        <w:t xml:space="preserve">Formulated data-driven question (PECO): </w:t>
      </w:r>
      <w:r>
        <w:t>"In strawberry suspension-cultured cells (P), does FaMYB10 overexpression (E), compared with empty-vector control cells (C), increase pelargonidin-3-glucoside content and upregulate late anthocyanin biosynthetic gene expression (O)?"</w:t>
      </w:r>
    </w:p>
    <w:p>
      <w:pPr>
        <w:pStyle w:val="Heading2"/>
      </w:pPr>
      <w:r>
        <w:t>3. FINER Quality Check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Assessment</w:t>
            </w:r>
          </w:p>
        </w:tc>
      </w:tr>
      <w:tr>
        <w:tc>
          <w:tcPr>
            <w:tcW w:type="dxa" w:w="4320"/>
          </w:tcPr>
          <w:p>
            <w:r>
              <w:t>Feasible</w:t>
            </w:r>
          </w:p>
        </w:tc>
        <w:tc>
          <w:tcPr>
            <w:tcW w:type="dxa" w:w="4320"/>
          </w:tcPr>
          <w:p>
            <w:r>
              <w:t>Yes — RNA-seq of plant cell cultures is routine; reference transcriptome of F. × ananassa available; HPLC-based anthocyanin quantification is standard.</w:t>
            </w:r>
          </w:p>
        </w:tc>
      </w:tr>
      <w:tr>
        <w:tc>
          <w:tcPr>
            <w:tcW w:type="dxa" w:w="4320"/>
          </w:tcPr>
          <w:p>
            <w:r>
              <w:t>Interesting</w:t>
            </w:r>
          </w:p>
        </w:tc>
        <w:tc>
          <w:tcPr>
            <w:tcW w:type="dxa" w:w="4320"/>
          </w:tcPr>
          <w:p>
            <w:r>
              <w:t>Yes — MYB10-driven pelargonidin production in cell factories is a growing biotech application (natural colorants).</w:t>
            </w:r>
          </w:p>
        </w:tc>
      </w:tr>
      <w:tr>
        <w:tc>
          <w:tcPr>
            <w:tcW w:type="dxa" w:w="4320"/>
          </w:tcPr>
          <w:p>
            <w:r>
              <w:t>Novel</w:t>
            </w:r>
          </w:p>
        </w:tc>
        <w:tc>
          <w:tcPr>
            <w:tcW w:type="dxa" w:w="4320"/>
          </w:tcPr>
          <w:p>
            <w:r>
              <w:t>Yes — most strawberry anthocyanin studies focus on fruit tissue; suspension-cell MYB10-OE transcriptome + pelargonidin yield link is underexplored.</w:t>
            </w:r>
          </w:p>
        </w:tc>
      </w:tr>
      <w:tr>
        <w:tc>
          <w:tcPr>
            <w:tcW w:type="dxa" w:w="4320"/>
          </w:tcPr>
          <w:p>
            <w:r>
              <w:t>Ethical</w:t>
            </w:r>
          </w:p>
        </w:tc>
        <w:tc>
          <w:tcPr>
            <w:tcW w:type="dxa" w:w="4320"/>
          </w:tcPr>
          <w:p>
            <w:r>
              <w:t>Yes — plant cell culture, no animal/human subjects.</w:t>
            </w:r>
          </w:p>
        </w:tc>
      </w:tr>
      <w:tr>
        <w:tc>
          <w:tcPr>
            <w:tcW w:type="dxa" w:w="4320"/>
          </w:tcPr>
          <w:p>
            <w:r>
              <w:t>Relevant</w:t>
            </w:r>
          </w:p>
        </w:tc>
        <w:tc>
          <w:tcPr>
            <w:tcW w:type="dxa" w:w="4320"/>
          </w:tcPr>
          <w:p>
            <w:r>
              <w:t>Yes — supports plant cell factory design for anthocyanin/pelargonidin production.</w:t>
            </w:r>
          </w:p>
        </w:tc>
      </w:tr>
    </w:tbl>
    <w:p/>
    <w:p>
      <w:pPr>
        <w:pStyle w:val="Heading2"/>
      </w:pPr>
      <w:r>
        <w:t>4. Minimal Analysis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Plan component</w:t>
            </w:r>
          </w:p>
        </w:tc>
        <w:tc>
          <w:tcPr>
            <w:tcW w:type="dxa" w:w="2880"/>
          </w:tcPr>
          <w:p>
            <w:r>
              <w:rPr>
                <w:b/>
              </w:rPr>
              <w:t>Question to answer</w:t>
            </w:r>
          </w:p>
        </w:tc>
        <w:tc>
          <w:tcPr>
            <w:tcW w:type="dxa" w:w="2880"/>
          </w:tcPr>
          <w:p>
            <w:r>
              <w:rPr>
                <w:b/>
              </w:rPr>
              <w:t>My plan</w:t>
            </w:r>
          </w:p>
        </w:tc>
      </w:tr>
      <w:tr>
        <w:tc>
          <w:tcPr>
            <w:tcW w:type="dxa" w:w="2880"/>
          </w:tcPr>
          <w:p>
            <w:r>
              <w:t>Dataset</w:t>
            </w:r>
          </w:p>
        </w:tc>
        <w:tc>
          <w:tcPr>
            <w:tcW w:type="dxa" w:w="2880"/>
          </w:tcPr>
          <w:p>
            <w:r>
              <w:t>Which cohort, accession, or public database?</w:t>
            </w:r>
          </w:p>
        </w:tc>
        <w:tc>
          <w:tcPr>
            <w:tcW w:type="dxa" w:w="2880"/>
          </w:tcPr>
          <w:p>
            <w:r>
              <w:t>Self-generated RNA-seq (or public data from Wang et al. 2023, IJMS, PMID 38068883, FaMYB10L-OX strawberry calli transcriptome; GEO/SRA-deposited data)</w:t>
            </w:r>
          </w:p>
        </w:tc>
      </w:tr>
      <w:tr>
        <w:tc>
          <w:tcPr>
            <w:tcW w:type="dxa" w:w="2880"/>
          </w:tcPr>
          <w:p>
            <w:r>
              <w:t>Sample inclusion</w:t>
            </w:r>
          </w:p>
        </w:tc>
        <w:tc>
          <w:tcPr>
            <w:tcW w:type="dxa" w:w="2880"/>
          </w:tcPr>
          <w:p>
            <w:r>
              <w:t>Which samples in or out?</w:t>
            </w:r>
          </w:p>
        </w:tc>
        <w:tc>
          <w:tcPr>
            <w:tcW w:type="dxa" w:w="2880"/>
          </w:tcPr>
          <w:p>
            <w:r>
              <w:t>Include FaMYB10-OX and EV suspension cell lines, 3 biological replicates each; exclude contaminated/low-RIN samples</w:t>
            </w:r>
          </w:p>
        </w:tc>
      </w:tr>
      <w:tr>
        <w:tc>
          <w:tcPr>
            <w:tcW w:type="dxa" w:w="2880"/>
          </w:tcPr>
          <w:p>
            <w:r>
              <w:t>Comparison</w:t>
            </w:r>
          </w:p>
        </w:tc>
        <w:tc>
          <w:tcPr>
            <w:tcW w:type="dxa" w:w="2880"/>
          </w:tcPr>
          <w:p>
            <w:r>
              <w:t>What exactly is compared?</w:t>
            </w:r>
          </w:p>
        </w:tc>
        <w:tc>
          <w:tcPr>
            <w:tcW w:type="dxa" w:w="2880"/>
          </w:tcPr>
          <w:p>
            <w:r>
              <w:t>FaMYB10-OX vs EV (DESeq2, design = ~ group); light vs dark as secondary factor</w:t>
            </w:r>
          </w:p>
        </w:tc>
      </w:tr>
      <w:tr>
        <w:tc>
          <w:tcPr>
            <w:tcW w:type="dxa" w:w="2880"/>
          </w:tcPr>
          <w:p>
            <w:r>
              <w:t>Covariates</w:t>
            </w:r>
          </w:p>
        </w:tc>
        <w:tc>
          <w:tcPr>
            <w:tcW w:type="dxa" w:w="2880"/>
          </w:tcPr>
          <w:p>
            <w:r>
              <w:t>What confounders to adjust?</w:t>
            </w:r>
          </w:p>
        </w:tc>
        <w:tc>
          <w:tcPr>
            <w:tcW w:type="dxa" w:w="2880"/>
          </w:tcPr>
          <w:p>
            <w:r>
              <w:t>Passage number / culture batch, cell density, light condition, harvest time</w:t>
            </w:r>
          </w:p>
        </w:tc>
      </w:tr>
      <w:tr>
        <w:tc>
          <w:tcPr>
            <w:tcW w:type="dxa" w:w="2880"/>
          </w:tcPr>
          <w:p>
            <w:r>
              <w:t>Method</w:t>
            </w:r>
          </w:p>
        </w:tc>
        <w:tc>
          <w:tcPr>
            <w:tcW w:type="dxa" w:w="2880"/>
          </w:tcPr>
          <w:p>
            <w:r>
              <w:t>DESeq2, Cox regression, PERMANOVA…?</w:t>
            </w:r>
          </w:p>
        </w:tc>
        <w:tc>
          <w:tcPr>
            <w:tcW w:type="dxa" w:w="2880"/>
          </w:tcPr>
          <w:p>
            <w:r>
              <w:t>DESeq2 differential expression (padj &lt; 0.05, |log2FC| &gt; 1); GO/KEGG enrichment (clusterProfiler); HPLC/UV anthocyanin quantification</w:t>
            </w:r>
          </w:p>
        </w:tc>
      </w:tr>
      <w:tr>
        <w:tc>
          <w:tcPr>
            <w:tcW w:type="dxa" w:w="2880"/>
          </w:tcPr>
          <w:p>
            <w:r>
              <w:t>Visualization &amp; validation</w:t>
            </w:r>
          </w:p>
        </w:tc>
        <w:tc>
          <w:tcPr>
            <w:tcW w:type="dxa" w:w="2880"/>
          </w:tcPr>
          <w:p>
            <w:r>
              <w:t>PCA, volcano plot…; independent validation?</w:t>
            </w:r>
          </w:p>
        </w:tc>
        <w:tc>
          <w:tcPr>
            <w:tcW w:type="dxa" w:w="2880"/>
          </w:tcPr>
          <w:p>
            <w:r>
              <w:t>PCA, volcano plot, heatmap, KEGG pathway dotplot; validation by qRT-PCR of FaDFR/FaANS/FaUFGT1/FaRAP and independent biological replicates</w:t>
            </w:r>
          </w:p>
        </w:tc>
      </w:tr>
    </w:tbl>
    <w:p>
      <w:r>
        <w:br w:type="page"/>
      </w:r>
    </w:p>
    <w:p>
      <w:pPr>
        <w:pStyle w:val="Heading1"/>
      </w:pPr>
      <w:r>
        <w:t>Part B: Two Assigned Papers — PICO/PECO, Dataset, Hypothesis</w:t>
      </w:r>
    </w:p>
    <w:p>
      <w:r>
        <w:t>Reading the two papers provided in the Week 2 Homework folder, I answer the three questions for each paper.</w:t>
      </w:r>
    </w:p>
    <w:p>
      <w:pPr>
        <w:pStyle w:val="Heading2"/>
      </w:pPr>
      <w:r>
        <w:t>Paper 1: Nature Microbiology (2022)</w:t>
      </w:r>
    </w:p>
    <w:p>
      <w:r>
        <w:rPr>
          <w:b/>
        </w:rPr>
        <w:t xml:space="preserve">Citation: </w:t>
      </w:r>
      <w:r>
        <w:t>Priya S, Burns MB, Ward T, Mars RAT, Adamowicz B, Lock EF, Kashyap PC, Knights D, Blekhman R. "Identification of shared and disease-specific host gene–microbiome associations across human diseases using multi-omic integration." Nature Microbiology, 2022. DOI: 10.1038/s41564-022-01121-z</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Q1. PICO/PECO</w:t>
            </w:r>
          </w:p>
        </w:tc>
        <w:tc>
          <w:tcPr>
            <w:tcW w:type="dxa" w:w="4320"/>
          </w:tcPr>
          <w:p>
            <w:r>
              <w:t>P (Population): patients with colorectal cancer (CRC), inflammatory bowel disease (IBD), and irritable bowel syndrome (IBS); colonic mucosal biopsies.</w:t>
              <w:br/>
              <w:t>E (Exposure): gut microbiome composition/abundance (16S rRNA sequencing).</w:t>
              <w:br/>
              <w:t>C (Comparison): across the three diseases, and disease vs healthy/general states.</w:t>
              <w:br/>
              <w:t>O (Outcome): host mucosal gene expression (RNA-seq transcriptome) and its association with microbial abundance.</w:t>
            </w:r>
          </w:p>
        </w:tc>
      </w:tr>
      <w:tr>
        <w:tc>
          <w:tcPr>
            <w:tcW w:type="dxa" w:w="4320"/>
          </w:tcPr>
          <w:p>
            <w:r>
              <w:t>Q2. Dataset / data type</w:t>
            </w:r>
          </w:p>
        </w:tc>
        <w:tc>
          <w:tcPr>
            <w:tcW w:type="dxa" w:w="4320"/>
          </w:tcPr>
          <w:p>
            <w:r>
              <w:t>Multi-omic integration of two data types from matched colonic mucosal biopsies:</w:t>
              <w:br/>
              <w:t>(1) host gene expression — RNA-seq data;</w:t>
              <w:br/>
              <w:t>(2) gut microbiome composition — 16S rRNA gene sequencing data;</w:t>
              <w:br/>
              <w:t>from patients with CRC, IBD, and IBS.</w:t>
            </w:r>
          </w:p>
        </w:tc>
      </w:tr>
      <w:tr>
        <w:tc>
          <w:tcPr>
            <w:tcW w:type="dxa" w:w="4320"/>
          </w:tcPr>
          <w:p>
            <w:r>
              <w:t>Q3. Hypothesis</w:t>
            </w:r>
          </w:p>
        </w:tc>
        <w:tc>
          <w:tcPr>
            <w:tcW w:type="dxa" w:w="4320"/>
          </w:tcPr>
          <w:p>
            <w:r>
              <w:t>Host gene expression and gut microbiome are jointly associated with GI disease pathophysiology; shared and disease-specific host gene–microbiome associations across CRC, IBD and IBS can be identified by a machine-learning multi-omic integration framework that handles high dimensionality, sparsity, and multicollinearity, revealing molecular mechanisms underlying these gastrointestinal diseases.</w:t>
            </w:r>
          </w:p>
        </w:tc>
      </w:tr>
    </w:tbl>
    <w:p/>
    <w:p>
      <w:pPr>
        <w:pStyle w:val="Heading2"/>
      </w:pPr>
      <w:r>
        <w:t>Paper 2: iMeta (2023)</w:t>
      </w:r>
    </w:p>
    <w:p>
      <w:r>
        <w:rPr>
          <w:b/>
        </w:rPr>
        <w:t xml:space="preserve">Citation: </w:t>
      </w:r>
      <w:r>
        <w:t>Huang L, Pan G, Feng Y, Fan Z, Ma K, Wang R, Wang G, Huang G, Huang S, Hou Y, Han M, Xie L, Ma Y. "Microbial network signatures of early colonizers in infants with eczema." iMeta, 2023;2:e90. DOI: 10.1002/imt2.90</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Q1. PICO/PECO</w:t>
            </w:r>
          </w:p>
        </w:tc>
        <w:tc>
          <w:tcPr>
            <w:tcW w:type="dxa" w:w="4320"/>
          </w:tcPr>
          <w:p>
            <w:r>
              <w:t>P (Population): infants in the first 100 days of life (0–3 months), with or without eczema (atopic dermatitis).</w:t>
              <w:br/>
              <w:t>E (Exposure): early-life gut microbial colonization (16S rRNA sequencing of meconium and infant fecal samples).</w:t>
              <w:br/>
              <w:t>C (Comparison): infants with eczema (case) vs healthy infants (control).</w:t>
              <w:br/>
              <w:t>O (Outcome): eczema occurrence; gut microbial community network structure, α-diversity (InvSimpson) and β-diversity (PCoA).</w:t>
            </w:r>
          </w:p>
        </w:tc>
      </w:tr>
      <w:tr>
        <w:tc>
          <w:tcPr>
            <w:tcW w:type="dxa" w:w="4320"/>
          </w:tcPr>
          <w:p>
            <w:r>
              <w:t>Q2. Dataset / data type</w:t>
            </w:r>
          </w:p>
        </w:tc>
        <w:tc>
          <w:tcPr>
            <w:tcW w:type="dxa" w:w="4320"/>
          </w:tcPr>
          <w:p>
            <w:r>
              <w:t>Longitudinal 16S rRNA gene sequencing data of infant gut microbiota:</w:t>
              <w:br/>
              <w:t>(1) fetal meconium samples and postnatal fecal samples at month 1, 2, and 3;</w:t>
              <w:br/>
              <w:t>(2) case-control design (eczema vs healthy);</w:t>
              <w:br/>
              <w:t>analyzed with microbial network algorithms/graph theory, α- and β-diversity metrics.</w:t>
            </w:r>
          </w:p>
        </w:tc>
      </w:tr>
      <w:tr>
        <w:tc>
          <w:tcPr>
            <w:tcW w:type="dxa" w:w="4320"/>
          </w:tcPr>
          <w:p>
            <w:r>
              <w:t>Q3. Hypothesis</w:t>
            </w:r>
          </w:p>
        </w:tc>
        <w:tc>
          <w:tcPr>
            <w:tcW w:type="dxa" w:w="4320"/>
          </w:tcPr>
          <w:p>
            <w:r>
              <w:t>The microbial network signatures of early colonizers in the infant gut differ between infants with eczema and healthy controls; these early-life network structures (co-occurrence/competition patterns among colonizing bacteria) may serve as biomarkers of eczema risk and reflect how microbial community assembly relates to immune imprinting in early life.</w:t>
            </w:r>
          </w:p>
        </w:tc>
      </w:tr>
    </w:tbl>
    <w:p>
      <w:r>
        <w:br w:type="page"/>
      </w:r>
    </w:p>
    <w:p>
      <w:pPr>
        <w:pStyle w:val="Heading1"/>
      </w:pPr>
      <w:r>
        <w:t>Part C: PubMed Search Based on My Research Interest</w:t>
      </w:r>
    </w:p>
    <w:p>
      <w:r>
        <w:t>Research interest: strawberry suspension cells / MYB10 transcription factor / anthocyanin (pelargonidin) biosynthesis — the core of my "BerrySynBio" project (MYB10 overexpression for high-yield pelargonidin production in strawberry suspension cells).</w:t>
      </w:r>
    </w:p>
    <w:p>
      <w:pPr>
        <w:pStyle w:val="Heading2"/>
      </w:pPr>
      <w:r>
        <w:t>1. PubMed Search Strategy (Reproducible)</w:t>
      </w:r>
    </w:p>
    <w:p>
      <w:r>
        <w:t>Following the class guidance (MeSH terms + Boolean operators + field tags + date filters), I built and ran three searches on PubMed (https://pubmed.ncbi.nlm.nih.gov), executed 2026-09-06.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Search #</w:t>
            </w:r>
          </w:p>
        </w:tc>
        <w:tc>
          <w:tcPr>
            <w:tcW w:type="dxa" w:w="2160"/>
          </w:tcPr>
          <w:p>
            <w:r>
              <w:rPr>
                <w:b/>
              </w:rPr>
              <w:t>Search string</w:t>
            </w:r>
          </w:p>
        </w:tc>
        <w:tc>
          <w:tcPr>
            <w:tcW w:type="dxa" w:w="2160"/>
          </w:tcPr>
          <w:p>
            <w:r>
              <w:rPr>
                <w:b/>
              </w:rPr>
              <w:t>Result count</w:t>
            </w:r>
          </w:p>
        </w:tc>
        <w:tc>
          <w:tcPr>
            <w:tcW w:type="dxa" w:w="2160"/>
          </w:tcPr>
          <w:p>
            <w:r>
              <w:rPr>
                <w:b/>
              </w:rPr>
              <w:t>Purpose</w:t>
            </w:r>
          </w:p>
        </w:tc>
      </w:tr>
      <w:tr>
        <w:tc>
          <w:tcPr>
            <w:tcW w:type="dxa" w:w="2160"/>
          </w:tcPr>
          <w:p>
            <w:r>
              <w:t>#1</w:t>
            </w:r>
          </w:p>
        </w:tc>
        <w:tc>
          <w:tcPr>
            <w:tcW w:type="dxa" w:w="2160"/>
          </w:tcPr>
          <w:p>
            <w:r>
              <w:t>(strawberry[tiab] OR Fragaria[tiab]) AND anthocyanin*[tiab] AND (suspension[tiab] OR "cell culture"[tiab] OR "cell suspension"[tiab]) AND (2015/01/01[pdat] : 2026/12/31[pdat])</w:t>
            </w:r>
          </w:p>
        </w:tc>
        <w:tc>
          <w:tcPr>
            <w:tcW w:type="dxa" w:w="2160"/>
          </w:tcPr>
          <w:p>
            <w:r>
              <w:t>2</w:t>
            </w:r>
          </w:p>
        </w:tc>
        <w:tc>
          <w:tcPr>
            <w:tcW w:type="dxa" w:w="2160"/>
          </w:tcPr>
          <w:p>
            <w:r>
              <w:t>Find strawberry cell-culture anthocyanin studies (narrowest match to my system)</w:t>
            </w:r>
          </w:p>
        </w:tc>
      </w:tr>
      <w:tr>
        <w:tc>
          <w:tcPr>
            <w:tcW w:type="dxa" w:w="2160"/>
          </w:tcPr>
          <w:p>
            <w:r>
              <w:t>#2</w:t>
            </w:r>
          </w:p>
        </w:tc>
        <w:tc>
          <w:tcPr>
            <w:tcW w:type="dxa" w:w="2160"/>
          </w:tcPr>
          <w:p>
            <w:r>
              <w:t>(strawberry[tiab] OR Fragaria[tiab]) AND (MYB10[tiab] OR MYB[tiab]) AND anthocyanin*[tiab] AND (2015/01/01[pdat] : 2026/12/31[pdat])</w:t>
            </w:r>
          </w:p>
        </w:tc>
        <w:tc>
          <w:tcPr>
            <w:tcW w:type="dxa" w:w="2160"/>
          </w:tcPr>
          <w:p>
            <w:r>
              <w:t>49</w:t>
            </w:r>
          </w:p>
        </w:tc>
        <w:tc>
          <w:tcPr>
            <w:tcW w:type="dxa" w:w="2160"/>
          </w:tcPr>
          <w:p>
            <w:r>
              <w:t>Find MYB-regulated anthocyanin studies in strawberry (matches my gene of interest)</w:t>
            </w:r>
          </w:p>
        </w:tc>
      </w:tr>
      <w:tr>
        <w:tc>
          <w:tcPr>
            <w:tcW w:type="dxa" w:w="2160"/>
          </w:tcPr>
          <w:p>
            <w:r>
              <w:t>#3</w:t>
            </w:r>
          </w:p>
        </w:tc>
        <w:tc>
          <w:tcPr>
            <w:tcW w:type="dxa" w:w="2160"/>
          </w:tcPr>
          <w:p>
            <w:r>
              <w:t>(strawberry[tiab] OR Fragaria[tiab]) AND (pelargonidin[tiab] OR "pelargonidin 3-glucoside"[tiab]) AND (2015/01/01[pdat] : 2026/12/31[pdat])</w:t>
            </w:r>
          </w:p>
        </w:tc>
        <w:tc>
          <w:tcPr>
            <w:tcW w:type="dxa" w:w="2160"/>
          </w:tcPr>
          <w:p>
            <w:r>
              <w:t>87</w:t>
            </w:r>
          </w:p>
        </w:tc>
        <w:tc>
          <w:tcPr>
            <w:tcW w:type="dxa" w:w="2160"/>
          </w:tcPr>
          <w:p>
            <w:r>
              <w:t>Find studies on strawberry pelargonidin (my target product)</w:t>
            </w:r>
          </w:p>
        </w:tc>
      </w:tr>
    </w:tbl>
    <w:p/>
    <w:p>
      <w:pPr>
        <w:pStyle w:val="Heading2"/>
      </w:pPr>
      <w:r>
        <w:t>2. Screening and Selection of the Most Important Study</w:t>
      </w:r>
    </w:p>
    <w:p>
      <w:r>
        <w:t>Screening criteria (based on my research interest):</w:t>
        <w:br/>
        <w:t>(a) strawberry as the species; (b) involves MYB10/MYB transcription factor regulation of anthocyanin; (c) ideally uses strawberry callus/cell culture (closest to suspension cells); (d) provides transcriptomic evidence; (e) recent publication.</w:t>
        <w:br/>
        <w:br/>
        <w:t>Search #1 returned only 2 papers, one of which (Ric-Varas et al., Plants 2020) used strawberry fruit callus culture but did not study MYB transcription factors. Search #2 returned 49 papers; after sorting by relevance and screening titles/abstracts, the paper that best matched ALL criteria (MYB10-family TF + strawberry calli + anthocyanin + RNA-seq + light regulation) was selected for full-text reading:</w:t>
      </w:r>
    </w:p>
    <w:p>
      <w:r>
        <w:rPr>
          <w:b/>
        </w:rPr>
        <w:t xml:space="preserve">Selected paper: </w:t>
      </w:r>
      <w:r>
        <w:t>Wang Y, Liu Y, Zhang L, Tang L, Xu S, Wang Z, Zhang Y, Lin Y, Wang Y, Li M, Zhang Y, Luo Y, Chen Q, Tang H. "A Novel R2R3-MYB Transcription Factor FaMYB10-like Promotes Light-Induced Anthocyanin Accumulation in Cultivated Strawberry." International Journal of Molecular Sciences, 2023;24(23):16561. DOI: 10.3390/ijms242316561. PMID: 38068883. (Full text read via PubMed Central, PMC10706590.)</w:t>
      </w:r>
    </w:p>
    <w:p>
      <w:pPr>
        <w:pStyle w:val="Heading2"/>
      </w:pPr>
      <w:r>
        <w:t>3. Three Questions for the Selected Paper</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 (verified from full text)</w:t>
            </w:r>
          </w:p>
        </w:tc>
      </w:tr>
      <w:tr>
        <w:tc>
          <w:tcPr>
            <w:tcW w:type="dxa" w:w="4320"/>
          </w:tcPr>
          <w:p>
            <w:r>
              <w:t>Q1. PICO/PECO</w:t>
            </w:r>
          </w:p>
        </w:tc>
        <w:tc>
          <w:tcPr>
            <w:tcW w:type="dxa" w:w="4320"/>
          </w:tcPr>
          <w:p>
            <w:r>
              <w:t>P (Population): cultivated strawberry Fragaria × ananassa (cv. Benihoppe and Snow White) — plants, petioles, runners, fruits, and transgenic callus/cell cultures.</w:t>
              <w:br/>
              <w:t>E (Exposure): overexpression of the R2R3-MYB transcription factor FaMYB10-like (FaMYB10L), driven by the CaMV 35S promoter in strawberry calli; plus light (white light, 2500 lx, 16h/8h) as a second exposure.</w:t>
              <w:br/>
              <w:t>C (Comparison): FaMYB10L-overexpressing (FaMYB10L-OX) calli vs empty-vector (EV) control calli; light vs dark conditions.</w:t>
              <w:br/>
              <w:t>O (Outcome): anthocyanin accumulation (UV spectrophotometry, A530-A657); expression of anthocyanin biosynthetic genes (FaPAL, FaCHS, FaDFR2, FaANS, FaUFGT1) and the anthocyanin transporter gene FaRAP (qRT-PCR); genome-wide transcriptome (RNA-seq).</w:t>
            </w:r>
          </w:p>
        </w:tc>
      </w:tr>
      <w:tr>
        <w:tc>
          <w:tcPr>
            <w:tcW w:type="dxa" w:w="4320"/>
          </w:tcPr>
          <w:p>
            <w:r>
              <w:t>Q2. Dataset / data type</w:t>
            </w:r>
          </w:p>
        </w:tc>
        <w:tc>
          <w:tcPr>
            <w:tcW w:type="dxa" w:w="4320"/>
          </w:tcPr>
          <w:p>
            <w:r>
              <w:t>Multiple data types:</w:t>
              <w:br/>
              <w:t>(1) RNA-seq transcriptome of FaMYB10L-OX vs EV strawberry calli under light (with KEGG enrichment; &gt;5000 light-affected genes, 1162 DEGs specific to FaMYB10L-OX);</w:t>
              <w:br/>
              <w:t>(2) qRT-PCR gene expression data (2−ΔΔCT method, Actin as reference);</w:t>
              <w:br/>
              <w:t>(3) total anthocyanin content measured by UV spectrophotometry;</w:t>
              <w:br/>
              <w:t>(4) dual-luciferase reporter assays (FaMYB10L activates FaRAP promoter);</w:t>
              <w:br/>
              <w:t>(5) yeast two-hybrid and luciferase complementation assays (FaMYB10L–bHLH3 interaction);</w:t>
              <w:br/>
              <w:t>(6) subcellular localization in strawberry protoplasts (EGFP fusion).</w:t>
            </w:r>
          </w:p>
        </w:tc>
      </w:tr>
      <w:tr>
        <w:tc>
          <w:tcPr>
            <w:tcW w:type="dxa" w:w="4320"/>
          </w:tcPr>
          <w:p>
            <w:r>
              <w:t>Q3. Hypothesis</w:t>
            </w:r>
          </w:p>
        </w:tc>
        <w:tc>
          <w:tcPr>
            <w:tcW w:type="dxa" w:w="4320"/>
          </w:tcPr>
          <w:p>
            <w:r>
              <w:t>FaMYB10L, a novel R2R3-MYB transcription factor homologous to FveMYB10-like, is a positive light-responsive regulator of anthocyanin accumulation in the vegetative tissues and callus of cultivated strawberry: it promotes anthocyanin accumulation by transcriptionally activating anthocyanin biosynthetic and transport genes (e.g., FaRAP) and by interacting with bHLH3 in the MBW complex, thereby enriching the light-involved regulatory network of anthocyanin metabolism.</w:t>
            </w:r>
          </w:p>
        </w:tc>
      </w:tr>
    </w:tbl>
    <w:p/>
    <w:p>
      <w:pPr>
        <w:pStyle w:val="Heading2"/>
      </w:pPr>
      <w:r>
        <w:t>4. Why This Paper Is the Most Important for My Field</w:t>
      </w:r>
    </w:p>
    <w:p>
      <w:r>
        <w:t>This paper is directly aligned with my research interest and the "BerrySynBio" project: (1) it functionally characterizes an MYB10-family transcription factor (FaMYB10L) that promotes anthocyanin accumulation — the same TF family I use for pelargonidin production; (2) it demonstrates that MYB10-family overexpression in strawberry callus (a cell-culture system closely related to suspension cells) induces anthocyanin accumulation and upregulates the flavonoid/anthocyanin pathway at the transcriptome level; (3) it provides a reference transcriptomic dataset and a validated molecular framework (MYB–bHLH interaction, FaRAP transporter activation) for engineering high-yield anthocyanin in plant cell factories; (4) it reveals that light is a critical co-factor for MYB10-driven anthocyanin accumulation — a key design consideration for suspension-cell culture optimization.</w:t>
      </w:r>
    </w:p>
    <w:p>
      <w:pPr>
        <w:pStyle w:val="Heading2"/>
      </w:pPr>
      <w:r>
        <w:t>5. Source-Verification Table (AI-assisted literature mining)</w:t>
      </w:r>
    </w:p>
    <w:p>
      <w:r>
        <w:t>Per the class rule ("no citation enters your work unless you verified it exists and read at least the abstract"), every reference below was verified in PubMed and (where available) read in full text via PubMed Central.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Reference</w:t>
            </w:r>
          </w:p>
        </w:tc>
        <w:tc>
          <w:tcPr>
            <w:tcW w:type="dxa" w:w="2160"/>
          </w:tcPr>
          <w:p>
            <w:r>
              <w:rPr>
                <w:b/>
              </w:rPr>
              <w:t>PMID</w:t>
            </w:r>
          </w:p>
        </w:tc>
        <w:tc>
          <w:tcPr>
            <w:tcW w:type="dxa" w:w="2160"/>
          </w:tcPr>
          <w:p>
            <w:r>
              <w:rPr>
                <w:b/>
              </w:rPr>
              <w:t>Verified in</w:t>
            </w:r>
          </w:p>
        </w:tc>
        <w:tc>
          <w:tcPr>
            <w:tcW w:type="dxa" w:w="2160"/>
          </w:tcPr>
          <w:p>
            <w:r>
              <w:rPr>
                <w:b/>
              </w:rPr>
              <w:t>Status</w:t>
            </w:r>
          </w:p>
        </w:tc>
      </w:tr>
      <w:tr>
        <w:tc>
          <w:tcPr>
            <w:tcW w:type="dxa" w:w="2160"/>
          </w:tcPr>
          <w:p>
            <w:r>
              <w:t>Priya et al., Nat Microbiol 2022, DOI 10.1038/s41564-022-01121-z</w:t>
            </w:r>
          </w:p>
        </w:tc>
        <w:tc>
          <w:tcPr>
            <w:tcW w:type="dxa" w:w="2160"/>
          </w:tcPr>
          <w:p>
            <w:r>
              <w:t>—</w:t>
            </w:r>
          </w:p>
        </w:tc>
        <w:tc>
          <w:tcPr>
            <w:tcW w:type="dxa" w:w="2160"/>
          </w:tcPr>
          <w:p>
            <w:r>
              <w:t>PubMed + PDF (assigned reading)</w:t>
            </w:r>
          </w:p>
        </w:tc>
        <w:tc>
          <w:tcPr>
            <w:tcW w:type="dxa" w:w="2160"/>
          </w:tcPr>
          <w:p>
            <w:r>
              <w:t>Verified, read</w:t>
            </w:r>
          </w:p>
        </w:tc>
      </w:tr>
      <w:tr>
        <w:tc>
          <w:tcPr>
            <w:tcW w:type="dxa" w:w="2160"/>
          </w:tcPr>
          <w:p>
            <w:r>
              <w:t>Huang et al., iMeta 2023, DOI 10.1002/imt2.90</w:t>
            </w:r>
          </w:p>
        </w:tc>
        <w:tc>
          <w:tcPr>
            <w:tcW w:type="dxa" w:w="2160"/>
          </w:tcPr>
          <w:p>
            <w:r>
              <w:t>—</w:t>
            </w:r>
          </w:p>
        </w:tc>
        <w:tc>
          <w:tcPr>
            <w:tcW w:type="dxa" w:w="2160"/>
          </w:tcPr>
          <w:p>
            <w:r>
              <w:t>PubMed + PDF (assigned reading)</w:t>
            </w:r>
          </w:p>
        </w:tc>
        <w:tc>
          <w:tcPr>
            <w:tcW w:type="dxa" w:w="2160"/>
          </w:tcPr>
          <w:p>
            <w:r>
              <w:t>Verified, read</w:t>
            </w:r>
          </w:p>
        </w:tc>
      </w:tr>
      <w:tr>
        <w:tc>
          <w:tcPr>
            <w:tcW w:type="dxa" w:w="2160"/>
          </w:tcPr>
          <w:p>
            <w:r>
              <w:t>Wang et al., IJMS 2023, DOI 10.3390/ijms242316561</w:t>
            </w:r>
          </w:p>
        </w:tc>
        <w:tc>
          <w:tcPr>
            <w:tcW w:type="dxa" w:w="2160"/>
          </w:tcPr>
          <w:p>
            <w:r>
              <w:t>38068883</w:t>
            </w:r>
          </w:p>
        </w:tc>
        <w:tc>
          <w:tcPr>
            <w:tcW w:type="dxa" w:w="2160"/>
          </w:tcPr>
          <w:p>
            <w:r>
              <w:t>PubMed + PMC10706590 full text</w:t>
            </w:r>
          </w:p>
        </w:tc>
        <w:tc>
          <w:tcPr>
            <w:tcW w:type="dxa" w:w="2160"/>
          </w:tcPr>
          <w:p>
            <w:r>
              <w:t>Verified, read</w:t>
            </w:r>
          </w:p>
        </w:tc>
      </w:tr>
      <w:tr>
        <w:tc>
          <w:tcPr>
            <w:tcW w:type="dxa" w:w="2160"/>
          </w:tcPr>
          <w:p>
            <w:r>
              <w:t>Ric-Varas et al., Plants 2020, DOI 10.3390/plants9070805</w:t>
            </w:r>
          </w:p>
        </w:tc>
        <w:tc>
          <w:tcPr>
            <w:tcW w:type="dxa" w:w="2160"/>
          </w:tcPr>
          <w:p>
            <w:r>
              <w:t>32605018</w:t>
            </w:r>
          </w:p>
        </w:tc>
        <w:tc>
          <w:tcPr>
            <w:tcW w:type="dxa" w:w="2160"/>
          </w:tcPr>
          <w:p>
            <w:r>
              <w:t>PubMed + PMC7412483</w:t>
            </w:r>
          </w:p>
        </w:tc>
        <w:tc>
          <w:tcPr>
            <w:tcW w:type="dxa" w:w="2160"/>
          </w:tcPr>
          <w:p>
            <w:r>
              <w:t>Verified, abstract read (screening)</w:t>
            </w:r>
          </w:p>
        </w:tc>
      </w:tr>
      <w:tr>
        <w:tc>
          <w:tcPr>
            <w:tcW w:type="dxa" w:w="2160"/>
          </w:tcPr>
          <w:p>
            <w:r>
              <w:t>Yuan et al., Plant Physiol 2026, DOI 10.1093/plphys/kiaf665</w:t>
            </w:r>
          </w:p>
        </w:tc>
        <w:tc>
          <w:tcPr>
            <w:tcW w:type="dxa" w:w="2160"/>
          </w:tcPr>
          <w:p>
            <w:r>
              <w:t>41417643</w:t>
            </w:r>
          </w:p>
        </w:tc>
        <w:tc>
          <w:tcPr>
            <w:tcW w:type="dxa" w:w="2160"/>
          </w:tcPr>
          <w:p>
            <w:r>
              <w:t>PubMed (latest FaMYB10-2 study)</w:t>
            </w:r>
          </w:p>
        </w:tc>
        <w:tc>
          <w:tcPr>
            <w:tcW w:type="dxa" w:w="2160"/>
          </w:tcPr>
          <w:p>
            <w:r>
              <w:t>Verified, abstract read (screening)</w:t>
            </w:r>
          </w:p>
        </w:tc>
      </w:tr>
    </w:tbl>
    <w:p/>
    <w:p>
      <w:pPr>
        <w:pStyle w:val="Heading2"/>
      </w:pPr>
      <w:r>
        <w:t>6. Reflection: Weak vs Structured Prompts in This Workflow</w:t>
      </w:r>
    </w:p>
    <w:p>
      <w:r>
        <w:t>This week’s homework also demonstrates the value of a structured search + verification workflow over a vague AI prompt. A vague instruction such as "find papers about strawberry anthocyanin" would return a mixture of fruit-ripening, nutrition, and food-science papers with little relevance to suspension-cell engineering. By contrast, building a concept-by-concept PubMed query (species × TF × metabolite × date range) and screening by explicit criteria quickly isolated the one paper whose system (strawberry callus + MYB10 family + anthocyanin + RNA-seq) matches my project, and full-text verification confirmed every claim used in this homework. This matches the class principle: AI accelerates search and analysis, but science (verification) decides what is true.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