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80" w:after="100"/>
        <w:outlineLvl w:val="0"/>
      </w:pPr>
      <w:r>
        <w:rPr>
          <w:b/>
          <w:color w:val="241A38"/>
          <w:sz w:val="36"/>
          <w:rFonts w:ascii="Calibri" w:hAnsi="Calibri" w:eastAsia="Microsoft YaHei"/>
        </w:rPr>
        <w:t>作业二报告：EasyMultiProfiler-Web 上的小鼠 RNA-seq 分析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学生</w:t>
      </w:r>
      <w:r>
        <w:rPr>
          <w:sz w:val="21"/>
          <w:rFonts w:ascii="Calibri" w:hAnsi="Calibri" w:eastAsia="Microsoft YaHei"/>
        </w:rPr>
        <w:t>：曾梓轩（Zixuan Zeng）· SUAT24000114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课程</w:t>
      </w:r>
      <w:r>
        <w:rPr>
          <w:sz w:val="21"/>
          <w:rFonts w:ascii="Calibri" w:hAnsi="Calibri" w:eastAsia="Microsoft YaHei"/>
        </w:rPr>
        <w:t>：Bioinformatics: From Multi-Omics Data to Discovery — Dr. Liwei Xie, SUAT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日期</w:t>
      </w:r>
      <w:r>
        <w:rPr>
          <w:sz w:val="21"/>
          <w:rFonts w:ascii="Calibri" w:hAnsi="Calibri" w:eastAsia="Microsoft YaHei"/>
        </w:rPr>
        <w:t>：2026-09-23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平台</w:t>
      </w:r>
      <w:r>
        <w:rPr>
          <w:sz w:val="21"/>
          <w:rFonts w:ascii="Calibri" w:hAnsi="Calibri" w:eastAsia="Microsoft YaHei"/>
        </w:rPr>
        <w:t xml:space="preserve">：EasyMultiProfiler-Web v9.0.4（本地 </w:t>
      </w:r>
      <w:r>
        <w:rPr>
          <w:color w:val="3E2A63"/>
          <w:sz w:val="18"/>
          <w:rFonts w:ascii="Consolas" w:hAnsi="Consolas" w:eastAsia="Consolas"/>
        </w:rPr>
        <w:t>http://127.0.0.1:8080</w:t>
      </w:r>
      <w:r>
        <w:rPr>
          <w:sz w:val="21"/>
          <w:rFonts w:ascii="Calibri" w:hAnsi="Calibri" w:eastAsia="Microsoft YaHei"/>
        </w:rPr>
        <w:t>）</w:t>
      </w:r>
    </w:p>
    <w:p>
      <w:pPr>
        <w:keepNext/>
        <w:spacing w:before="280" w:after="100"/>
        <w:outlineLvl w:val="1"/>
      </w:pPr>
      <w:r>
        <w:rPr>
          <w:b/>
          <w:color w:val="3E2A63"/>
          <w:sz w:val="28"/>
          <w:rFonts w:ascii="Calibri" w:hAnsi="Calibri" w:eastAsia="Microsoft YaHei"/>
        </w:rPr>
        <w:t>一、数据</w:t>
      </w:r>
    </w:p>
    <w:p>
      <w:pPr>
        <w:spacing w:after="80"/>
      </w:pPr>
      <w:r>
        <w:rPr>
          <w:sz w:val="21"/>
          <w:rFonts w:ascii="Calibri" w:hAnsi="Calibri" w:eastAsia="Microsoft YaHei"/>
        </w:rPr>
        <w:t xml:space="preserve">来自 </w:t>
      </w:r>
      <w:r>
        <w:rPr>
          <w:color w:val="3E2A63"/>
          <w:sz w:val="18"/>
          <w:rFonts w:ascii="Consolas" w:hAnsi="Consolas" w:eastAsia="Consolas"/>
        </w:rPr>
        <w:t>EasyMultiProfiler-Web/tests/</w:t>
      </w:r>
      <w:r>
        <w:rPr>
          <w:sz w:val="21"/>
          <w:rFonts w:ascii="Calibri" w:hAnsi="Calibri" w:eastAsia="Microsoft YaHei"/>
        </w:rPr>
        <w:t>，两个 RNA-seq 相关文件：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3876"/>
        <w:gridCol w:w="3876"/>
      </w:tblGrid>
      <w:tr>
        <w:tc>
          <w:tcPr>
            <w:tcW w:type="dxa" w:w="2661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文件</w:t>
            </w:r>
          </w:p>
        </w:tc>
        <w:tc>
          <w:tcPr>
            <w:tcW w:type="dxa" w:w="6411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内容</w:t>
            </w:r>
          </w:p>
        </w:tc>
      </w:tr>
      <w:tr>
        <w:tc>
          <w:tcPr>
            <w:tcW w:type="dxa" w:w="2661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RNAseq_output.csv</w:t>
            </w:r>
          </w:p>
        </w:tc>
        <w:tc>
          <w:tcPr>
            <w:tcW w:type="dxa" w:w="641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表达矩阵，24394 基因 × 24 样本，全整数原始 counts</w:t>
            </w:r>
          </w:p>
        </w:tc>
      </w:tr>
      <w:tr>
        <w:tc>
          <w:tcPr>
            <w:tcW w:type="dxa" w:w="2661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RNAseq_mapping.csv</w:t>
            </w:r>
          </w:p>
        </w:tc>
        <w:tc>
          <w:tcPr>
            <w:tcW w:type="dxa" w:w="641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样本分组表（</w:t>
            </w:r>
            <w:r>
              <w:rPr>
                <w:color w:val="3E2A63"/>
                <w:sz w:val="15"/>
                <w:rFonts w:ascii="Consolas" w:hAnsi="Consolas" w:eastAsia="Consolas"/>
              </w:rPr>
              <w:t>SampleID</w:t>
            </w:r>
            <w:r>
              <w:rPr>
                <w:sz w:val="18"/>
                <w:rFonts w:ascii="Calibri" w:hAnsi="Calibri" w:eastAsia="Microsoft YaHei"/>
              </w:rPr>
              <w:t xml:space="preserve"> / </w:t>
            </w:r>
            <w:r>
              <w:rPr>
                <w:color w:val="3E2A63"/>
                <w:sz w:val="15"/>
                <w:rFonts w:ascii="Consolas" w:hAnsi="Consolas" w:eastAsia="Consolas"/>
              </w:rPr>
              <w:t>Group</w:t>
            </w:r>
            <w:r>
              <w:rPr>
                <w:sz w:val="18"/>
                <w:rFonts w:ascii="Calibri" w:hAnsi="Calibri" w:eastAsia="Microsoft YaHei"/>
              </w:rPr>
              <w:t>）</w:t>
            </w:r>
          </w:p>
        </w:tc>
      </w:tr>
    </w:tbl>
    <w:p/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>•  文库大小 20,538,855 – 40,391,543 reads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 xml:space="preserve">•  基因标识为小鼠基因符号（如 </w:t>
      </w:r>
      <w:r>
        <w:rPr>
          <w:color w:val="3E2A63"/>
          <w:sz w:val="18"/>
          <w:rFonts w:ascii="Consolas" w:hAnsi="Consolas" w:eastAsia="Consolas"/>
        </w:rPr>
        <w:t>0610005C13Rik</w:t>
      </w:r>
      <w:r>
        <w:rPr>
          <w:sz w:val="21"/>
          <w:rFonts w:ascii="Calibri" w:hAnsi="Calibri" w:eastAsia="Microsoft YaHei"/>
        </w:rPr>
        <w:t>，RIKEN cDNA 编号）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>•  24394 个基因中有 5244 个在全部样本为 0，导入后保留 19150 个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实验设计：3 药物 × 2 超声 的 6 组析因设计，每组 4 个生物学重复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2584"/>
        <w:gridCol w:w="2584"/>
        <w:gridCol w:w="2584"/>
      </w:tblGrid>
      <w:tr>
        <w:tc>
          <w:tcPr>
            <w:tcW w:type="dxa" w:w="2722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Group</w:t>
            </w:r>
          </w:p>
        </w:tc>
        <w:tc>
          <w:tcPr>
            <w:tcW w:type="dxa" w:w="2722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样本</w:t>
            </w:r>
          </w:p>
        </w:tc>
        <w:tc>
          <w:tcPr>
            <w:tcW w:type="dxa" w:w="3629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含义</w:t>
            </w:r>
          </w:p>
        </w:tc>
      </w:tr>
      <w:tr>
        <w:tc>
          <w:tcPr>
            <w:tcW w:type="dxa" w:w="272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DMSO</w:t>
            </w:r>
          </w:p>
        </w:tc>
        <w:tc>
          <w:tcPr>
            <w:tcW w:type="dxa" w:w="272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DHMR001–004</w:t>
            </w:r>
          </w:p>
        </w:tc>
        <w:tc>
          <w:tcPr>
            <w:tcW w:type="dxa" w:w="362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溶剂对照</w:t>
            </w:r>
          </w:p>
        </w:tc>
      </w:tr>
      <w:tr>
        <w:tc>
          <w:tcPr>
            <w:tcW w:type="dxa" w:w="272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DMSO+LIPUS</w:t>
            </w:r>
          </w:p>
        </w:tc>
        <w:tc>
          <w:tcPr>
            <w:tcW w:type="dxa" w:w="272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DHMR005–008</w:t>
            </w:r>
          </w:p>
        </w:tc>
        <w:tc>
          <w:tcPr>
            <w:tcW w:type="dxa" w:w="362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仅低强度脉冲超声</w:t>
            </w:r>
          </w:p>
        </w:tc>
      </w:tr>
      <w:tr>
        <w:tc>
          <w:tcPr>
            <w:tcW w:type="dxa" w:w="272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T4400</w:t>
            </w:r>
          </w:p>
        </w:tc>
        <w:tc>
          <w:tcPr>
            <w:tcW w:type="dxa" w:w="272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DHMR009–012</w:t>
            </w:r>
          </w:p>
        </w:tc>
        <w:tc>
          <w:tcPr>
            <w:tcW w:type="dxa" w:w="362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受试化合物 T4400</w:t>
            </w:r>
          </w:p>
        </w:tc>
      </w:tr>
      <w:tr>
        <w:tc>
          <w:tcPr>
            <w:tcW w:type="dxa" w:w="272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T4400+LIPUS</w:t>
            </w:r>
          </w:p>
        </w:tc>
        <w:tc>
          <w:tcPr>
            <w:tcW w:type="dxa" w:w="272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DHMR013–016</w:t>
            </w:r>
          </w:p>
        </w:tc>
        <w:tc>
          <w:tcPr>
            <w:tcW w:type="dxa" w:w="362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T4400 + 超声</w:t>
            </w:r>
          </w:p>
        </w:tc>
      </w:tr>
      <w:tr>
        <w:tc>
          <w:tcPr>
            <w:tcW w:type="dxa" w:w="272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T3976</w:t>
            </w:r>
          </w:p>
        </w:tc>
        <w:tc>
          <w:tcPr>
            <w:tcW w:type="dxa" w:w="272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DHMR017–020</w:t>
            </w:r>
          </w:p>
        </w:tc>
        <w:tc>
          <w:tcPr>
            <w:tcW w:type="dxa" w:w="362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受试化合物 T3976</w:t>
            </w:r>
          </w:p>
        </w:tc>
      </w:tr>
      <w:tr>
        <w:tc>
          <w:tcPr>
            <w:tcW w:type="dxa" w:w="272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T3976+LIPUS</w:t>
            </w:r>
          </w:p>
        </w:tc>
        <w:tc>
          <w:tcPr>
            <w:tcW w:type="dxa" w:w="272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DHMR021–024</w:t>
            </w:r>
          </w:p>
        </w:tc>
        <w:tc>
          <w:tcPr>
            <w:tcW w:type="dxa" w:w="362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T3976 + 超声</w:t>
            </w:r>
          </w:p>
        </w:tc>
      </w:tr>
    </w:tbl>
    <w:p/>
    <w:p>
      <w:pPr>
        <w:spacing w:after="80"/>
      </w:pPr>
      <w:r>
        <w:rPr>
          <w:sz w:val="21"/>
          <w:rFonts w:ascii="Calibri" w:hAnsi="Calibri" w:eastAsia="Microsoft YaHei"/>
        </w:rPr>
        <w:t>T4400 与 T3976 为</w:t>
      </w:r>
      <w:r>
        <w:rPr>
          <w:b/>
          <w:sz w:val="21"/>
          <w:rFonts w:ascii="Calibri" w:hAnsi="Calibri" w:eastAsia="Microsoft YaHei"/>
        </w:rPr>
        <w:t>未公开身份的化合物代号</w:t>
      </w:r>
      <w:r>
        <w:rPr>
          <w:sz w:val="21"/>
          <w:rFonts w:ascii="Calibri" w:hAnsi="Calibri" w:eastAsia="Microsoft YaHei"/>
        </w:rPr>
        <w:t>，本报告不对其化学结构或作用机制作任何推断。</w:t>
      </w:r>
    </w:p>
    <w:p>
      <w:pPr>
        <w:keepNext/>
        <w:spacing w:before="280" w:after="100"/>
        <w:outlineLvl w:val="1"/>
      </w:pPr>
      <w:r>
        <w:rPr>
          <w:b/>
          <w:color w:val="3E2A63"/>
          <w:sz w:val="28"/>
          <w:rFonts w:ascii="Calibri" w:hAnsi="Calibri" w:eastAsia="Microsoft YaHei"/>
        </w:rPr>
        <w:t>二、方法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3876"/>
        <w:gridCol w:w="3876"/>
      </w:tblGrid>
      <w:tr>
        <w:tc>
          <w:tcPr>
            <w:tcW w:type="dxa" w:w="1432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步骤</w:t>
            </w:r>
          </w:p>
        </w:tc>
        <w:tc>
          <w:tcPr>
            <w:tcW w:type="dxa" w:w="7640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设置</w:t>
            </w:r>
          </w:p>
        </w:tc>
      </w:tr>
      <w:tr>
        <w:tc>
          <w:tcPr>
            <w:tcW w:type="dxa" w:w="143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过滤</w:t>
            </w:r>
          </w:p>
        </w:tc>
        <w:tc>
          <w:tcPr>
            <w:tcW w:type="dxa" w:w="764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平台 RNA-seq 推荐参数，</w:t>
            </w:r>
            <w:r>
              <w:rPr>
                <w:color w:val="3E2A63"/>
                <w:sz w:val="15"/>
                <w:rFonts w:ascii="Consolas" w:hAnsi="Consolas" w:eastAsia="Consolas"/>
              </w:rPr>
              <w:t>min rowSum = 10</w:t>
            </w:r>
            <w:r>
              <w:rPr>
                <w:sz w:val="18"/>
                <w:rFonts w:ascii="Calibri" w:hAnsi="Calibri" w:eastAsia="Microsoft YaHei"/>
              </w:rPr>
              <w:t>；</w:t>
            </w:r>
            <w:r>
              <w:rPr>
                <w:b/>
                <w:sz w:val="18"/>
                <w:rFonts w:ascii="Calibri" w:hAnsi="Calibri" w:eastAsia="Microsoft YaHei"/>
              </w:rPr>
              <w:t>14245 基因</w:t>
            </w:r>
            <w:r>
              <w:rPr>
                <w:sz w:val="18"/>
                <w:rFonts w:ascii="Calibri" w:hAnsi="Calibri" w:eastAsia="Microsoft YaHei"/>
              </w:rPr>
              <w:t>进入后续分析</w:t>
            </w:r>
          </w:p>
        </w:tc>
      </w:tr>
      <w:tr>
        <w:tc>
          <w:tcPr>
            <w:tcW w:type="dxa" w:w="143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归一化</w:t>
            </w:r>
          </w:p>
        </w:tc>
        <w:tc>
          <w:tcPr>
            <w:tcW w:type="dxa" w:w="764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 xml:space="preserve">Log Transform（仅用于概况与降维；差异分析使用过滤后的原始 counts 快照 </w:t>
            </w:r>
            <w:r>
              <w:rPr>
                <w:color w:val="3E2A63"/>
                <w:sz w:val="15"/>
                <w:rFonts w:ascii="Consolas" w:hAnsi="Consolas" w:eastAsia="Consolas"/>
              </w:rPr>
              <w:t>20260923-131325_filter</w:t>
            </w:r>
            <w:r>
              <w:rPr>
                <w:sz w:val="18"/>
                <w:rFonts w:ascii="Calibri" w:hAnsi="Calibri" w:eastAsia="Microsoft YaHei"/>
              </w:rPr>
              <w:t>）</w:t>
            </w:r>
          </w:p>
        </w:tc>
      </w:tr>
      <w:tr>
        <w:tc>
          <w:tcPr>
            <w:tcW w:type="dxa" w:w="143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差异方法</w:t>
            </w:r>
          </w:p>
        </w:tc>
        <w:tc>
          <w:tcPr>
            <w:tcW w:type="dxa" w:w="764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DESeq2</w:t>
            </w:r>
          </w:p>
        </w:tc>
      </w:tr>
      <w:tr>
        <w:tc>
          <w:tcPr>
            <w:tcW w:type="dxa" w:w="143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对比</w:t>
            </w:r>
          </w:p>
        </w:tc>
        <w:tc>
          <w:tcPr>
            <w:tcW w:type="dxa" w:w="764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 xml:space="preserve">REFERENCE = </w:t>
            </w:r>
            <w:r>
              <w:rPr>
                <w:color w:val="3E2A63"/>
                <w:sz w:val="15"/>
                <w:rFonts w:ascii="Consolas" w:hAnsi="Consolas" w:eastAsia="Consolas"/>
              </w:rPr>
              <w:t>DMSO</w:t>
            </w:r>
            <w:r>
              <w:rPr>
                <w:sz w:val="18"/>
                <w:rFonts w:ascii="Calibri" w:hAnsi="Calibri" w:eastAsia="Microsoft YaHei"/>
              </w:rPr>
              <w:t xml:space="preserve">，TEST = </w:t>
            </w:r>
            <w:r>
              <w:rPr>
                <w:color w:val="3E2A63"/>
                <w:sz w:val="15"/>
                <w:rFonts w:ascii="Consolas" w:hAnsi="Consolas" w:eastAsia="Consolas"/>
              </w:rPr>
              <w:t>T4400</w:t>
            </w:r>
          </w:p>
        </w:tc>
      </w:tr>
      <w:tr>
        <w:tc>
          <w:tcPr>
            <w:tcW w:type="dxa" w:w="143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阈值</w:t>
            </w:r>
          </w:p>
        </w:tc>
        <w:tc>
          <w:tcPr>
            <w:tcW w:type="dxa" w:w="7640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padj ≤ 0.05</w:t>
            </w:r>
            <w:r>
              <w:rPr>
                <w:sz w:val="18"/>
                <w:rFonts w:ascii="Calibri" w:hAnsi="Calibri" w:eastAsia="Microsoft YaHei"/>
              </w:rPr>
              <w:t>，</w:t>
            </w:r>
            <w:r>
              <w:rPr>
                <w:color w:val="3E2A63"/>
                <w:sz w:val="15"/>
                <w:rFonts w:ascii="Consolas" w:hAnsi="Consolas" w:eastAsia="Consolas"/>
              </w:rPr>
              <w:t>|log2FC| ≥ 1</w:t>
            </w:r>
            <w:r>
              <w:rPr>
                <w:sz w:val="18"/>
                <w:rFonts w:ascii="Calibri" w:hAnsi="Calibri" w:eastAsia="Microsoft YaHei"/>
              </w:rPr>
              <w:t>（与 Homework 1 保持一致，便于横向比较）</w:t>
            </w:r>
          </w:p>
        </w:tc>
      </w:tr>
      <w:tr>
        <w:tc>
          <w:tcPr>
            <w:tcW w:type="dxa" w:w="143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富集</w:t>
            </w:r>
          </w:p>
        </w:tc>
        <w:tc>
          <w:tcPr>
            <w:tcW w:type="dxa" w:w="764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GSEA，KEGG，物种 Mouse（</w:t>
            </w:r>
            <w:r>
              <w:rPr>
                <w:color w:val="3E2A63"/>
                <w:sz w:val="15"/>
                <w:rFonts w:ascii="Consolas" w:hAnsi="Consolas" w:eastAsia="Consolas"/>
              </w:rPr>
              <w:t>mmu</w:t>
            </w:r>
            <w:r>
              <w:rPr>
                <w:sz w:val="18"/>
                <w:rFonts w:ascii="Calibri" w:hAnsi="Calibri" w:eastAsia="Microsoft YaHei"/>
              </w:rPr>
              <w:t>，</w:t>
            </w:r>
            <w:r>
              <w:rPr>
                <w:color w:val="3E2A63"/>
                <w:sz w:val="15"/>
                <w:rFonts w:ascii="Consolas" w:hAnsi="Consolas" w:eastAsia="Consolas"/>
              </w:rPr>
              <w:t>org.Mm.eg.db</w:t>
            </w:r>
            <w:r>
              <w:rPr>
                <w:sz w:val="18"/>
                <w:rFonts w:ascii="Calibri" w:hAnsi="Calibri" w:eastAsia="Microsoft YaHei"/>
              </w:rPr>
              <w:t>）</w:t>
            </w:r>
          </w:p>
        </w:tc>
      </w:tr>
    </w:tbl>
    <w:p/>
    <w:p>
      <w:pPr>
        <w:spacing w:after="80"/>
      </w:pPr>
      <w:r>
        <w:rPr>
          <w:b/>
          <w:sz w:val="21"/>
          <w:rFonts w:ascii="Calibri" w:hAnsi="Calibri" w:eastAsia="Microsoft YaHei"/>
        </w:rPr>
        <w:t>为什么用 GSEA 而不是过表征分析（ORA）</w:t>
      </w:r>
      <w:r>
        <w:rPr>
          <w:sz w:val="21"/>
          <w:rFonts w:ascii="Calibri" w:hAnsi="Calibri" w:eastAsia="Microsoft YaHei"/>
        </w:rPr>
        <w:t>：ORA 需要先有一份通过阈值的显著基因名单作为输入。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GSEA 使用全部基因的排序统计量，不依赖阈值，因此在单基因层面信号较弱时仍可检出通路层面的一致偏移。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这一取舍是方法层面的主动选择，不是退而求其次。</w:t>
      </w:r>
    </w:p>
    <w:p>
      <w:pPr>
        <w:keepNext/>
        <w:spacing w:before="280" w:after="100"/>
        <w:outlineLvl w:val="1"/>
      </w:pPr>
      <w:r>
        <w:rPr>
          <w:b/>
          <w:color w:val="3E2A63"/>
          <w:sz w:val="28"/>
          <w:rFonts w:ascii="Calibri" w:hAnsi="Calibri" w:eastAsia="Microsoft YaHei"/>
        </w:rPr>
        <w:t>三、结果</w:t>
      </w:r>
    </w:p>
    <w:p>
      <w:pPr>
        <w:keepNext/>
        <w:spacing w:before="180" w:after="100"/>
        <w:outlineLvl w:val="2"/>
      </w:pPr>
      <w:r>
        <w:rPr>
          <w:b/>
          <w:color w:val="241A38"/>
          <w:sz w:val="24"/>
          <w:rFonts w:ascii="Calibri" w:hAnsi="Calibri" w:eastAsia="Microsoft YaHei"/>
        </w:rPr>
        <w:t>3.1 表达谱概况</w:t>
      </w:r>
    </w:p>
    <w:p>
      <w:pPr>
        <w:spacing w:after="80"/>
      </w:pPr>
      <w:r>
        <w:rPr>
          <w:color w:val="3E2A63"/>
          <w:sz w:val="18"/>
          <w:rFonts w:ascii="Consolas" w:hAnsi="Consolas" w:eastAsia="Consolas"/>
        </w:rPr>
        <w:t>barplot.png</w:t>
      </w:r>
      <w:r>
        <w:rPr>
          <w:sz w:val="21"/>
          <w:rFonts w:ascii="Calibri" w:hAnsi="Calibri" w:eastAsia="Microsoft YaHei"/>
        </w:rPr>
        <w:t>：按平均丰度排序的前 20 个基因，按 6 组分别作图。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plo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ascii="Calibri" w:hAnsi="Calibri" w:eastAsia="Microsoft YaHei"/>
        </w:rPr>
        <w:t>图 1</w:t>
      </w:r>
      <w:r>
        <w:rPr>
          <w:sz w:val="18"/>
          <w:rFonts w:ascii="Calibri" w:hAnsi="Calibri" w:eastAsia="Microsoft YaHei"/>
        </w:rPr>
        <w:t xml:space="preserve">　平台输出 barplot.png：前 20 个高丰度基因，按 6 组作图（EMP-Web 导出）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>•  丰度最高的基因以</w:t>
      </w:r>
      <w:r>
        <w:rPr>
          <w:b/>
          <w:sz w:val="21"/>
          <w:rFonts w:ascii="Calibri" w:hAnsi="Calibri" w:eastAsia="Microsoft YaHei"/>
        </w:rPr>
        <w:t>细胞外基质与细胞骨架成分</w:t>
      </w:r>
      <w:r>
        <w:rPr>
          <w:sz w:val="21"/>
          <w:rFonts w:ascii="Calibri" w:hAnsi="Calibri" w:eastAsia="Microsoft YaHei"/>
        </w:rPr>
        <w:t>为主：</w:t>
      </w:r>
      <w:r>
        <w:rPr>
          <w:color w:val="3E2A63"/>
          <w:sz w:val="18"/>
          <w:rFonts w:ascii="Consolas" w:hAnsi="Consolas" w:eastAsia="Consolas"/>
        </w:rPr>
        <w:t>Fn1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Col3a1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Col1a2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Col12a1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Sparc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Bgn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Thbs1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Acta2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Acta1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Actb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Vim</w:t>
      </w:r>
      <w:r>
        <w:rPr>
          <w:sz w:val="21"/>
          <w:rFonts w:ascii="Calibri" w:hAnsi="Calibri" w:eastAsia="Microsoft YaHei"/>
        </w:rPr>
        <w:t>；其余为高表达管家基因（</w:t>
      </w:r>
      <w:r>
        <w:rPr>
          <w:color w:val="3E2A63"/>
          <w:sz w:val="18"/>
          <w:rFonts w:ascii="Consolas" w:hAnsi="Consolas" w:eastAsia="Consolas"/>
        </w:rPr>
        <w:t>Eef1a1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Eef2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Tpt1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Rplp0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Hsp90ab1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Calr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Pkm</w:t>
      </w:r>
      <w:r>
        <w:rPr>
          <w:sz w:val="21"/>
          <w:rFonts w:ascii="Calibri" w:hAnsi="Calibri" w:eastAsia="Microsoft YaHei"/>
        </w:rPr>
        <w:t>）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 xml:space="preserve">•  图的副标题是平台自动生成的标注，原文为 </w:t>
      </w:r>
      <w:r>
        <w:rPr>
          <w:color w:val="3E2A63"/>
          <w:sz w:val="18"/>
          <w:rFonts w:ascii="Consolas" w:hAnsi="Consolas" w:eastAsia="Consolas"/>
        </w:rPr>
        <w:t>Per-feature Kruskal test: 0/20 significant (p &lt; 0.05)</w:t>
      </w:r>
      <w:r>
        <w:rPr>
          <w:sz w:val="21"/>
          <w:rFonts w:ascii="Calibri" w:hAnsi="Calibri" w:eastAsia="Microsoft YaHei"/>
        </w:rPr>
        <w:t>：即 EMP 对这 20 个基因逐个做 Kruskal-Wallis 检验，</w:t>
      </w:r>
      <w:r>
        <w:rPr>
          <w:b/>
          <w:sz w:val="21"/>
          <w:rFonts w:ascii="Calibri" w:hAnsi="Calibri" w:eastAsia="Microsoft YaHei"/>
        </w:rPr>
        <w:t>无一在 6 组间达到显著</w:t>
      </w:r>
      <w:r>
        <w:rPr>
          <w:sz w:val="21"/>
          <w:rFonts w:ascii="Calibri" w:hAnsi="Calibri" w:eastAsia="Microsoft YaHei"/>
        </w:rPr>
        <w:t>。</w:t>
      </w:r>
      <w:r>
        <w:rPr>
          <w:b/>
          <w:sz w:val="21"/>
          <w:rFonts w:ascii="Calibri" w:hAnsi="Calibri" w:eastAsia="Microsoft YaHei"/>
        </w:rPr>
        <w:t>来源说明：该数字读自平台生成的图注文字，我与 AI 均未独立复算</w:t>
      </w:r>
      <w:r>
        <w:rPr>
          <w:sz w:val="21"/>
          <w:rFonts w:ascii="Calibri" w:hAnsi="Calibri" w:eastAsia="Microsoft YaHei"/>
        </w:rPr>
        <w:t>；若要在报告中作为结论使用，建议另行导出这 20 个基因的分组表达值自行验证。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按平台这一标注，最高丰度的那批基因在 6 组之间没有可检出的差异——处理效应不在"表达量最高的基因"里。</w:t>
      </w:r>
    </w:p>
    <w:p>
      <w:pPr>
        <w:keepNext/>
        <w:spacing w:before="180" w:after="100"/>
        <w:outlineLvl w:val="2"/>
      </w:pPr>
      <w:r>
        <w:rPr>
          <w:b/>
          <w:color w:val="241A38"/>
          <w:sz w:val="24"/>
          <w:rFonts w:ascii="Calibri" w:hAnsi="Calibri" w:eastAsia="Microsoft YaHei"/>
        </w:rPr>
        <w:t>3.2 GSEA（KEGG，小鼠）</w:t>
      </w:r>
    </w:p>
    <w:p>
      <w:pPr>
        <w:spacing w:after="80"/>
      </w:pPr>
      <w:r>
        <w:rPr>
          <w:sz w:val="21"/>
          <w:rFonts w:ascii="Calibri" w:hAnsi="Calibri" w:eastAsia="Microsoft YaHei"/>
        </w:rPr>
        <w:t xml:space="preserve">共返回 </w:t>
      </w:r>
      <w:r>
        <w:rPr>
          <w:b/>
          <w:sz w:val="21"/>
          <w:rFonts w:ascii="Calibri" w:hAnsi="Calibri" w:eastAsia="Microsoft YaHei"/>
        </w:rPr>
        <w:t>109 条通路</w:t>
      </w:r>
      <w:r>
        <w:rPr>
          <w:sz w:val="21"/>
          <w:rFonts w:ascii="Calibri" w:hAnsi="Calibri" w:eastAsia="Microsoft YaHei"/>
        </w:rPr>
        <w:t xml:space="preserve">，其中 </w:t>
      </w:r>
      <w:r>
        <w:rPr>
          <w:b/>
          <w:sz w:val="21"/>
          <w:rFonts w:ascii="Calibri" w:hAnsi="Calibri" w:eastAsia="Microsoft YaHei"/>
        </w:rPr>
        <w:t>80 条 p.adjust &lt; 0.05</w:t>
      </w:r>
      <w:r>
        <w:rPr>
          <w:sz w:val="21"/>
          <w:rFonts w:ascii="Calibri" w:hAnsi="Calibri" w:eastAsia="Microsoft YaHei"/>
        </w:rPr>
        <w:t>（55 条 NES 为正、25 条为负）。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NES 范围 −2.37 至 +2.26。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NES 为负（在 T4400 中整体下调）—— 前 10 条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1550"/>
        <w:gridCol w:w="1550"/>
        <w:gridCol w:w="1550"/>
        <w:gridCol w:w="1550"/>
        <w:gridCol w:w="1550"/>
      </w:tblGrid>
      <w:tr>
        <w:tc>
          <w:tcPr>
            <w:tcW w:type="dxa" w:w="1452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KEGG ID</w:t>
            </w:r>
          </w:p>
        </w:tc>
        <w:tc>
          <w:tcPr>
            <w:tcW w:type="dxa" w:w="3871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通路</w:t>
            </w:r>
          </w:p>
        </w:tc>
        <w:tc>
          <w:tcPr>
            <w:tcW w:type="dxa" w:w="1210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基因数</w:t>
            </w:r>
          </w:p>
        </w:tc>
        <w:tc>
          <w:tcPr>
            <w:tcW w:type="dxa" w:w="1089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NES</w:t>
            </w:r>
          </w:p>
        </w:tc>
        <w:tc>
          <w:tcPr>
            <w:tcW w:type="dxa" w:w="1452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p.adjust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mmu03030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DNA replication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35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-2.37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3.9e-07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mmu04110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Cell cycle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145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-2.34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1.7e-08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mmu04814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Motor proteins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150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-2.20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2.2e-08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mmu04820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Cytoskeleton in muscle cells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207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-2.10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1.7e-08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mmu03460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Fanconi anemia pathway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49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-2.10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0.0001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mmu03410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Base excision repair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41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-2.06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0.0002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mmu03440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Homologous recombination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37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-2.02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0.0009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mmu03430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Mismatch repair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22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-1.97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0.0013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mmu04114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Oocyte meiosis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100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-1.88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0.0005</w:t>
            </w:r>
          </w:p>
        </w:tc>
      </w:tr>
      <w:tr>
        <w:tc>
          <w:tcPr>
            <w:tcW w:type="dxa" w:w="1452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mmu05414</w:t>
            </w:r>
          </w:p>
        </w:tc>
        <w:tc>
          <w:tcPr>
            <w:tcW w:type="dxa" w:w="3871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Dilated cardiomyopathy</w:t>
            </w:r>
          </w:p>
        </w:tc>
        <w:tc>
          <w:tcPr>
            <w:tcW w:type="dxa" w:w="1210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83</w:t>
            </w:r>
          </w:p>
        </w:tc>
        <w:tc>
          <w:tcPr>
            <w:tcW w:type="dxa" w:w="1089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-1.85</w:t>
            </w:r>
          </w:p>
        </w:tc>
        <w:tc>
          <w:tcPr>
            <w:tcW w:type="dxa" w:w="145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0.0008</w:t>
            </w:r>
          </w:p>
        </w:tc>
      </w:tr>
    </w:tbl>
    <w:p/>
    <w:p>
      <w:pPr>
        <w:spacing w:after="80"/>
      </w:pPr>
      <w:r>
        <w:rPr>
          <w:b/>
          <w:sz w:val="21"/>
          <w:rFonts w:ascii="Calibri" w:hAnsi="Calibri" w:eastAsia="Microsoft YaHei"/>
        </w:rPr>
        <w:t>NES 为正（在 T4400 中整体上调）—— 前 10 条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1550"/>
        <w:gridCol w:w="1550"/>
        <w:gridCol w:w="1550"/>
        <w:gridCol w:w="1550"/>
        <w:gridCol w:w="1550"/>
      </w:tblGrid>
      <w:tr>
        <w:tc>
          <w:tcPr>
            <w:tcW w:type="dxa" w:w="1017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KEGG ID</w:t>
            </w:r>
          </w:p>
        </w:tc>
        <w:tc>
          <w:tcPr>
            <w:tcW w:type="dxa" w:w="5426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通路</w:t>
            </w:r>
          </w:p>
        </w:tc>
        <w:tc>
          <w:tcPr>
            <w:tcW w:type="dxa" w:w="848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基因数</w:t>
            </w:r>
          </w:p>
        </w:tc>
        <w:tc>
          <w:tcPr>
            <w:tcW w:type="dxa" w:w="792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NES</w:t>
            </w:r>
          </w:p>
        </w:tc>
        <w:tc>
          <w:tcPr>
            <w:tcW w:type="dxa" w:w="1017"/>
            <w:shd w:val="clear" w:fill="EDE9F2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8"/>
                <w:rFonts w:ascii="Calibri" w:hAnsi="Calibri" w:eastAsia="Microsoft YaHei"/>
              </w:rPr>
              <w:t>p.adjust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mmu05133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Pertussis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57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+2.26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3.8e-06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mmu04610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Complement and coagulation cascades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49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+2.26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2e-06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mmu04657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IL-17 signaling pathway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71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+2.17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&lt; 1e-10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mmu05142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Chagas disease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85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+2.14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5.1e-06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mmu05204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Chemical carcinogenesis - DNA adducts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33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+2.14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0.0002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mmu04061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Viral protein interaction with cytokine and cytokine receptor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48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+2.11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0.0001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mmu04620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Toll-like receptor signaling pathway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82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+2.09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0.0001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mmu05323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Rheumatoid arthritis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58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+2.09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0.0001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mmu05140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Leishmaniasis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55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+2.08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0.0001</w:t>
            </w:r>
          </w:p>
        </w:tc>
      </w:tr>
      <w:tr>
        <w:tc>
          <w:tcPr>
            <w:tcW w:type="dxa" w:w="1017"/>
          </w:tcPr>
          <w:p>
            <w:pPr>
              <w:spacing w:after="20"/>
            </w:pPr>
            <w:r/>
            <w:r>
              <w:rPr>
                <w:color w:val="3E2A63"/>
                <w:sz w:val="15"/>
                <w:rFonts w:ascii="Consolas" w:hAnsi="Consolas" w:eastAsia="Consolas"/>
              </w:rPr>
              <w:t>mmu05164</w:t>
            </w:r>
          </w:p>
        </w:tc>
        <w:tc>
          <w:tcPr>
            <w:tcW w:type="dxa" w:w="5426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Influenza A</w:t>
            </w:r>
          </w:p>
        </w:tc>
        <w:tc>
          <w:tcPr>
            <w:tcW w:type="dxa" w:w="848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116</w:t>
            </w:r>
          </w:p>
        </w:tc>
        <w:tc>
          <w:tcPr>
            <w:tcW w:type="dxa" w:w="792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+2.07</w:t>
            </w:r>
          </w:p>
        </w:tc>
        <w:tc>
          <w:tcPr>
            <w:tcW w:type="dxa" w:w="1017"/>
          </w:tcPr>
          <w:p>
            <w:pPr>
              <w:spacing w:after="20"/>
            </w:pPr>
            <w:r/>
            <w:r>
              <w:rPr>
                <w:sz w:val="18"/>
                <w:rFonts w:ascii="Calibri" w:hAnsi="Calibri" w:eastAsia="Microsoft YaHei"/>
              </w:rPr>
              <w:t>5.1e-06</w:t>
            </w:r>
          </w:p>
        </w:tc>
      </w:tr>
    </w:tbl>
    <w:p/>
    <w:p>
      <w:pPr>
        <w:spacing w:after="80"/>
      </w:pPr>
      <w:r>
        <w:rPr>
          <w:sz w:val="21"/>
          <w:rFonts w:ascii="Calibri" w:hAnsi="Calibri" w:eastAsia="Microsoft YaHei"/>
        </w:rPr>
        <w:t xml:space="preserve">完整结果见 </w:t>
      </w:r>
      <w:r>
        <w:rPr>
          <w:color w:val="3E2A63"/>
          <w:sz w:val="18"/>
          <w:rFonts w:ascii="Consolas" w:hAnsi="Consolas" w:eastAsia="Consolas"/>
        </w:rPr>
        <w:t>tx-analysis-result.csv</w:t>
      </w:r>
      <w:r>
        <w:rPr>
          <w:sz w:val="21"/>
          <w:rFonts w:ascii="Calibri" w:hAnsi="Calibri" w:eastAsia="Microsoft YaHei"/>
        </w:rPr>
        <w:t xml:space="preserve">（109 行，含 </w:t>
      </w:r>
      <w:r>
        <w:rPr>
          <w:color w:val="3E2A63"/>
          <w:sz w:val="18"/>
          <w:rFonts w:ascii="Consolas" w:hAnsi="Consolas" w:eastAsia="Consolas"/>
        </w:rPr>
        <w:t>core_enrichment</w:t>
      </w:r>
      <w:r>
        <w:rPr>
          <w:sz w:val="21"/>
          <w:rFonts w:ascii="Calibri" w:hAnsi="Calibri" w:eastAsia="Microsoft YaHei"/>
        </w:rPr>
        <w:t xml:space="preserve"> 前沿基因列表）。</w:t>
      </w:r>
    </w:p>
    <w:p>
      <w:pPr>
        <w:keepNext/>
        <w:spacing w:before="180" w:after="100"/>
        <w:outlineLvl w:val="2"/>
      </w:pPr>
      <w:r>
        <w:rPr>
          <w:b/>
          <w:color w:val="241A38"/>
          <w:sz w:val="24"/>
          <w:rFonts w:ascii="Calibri" w:hAnsi="Calibri" w:eastAsia="Microsoft YaHei"/>
        </w:rPr>
        <w:t>3.3 R 重建的 PCA 与火山图（补充平台 Sync 的空结果）</w:t>
      </w:r>
    </w:p>
    <w:p>
      <w:r>
        <w:rPr>
          <w:sz w:val="21"/>
          <w:rFonts w:ascii="Calibri" w:hAnsi="Calibri" w:eastAsia="Microsoft YaHei"/>
        </w:rPr>
        <w:t xml:space="preserve">平台 Sync 导出的降维与差异结果为空文件，以下两图由 R 用同一份原始计数独立重建，不是平台输出；来源与代码见 </w:t>
      </w:r>
      <w:r>
        <w:rPr>
          <w:color w:val="3E2A63"/>
          <w:sz w:val="18"/>
          <w:rFonts w:ascii="Consolas" w:hAnsi="Consolas" w:eastAsia="Consolas"/>
        </w:rPr>
        <w:t>Week5/HW2/README.md</w:t>
      </w:r>
      <w:r>
        <w:rPr>
          <w:sz w:val="21"/>
          <w:rFonts w:ascii="Calibri" w:hAnsi="Calibri" w:eastAsia="Microsoft YaHei"/>
        </w:rPr>
        <w:t xml:space="preserve"> 与附录 A、B。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_pca_all2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ascii="Calibri" w:hAnsi="Calibri" w:eastAsia="Microsoft YaHei"/>
        </w:rPr>
        <w:t>图 2</w:t>
      </w:r>
      <w:r>
        <w:rPr>
          <w:sz w:val="18"/>
          <w:rFonts w:ascii="Calibri" w:hAnsi="Calibri" w:eastAsia="Microsoft YaHei"/>
        </w:rPr>
        <w:t xml:space="preserve">　R 重建：全部 24 样本的 PCA（VST），平台 Sync 导出的降维结果为空，故以此补充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07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2_volcano_T4400_vs_DM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0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  <w:rFonts w:ascii="Calibri" w:hAnsi="Calibri" w:eastAsia="Microsoft YaHei"/>
        </w:rPr>
        <w:t>图 3</w:t>
      </w:r>
      <w:r>
        <w:rPr>
          <w:sz w:val="18"/>
          <w:rFonts w:ascii="Calibri" w:hAnsi="Calibri" w:eastAsia="Microsoft YaHei"/>
        </w:rPr>
        <w:t xml:space="preserve">　R 重建：T4400 vs DMSO 火山图（padj&lt;0.05 且 |log2FC|≥1），代码与运行输出见附录 A、B</w:t>
      </w:r>
    </w:p>
    <w:p>
      <w:pPr>
        <w:keepNext/>
        <w:spacing w:before="280" w:after="100"/>
        <w:outlineLvl w:val="1"/>
      </w:pPr>
      <w:r>
        <w:rPr>
          <w:b/>
          <w:color w:val="3E2A63"/>
          <w:sz w:val="28"/>
          <w:rFonts w:ascii="Calibri" w:hAnsi="Calibri" w:eastAsia="Microsoft YaHei"/>
        </w:rPr>
        <w:t>四、解释</w:t>
      </w:r>
    </w:p>
    <w:p>
      <w:pPr>
        <w:keepNext/>
        <w:spacing w:before="180" w:after="100"/>
        <w:outlineLvl w:val="2"/>
      </w:pPr>
      <w:r>
        <w:rPr>
          <w:b/>
          <w:color w:val="241A38"/>
          <w:sz w:val="24"/>
          <w:rFonts w:ascii="Calibri" w:hAnsi="Calibri" w:eastAsia="Microsoft YaHei"/>
        </w:rPr>
        <w:t>4.1 两个方向各自高度一致</w:t>
      </w:r>
    </w:p>
    <w:p>
      <w:pPr>
        <w:spacing w:after="80"/>
      </w:pPr>
      <w:r>
        <w:rPr>
          <w:sz w:val="21"/>
          <w:rFonts w:ascii="Calibri" w:hAnsi="Calibri" w:eastAsia="Microsoft YaHei"/>
        </w:rPr>
        <w:t>下调一侧不是一堆互不相干的通路，而是</w:t>
      </w:r>
      <w:r>
        <w:rPr>
          <w:b/>
          <w:sz w:val="21"/>
          <w:rFonts w:ascii="Calibri" w:hAnsi="Calibri" w:eastAsia="Microsoft YaHei"/>
        </w:rPr>
        <w:t>一个连贯的程序</w:t>
      </w:r>
      <w:r>
        <w:rPr>
          <w:sz w:val="21"/>
          <w:rFonts w:ascii="Calibri" w:hAnsi="Calibri" w:eastAsia="Microsoft YaHei"/>
        </w:rPr>
        <w:t>：DNA 复制、细胞周期，外加四条 DNA 修复通路（Fanconi anemia、碱基切除修复、同源重组、错配修复）。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这些通路共享大量增殖相关基因，同时出现指向同一件事——</w:t>
      </w:r>
      <w:r>
        <w:rPr>
          <w:b/>
          <w:sz w:val="21"/>
          <w:rFonts w:ascii="Calibri" w:hAnsi="Calibri" w:eastAsia="Microsoft YaHei"/>
        </w:rPr>
        <w:t>增殖相关转录程序整体下调</w:t>
      </w:r>
      <w:r>
        <w:rPr>
          <w:sz w:val="21"/>
          <w:rFonts w:ascii="Calibri" w:hAnsi="Calibri" w:eastAsia="Microsoft YaHei"/>
        </w:rPr>
        <w:t>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上调一侧同样连贯：Toll 样受体信号、IL-17 信号、补体与凝血级联，以及若干 KEGG 感染性疾病条目（百日咳、Chagas 病、利什曼病、甲型流感）。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这些"疾病"通路并不是独立发现</w:t>
      </w:r>
      <w:r>
        <w:rPr>
          <w:sz w:val="21"/>
          <w:rFonts w:ascii="Calibri" w:hAnsi="Calibri" w:eastAsia="Microsoft YaHei"/>
        </w:rPr>
        <w:t>——KEGG 的感染性疾病条目大量复用同一批固有免疫与炎症基因，所以正确的读法是「</w:t>
      </w:r>
      <w:r>
        <w:rPr>
          <w:b/>
          <w:sz w:val="21"/>
          <w:rFonts w:ascii="Calibri" w:hAnsi="Calibri" w:eastAsia="Microsoft YaHei"/>
        </w:rPr>
        <w:t>一个炎症/固有免疫程序被上调</w:t>
      </w:r>
      <w:r>
        <w:rPr>
          <w:sz w:val="21"/>
          <w:rFonts w:ascii="Calibri" w:hAnsi="Calibri" w:eastAsia="Microsoft YaHei"/>
        </w:rPr>
        <w:t>」，而不是「十种疾病被激活」。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把它们当作十条独立证据来写是典型的过度解读。</w:t>
      </w:r>
    </w:p>
    <w:p>
      <w:pPr>
        <w:keepNext/>
        <w:spacing w:before="180" w:after="100"/>
        <w:outlineLvl w:val="2"/>
      </w:pPr>
      <w:r>
        <w:rPr>
          <w:b/>
          <w:color w:val="241A38"/>
          <w:sz w:val="24"/>
          <w:rFonts w:ascii="Calibri" w:hAnsi="Calibri" w:eastAsia="Microsoft YaHei"/>
        </w:rPr>
        <w:t>4.2 与概况结果并不矛盾</w:t>
      </w:r>
    </w:p>
    <w:p>
      <w:pPr>
        <w:spacing w:after="80"/>
      </w:pPr>
      <w:r>
        <w:rPr>
          <w:sz w:val="21"/>
          <w:rFonts w:ascii="Calibri" w:hAnsi="Calibri" w:eastAsia="Microsoft YaHei"/>
        </w:rPr>
        <w:t>丰度最高的 20 个基因无组间差异，而通路层面有强信号——这两件事可以同时成立：GSEA 检测的是</w:t>
      </w:r>
      <w:r>
        <w:rPr>
          <w:b/>
          <w:sz w:val="21"/>
          <w:rFonts w:ascii="Calibri" w:hAnsi="Calibri" w:eastAsia="Microsoft YaHei"/>
        </w:rPr>
        <w:t>大量基因的微小一致偏移</w:t>
      </w:r>
      <w:r>
        <w:rPr>
          <w:sz w:val="21"/>
          <w:rFonts w:ascii="Calibri" w:hAnsi="Calibri" w:eastAsia="Microsoft YaHei"/>
        </w:rPr>
        <w:t>，不要求任何单个基因跨过阈值。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这也解释了为什么 ORA 路线在这份数据上行不通。</w:t>
      </w:r>
    </w:p>
    <w:p>
      <w:pPr>
        <w:keepNext/>
        <w:spacing w:before="180" w:after="100"/>
        <w:outlineLvl w:val="2"/>
      </w:pPr>
      <w:r>
        <w:rPr>
          <w:b/>
          <w:color w:val="241A38"/>
          <w:sz w:val="24"/>
          <w:rFonts w:ascii="Calibri" w:hAnsi="Calibri" w:eastAsia="Microsoft YaHei"/>
        </w:rPr>
        <w:t>4.3 两点补充解读</w:t>
      </w:r>
    </w:p>
    <w:p>
      <w:pPr>
        <w:spacing w:after="80"/>
      </w:pPr>
      <w:r>
        <w:rPr>
          <w:sz w:val="21"/>
          <w:rFonts w:ascii="Calibri" w:hAnsi="Calibri" w:eastAsia="Microsoft YaHei"/>
        </w:rPr>
        <w:t>表达量最高的那批基因是 Fn1、Col3a1、Col1a2、Sparc、Vim、Acta2——都是细胞外基质和细胞骨架的成分，这提示可能是成纤维/间充质样的贴壁细胞。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这是根据表达谱的推测，不是元数据里给出的信息</w:t>
      </w:r>
    </w:p>
    <w:p>
      <w:pPr>
        <w:spacing w:after="80"/>
      </w:pPr>
      <w:r>
        <w:rPr>
          <w:sz w:val="21"/>
          <w:rFonts w:ascii="Calibri" w:hAnsi="Calibri" w:eastAsia="Microsoft YaHei"/>
        </w:rPr>
        <w:t>这次只用EMP比较了 T4400 和 DMSO，没有用到超声。要回答超声有没有作用，得另跑 DMSO+LIPUS比较DMSO；要看药物和超声有没有相互作用，得在模型里加交互项，而平台界面没这个功能。</w:t>
      </w:r>
    </w:p>
    <w:p>
      <w:pPr>
        <w:keepNext/>
        <w:spacing w:before="280" w:after="100"/>
        <w:outlineLvl w:val="1"/>
      </w:pPr>
      <w:r>
        <w:rPr>
          <w:b/>
          <w:color w:val="3E2A63"/>
          <w:sz w:val="28"/>
          <w:rFonts w:ascii="Calibri" w:hAnsi="Calibri" w:eastAsia="Microsoft YaHei"/>
        </w:rPr>
        <w:t>五、限制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 xml:space="preserve">1.  </w:t>
      </w:r>
      <w:r>
        <w:rPr>
          <w:b/>
          <w:sz w:val="21"/>
          <w:rFonts w:ascii="Calibri" w:hAnsi="Calibri" w:eastAsia="Microsoft YaHei"/>
        </w:rPr>
        <w:t>KEGG 通路高度冗余</w:t>
      </w:r>
      <w:r>
        <w:rPr>
          <w:sz w:val="21"/>
          <w:rFonts w:ascii="Calibri" w:hAnsi="Calibri" w:eastAsia="Microsoft YaHei"/>
        </w:rPr>
        <w:t>。上调一侧的多条疾病通路共享基因集，</w:t>
      </w:r>
      <w:r>
        <w:rPr>
          <w:color w:val="3E2A63"/>
          <w:sz w:val="18"/>
          <w:rFonts w:ascii="Consolas" w:hAnsi="Consolas" w:eastAsia="Consolas"/>
        </w:rPr>
        <w:t>core_enrichment</w:t>
      </w:r>
      <w:r>
        <w:rPr>
          <w:sz w:val="21"/>
          <w:rFonts w:ascii="Calibri" w:hAnsi="Calibri" w:eastAsia="Microsoft YaHei"/>
        </w:rPr>
        <w:t xml:space="preserve"> 列可直接核对重叠情况。 80 条显著通路远不等于 80 个独立结论。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 xml:space="preserve">2.  </w:t>
      </w:r>
      <w:r>
        <w:rPr>
          <w:b/>
          <w:sz w:val="21"/>
          <w:rFonts w:ascii="Calibri" w:hAnsi="Calibri" w:eastAsia="Microsoft YaHei"/>
        </w:rPr>
        <w:t>每组仅 4 个生物学重复</w:t>
      </w:r>
      <w:r>
        <w:rPr>
          <w:sz w:val="21"/>
          <w:rFonts w:ascii="Calibri" w:hAnsi="Calibri" w:eastAsia="Microsoft YaHei"/>
        </w:rPr>
        <w:t>，统计功效有限；GSEA 的通路层面结论比单基因结论稳健，但仍需实验验证。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 xml:space="preserve">3.  </w:t>
      </w:r>
      <w:r>
        <w:rPr>
          <w:b/>
          <w:sz w:val="21"/>
          <w:rFonts w:ascii="Calibri" w:hAnsi="Calibri" w:eastAsia="Microsoft YaHei"/>
        </w:rPr>
        <w:t xml:space="preserve">导出表中有 4 行 </w:t>
      </w:r>
      <w:r>
        <w:rPr>
          <w:b/>
          <w:color w:val="3E2A63"/>
          <w:sz w:val="18"/>
          <w:rFonts w:ascii="Consolas" w:hAnsi="Consolas" w:eastAsia="Consolas"/>
        </w:rPr>
        <w:t>p.adjust</w:t>
      </w:r>
      <w:r>
        <w:rPr>
          <w:b/>
          <w:sz w:val="21"/>
          <w:rFonts w:ascii="Calibri" w:hAnsi="Calibri" w:eastAsia="Microsoft YaHei"/>
        </w:rPr>
        <w:t xml:space="preserve"> 与 5 行 </w:t>
      </w:r>
      <w:r>
        <w:rPr>
          <w:b/>
          <w:color w:val="3E2A63"/>
          <w:sz w:val="18"/>
          <w:rFonts w:ascii="Consolas" w:hAnsi="Consolas" w:eastAsia="Consolas"/>
        </w:rPr>
        <w:t>pvalue</w:t>
      </w:r>
      <w:r>
        <w:rPr>
          <w:b/>
          <w:sz w:val="21"/>
          <w:rFonts w:ascii="Calibri" w:hAnsi="Calibri" w:eastAsia="Microsoft YaHei"/>
        </w:rPr>
        <w:t xml:space="preserve"> 恰为 0</w:t>
      </w:r>
      <w:r>
        <w:rPr>
          <w:sz w:val="21"/>
          <w:rFonts w:ascii="Calibri" w:hAnsi="Calibri" w:eastAsia="Microsoft YaHei"/>
        </w:rPr>
        <w:t xml:space="preserve">，这是数值下溢或导出格式所致， 本报告中统一记为 </w:t>
      </w:r>
      <w:r>
        <w:rPr>
          <w:color w:val="3E2A63"/>
          <w:sz w:val="18"/>
          <w:rFonts w:ascii="Consolas" w:hAnsi="Consolas" w:eastAsia="Consolas"/>
        </w:rPr>
        <w:t>&lt; 1e-10</w:t>
      </w:r>
      <w:r>
        <w:rPr>
          <w:sz w:val="21"/>
          <w:rFonts w:ascii="Calibri" w:hAnsi="Calibri" w:eastAsia="Microsoft YaHei"/>
        </w:rPr>
        <w:t>，不按字面值解读。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 xml:space="preserve">4.  </w:t>
      </w:r>
      <w:r>
        <w:rPr>
          <w:b/>
          <w:sz w:val="21"/>
          <w:rFonts w:ascii="Calibri" w:hAnsi="Calibri" w:eastAsia="Microsoft YaHei"/>
        </w:rPr>
        <w:t>相关不等于因果</w:t>
      </w:r>
      <w:r>
        <w:rPr>
          <w:sz w:val="21"/>
          <w:rFonts w:ascii="Calibri" w:hAnsi="Calibri" w:eastAsia="Microsoft YaHei"/>
        </w:rPr>
        <w:t>。GSEA 给出的是转录组层面的关联性偏移，不能据此断言化合物的作用靶点或机制。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 xml:space="preserve">5.  </w:t>
      </w:r>
      <w:r>
        <w:rPr>
          <w:b/>
          <w:sz w:val="21"/>
          <w:rFonts w:ascii="Calibri" w:hAnsi="Calibri" w:eastAsia="Microsoft YaHei"/>
        </w:rPr>
        <w:t>平台上只做了一个对比</w:t>
      </w:r>
      <w:r>
        <w:rPr>
          <w:sz w:val="21"/>
          <w:rFonts w:ascii="Calibri" w:hAnsi="Calibri" w:eastAsia="Microsoft YaHei"/>
        </w:rPr>
        <w:t>（T4400 vs DMSO）。平台界面不支持析因模型与交互项；6 组设计的五个成对对比与两个交互项已在 R 中完成，见附录 E。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 xml:space="preserve">6.  </w:t>
      </w:r>
      <w:r>
        <w:rPr>
          <w:b/>
          <w:sz w:val="21"/>
          <w:rFonts w:ascii="Calibri" w:hAnsi="Calibri" w:eastAsia="Microsoft YaHei"/>
        </w:rPr>
        <w:t>对比方向已在界面核对</w:t>
      </w:r>
      <w:r>
        <w:rPr>
          <w:sz w:val="21"/>
          <w:rFonts w:ascii="Calibri" w:hAnsi="Calibri" w:eastAsia="Microsoft YaHei"/>
        </w:rPr>
        <w:t>。导出的 CSV 中不含对比方向的元数据；我在界面上确认设置为 REFERENCE = DMSO、TEST = T4400（初次设置相反，已更正，见第六节），即负 NES 表示"在 T4400 中下调"。</w:t>
      </w:r>
    </w:p>
    <w:p>
      <w:pPr>
        <w:keepNext/>
        <w:spacing w:before="280" w:after="100"/>
        <w:outlineLvl w:val="1"/>
      </w:pPr>
      <w:r>
        <w:rPr>
          <w:b/>
          <w:color w:val="3E2A63"/>
          <w:sz w:val="28"/>
          <w:rFonts w:ascii="Calibri" w:hAnsi="Calibri" w:eastAsia="Microsoft YaHei"/>
        </w:rPr>
        <w:t>六、AI 使用声明</w:t>
      </w:r>
    </w:p>
    <w:p>
      <w:pPr>
        <w:spacing w:after="80"/>
      </w:pPr>
      <w:r>
        <w:rPr>
          <w:sz w:val="21"/>
          <w:rFonts w:ascii="Calibri" w:hAnsi="Calibri" w:eastAsia="Microsoft YaHei"/>
        </w:rPr>
        <w:t xml:space="preserve">AI 参与：撰写本报告的数据描述与结果表格（GSEA 与矩阵相关数值由 AI 直接读取 </w:t>
      </w:r>
      <w:r>
        <w:rPr>
          <w:color w:val="3E2A63"/>
          <w:sz w:val="18"/>
          <w:rFonts w:ascii="Consolas" w:hAnsi="Consolas" w:eastAsia="Consolas"/>
        </w:rPr>
        <w:t>tx-analysis-result.csv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RNAseq_output_assay.csv</w:t>
      </w:r>
      <w:r>
        <w:rPr>
          <w:sz w:val="21"/>
          <w:rFonts w:ascii="Calibri" w:hAnsi="Calibri" w:eastAsia="Microsoft YaHei"/>
        </w:rPr>
        <w:t xml:space="preserve"> 后填入；</w:t>
      </w:r>
      <w:r>
        <w:rPr>
          <w:color w:val="3E2A63"/>
          <w:sz w:val="18"/>
          <w:rFonts w:ascii="Consolas" w:hAnsi="Consolas" w:eastAsia="Consolas"/>
        </w:rPr>
        <w:t>barplot.png</w:t>
      </w:r>
      <w:r>
        <w:rPr>
          <w:sz w:val="21"/>
          <w:rFonts w:ascii="Calibri" w:hAnsi="Calibri" w:eastAsia="Microsoft YaHei"/>
        </w:rPr>
        <w:t xml:space="preserve"> 的 Kruskal 结果为读取平台图注文字所得，</w:t>
      </w:r>
      <w:r>
        <w:rPr>
          <w:b/>
          <w:sz w:val="21"/>
          <w:rFonts w:ascii="Calibri" w:hAnsi="Calibri" w:eastAsia="Microsoft YaHei"/>
        </w:rPr>
        <w:t>非独立复算</w:t>
      </w:r>
      <w:r>
        <w:rPr>
          <w:sz w:val="21"/>
          <w:rFonts w:ascii="Calibri" w:hAnsi="Calibri" w:eastAsia="Microsoft YaHei"/>
        </w:rPr>
        <w:t>，已在 3.1 节标注来源）；指出 KEGG 疾病通路冗余这一解读陷阱；编写平台操作单；编写并运行附录 A 的 R 重建脚本与附录 E 的完整析因分析（代码、运行输出与审计表见附录 A、B、C、E）。</w:t>
      </w:r>
    </w:p>
    <w:p>
      <w:pPr>
        <w:spacing w:after="80"/>
      </w:pPr>
      <w:r>
        <w:rPr>
          <w:sz w:val="21"/>
          <w:rFonts w:ascii="Calibri" w:hAnsi="Calibri" w:eastAsia="Microsoft YaHei"/>
        </w:rPr>
        <w:t>AI 未参与：平台上的全部实际操作（导入、过滤、归一化、差异分析、GSEA 参数设置与运行）、第 4.3 节两点解释的撰写。</w:t>
      </w:r>
    </w:p>
    <w:p>
      <w:pPr>
        <w:spacing w:after="80"/>
      </w:pPr>
      <w:r>
        <w:rPr>
          <w:b/>
          <w:sz w:val="21"/>
          <w:rFonts w:ascii="Calibri" w:hAnsi="Calibri" w:eastAsia="Microsoft YaHei"/>
        </w:rPr>
        <w:t>操作过程中被我更正的两处</w:t>
      </w:r>
      <w:r>
        <w:rPr>
          <w:sz w:val="21"/>
          <w:rFonts w:ascii="Calibri" w:hAnsi="Calibri" w:eastAsia="Microsoft YaHei"/>
        </w:rPr>
        <w:t>（均为 AI 未涉及、由我在界面上发现并修正）：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>1.  差异分析的 REFERENCE / TEST 初次设置为 T4400 / DMSO，方向与预期相反，已对调为 DMSO / T4400</w:t>
      </w:r>
    </w:p>
    <w:p>
      <w:pPr>
        <w:spacing w:after="80"/>
        <w:ind w:left="432" w:hanging="317"/>
      </w:pPr>
      <w:r>
        <w:rPr>
          <w:sz w:val="21"/>
          <w:rFonts w:ascii="Calibri" w:hAnsi="Calibri" w:eastAsia="Microsoft YaHei"/>
        </w:rPr>
        <w:t xml:space="preserve">2.  GSEA 与富集面板的 ORGANISM 默认为 Human，且在安装完 </w:t>
      </w:r>
      <w:r>
        <w:rPr>
          <w:color w:val="3E2A63"/>
          <w:sz w:val="18"/>
          <w:rFonts w:ascii="Consolas" w:hAnsi="Consolas" w:eastAsia="Consolas"/>
        </w:rPr>
        <w:t>org.Mm.eg.db</w:t>
      </w:r>
      <w:r>
        <w:rPr>
          <w:sz w:val="21"/>
          <w:rFonts w:ascii="Calibri" w:hAnsi="Calibri" w:eastAsia="Microsoft YaHei"/>
        </w:rPr>
        <w:t xml:space="preserve"> 后会复位回 Human； 每次运行前均需重新确认为 Mouse</w:t>
      </w:r>
    </w:p>
    <w:p>
      <w:pPr>
        <w:keepNext/>
        <w:spacing w:before="280" w:after="100"/>
        <w:outlineLvl w:val="1"/>
      </w:pPr>
      <w:r>
        <w:rPr>
          <w:b/>
          <w:color w:val="3E2A63"/>
          <w:sz w:val="28"/>
          <w:rFonts w:ascii="Calibri" w:hAnsi="Calibri" w:eastAsia="Microsoft YaHei"/>
        </w:rPr>
        <w:t>七、复现信息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>•  平台：EasyMultiProfiler-Web v9.0.4，本地运行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>•  输入：</w:t>
      </w:r>
      <w:r>
        <w:rPr>
          <w:color w:val="3E2A63"/>
          <w:sz w:val="18"/>
          <w:rFonts w:ascii="Consolas" w:hAnsi="Consolas" w:eastAsia="Consolas"/>
        </w:rPr>
        <w:t>tests/RNAseq_output.csv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tests/RNAseq_mapping.csv</w:t>
      </w:r>
      <w:r>
        <w:rPr>
          <w:sz w:val="21"/>
          <w:rFonts w:ascii="Calibri" w:hAnsi="Calibri" w:eastAsia="Microsoft YaHei"/>
        </w:rPr>
        <w:t>（</w:t>
      </w:r>
      <w:r>
        <w:rPr>
          <w:b/>
          <w:sz w:val="21"/>
          <w:rFonts w:ascii="Calibri" w:hAnsi="Calibri" w:eastAsia="Microsoft YaHei"/>
        </w:rPr>
        <w:t>原始文件未修改</w:t>
      </w:r>
      <w:r>
        <w:rPr>
          <w:sz w:val="21"/>
          <w:rFonts w:ascii="Calibri" w:hAnsi="Calibri" w:eastAsia="Microsoft YaHei"/>
        </w:rPr>
        <w:t>）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>•  快照：</w:t>
      </w:r>
      <w:r>
        <w:rPr>
          <w:color w:val="3E2A63"/>
          <w:sz w:val="18"/>
          <w:rFonts w:ascii="Consolas" w:hAnsi="Consolas" w:eastAsia="Consolas"/>
        </w:rPr>
        <w:t>20260923-131325_filter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>•  输出文件：</w:t>
      </w:r>
      <w:r>
        <w:rPr>
          <w:color w:val="3E2A63"/>
          <w:sz w:val="18"/>
          <w:rFonts w:ascii="Consolas" w:hAnsi="Consolas" w:eastAsia="Consolas"/>
        </w:rPr>
        <w:t>prep-preview.csv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RNAseq_output_assay.csv</w:t>
      </w:r>
      <w:r>
        <w:rPr>
          <w:sz w:val="21"/>
          <w:rFonts w:ascii="Calibri" w:hAnsi="Calibri" w:eastAsia="Microsoft YaHei"/>
        </w:rPr>
        <w:t>（14245 × 24，log 后）、</w:t>
      </w:r>
      <w:r>
        <w:rPr>
          <w:color w:val="3E2A63"/>
          <w:sz w:val="18"/>
          <w:rFonts w:ascii="Consolas" w:hAnsi="Consolas" w:eastAsia="Consolas"/>
        </w:rPr>
        <w:t>barplot.png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tx-analysis-result.csv</w:t>
      </w:r>
    </w:p>
    <w:p>
      <w:pPr>
        <w:spacing w:after="80"/>
        <w:ind w:left="432" w:hanging="259"/>
      </w:pPr>
      <w:r>
        <w:rPr>
          <w:sz w:val="21"/>
          <w:rFonts w:ascii="Calibri" w:hAnsi="Calibri" w:eastAsia="Microsoft YaHei"/>
        </w:rPr>
        <w:t xml:space="preserve">•  同步：通过 Export 页 Sync 推送至 </w:t>
      </w:r>
      <w:r>
        <w:rPr>
          <w:color w:val="3E2A63"/>
          <w:sz w:val="18"/>
          <w:rFonts w:ascii="Consolas" w:hAnsi="Consolas" w:eastAsia="Consolas"/>
        </w:rPr>
        <w:t>EMP2026/Week_05/transcriptomics/weekly/runs/</w:t>
      </w:r>
      <w:r>
        <w:rPr>
          <w:sz w:val="21"/>
          <w:rFonts w:ascii="Calibri" w:hAnsi="Calibri" w:eastAsia="Microsoft YaHei"/>
        </w:rPr>
        <w:t>，共 4 次：</w:t>
      </w:r>
      <w:r>
        <w:rPr>
          <w:color w:val="3E2A63"/>
          <w:sz w:val="18"/>
          <w:rFonts w:ascii="Consolas" w:hAnsi="Consolas" w:eastAsia="Consolas"/>
        </w:rPr>
        <w:t>sfc7g0</w:t>
      </w:r>
      <w:r>
        <w:rPr>
          <w:sz w:val="21"/>
          <w:rFonts w:ascii="Calibri" w:hAnsi="Calibri" w:eastAsia="Microsoft YaHei"/>
        </w:rPr>
        <w:t>（导入数据前的首次同步，仅含学习记录）、</w:t>
      </w:r>
      <w:r>
        <w:rPr>
          <w:color w:val="3E2A63"/>
          <w:sz w:val="18"/>
          <w:rFonts w:ascii="Consolas" w:hAnsi="Consolas" w:eastAsia="Consolas"/>
        </w:rPr>
        <w:t>mvq13l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l6selm</w:t>
      </w:r>
      <w:r>
        <w:rPr>
          <w:sz w:val="21"/>
          <w:rFonts w:ascii="Calibri" w:hAnsi="Calibri" w:eastAsia="Microsoft YaHei"/>
        </w:rPr>
        <w:t>、</w:t>
      </w:r>
      <w:r>
        <w:rPr>
          <w:color w:val="3E2A63"/>
          <w:sz w:val="18"/>
          <w:rFonts w:ascii="Consolas" w:hAnsi="Consolas" w:eastAsia="Consolas"/>
        </w:rPr>
        <w:t>swbicb</w:t>
      </w:r>
      <w:r>
        <w:rPr>
          <w:sz w:val="21"/>
          <w:rFonts w:ascii="Calibri" w:hAnsi="Calibri" w:eastAsia="Microsoft YaHei"/>
        </w:rPr>
        <w:t>；</w:t>
      </w:r>
      <w:r>
        <w:rPr>
          <w:color w:val="3E2A63"/>
          <w:sz w:val="18"/>
          <w:rFonts w:ascii="Consolas" w:hAnsi="Consolas" w:eastAsia="Consolas"/>
        </w:rPr>
        <w:t>LATEST</w:t>
      </w:r>
      <w:r>
        <w:rPr>
          <w:sz w:val="21"/>
          <w:rFonts w:ascii="Calibri" w:hAnsi="Calibri" w:eastAsia="Microsoft YaHei"/>
        </w:rPr>
        <w:t xml:space="preserve"> 指向 </w:t>
      </w:r>
      <w:r>
        <w:rPr>
          <w:color w:val="3E2A63"/>
          <w:sz w:val="18"/>
          <w:rFonts w:ascii="Consolas" w:hAnsi="Consolas" w:eastAsia="Consolas"/>
        </w:rPr>
        <w:t>2026-09-23T06-31-10-982Z-swbicb</w:t>
      </w:r>
    </w:p>
    <w:p>
      <w:pPr>
        <w:spacing w:after="80"/>
      </w:pPr>
      <w:r>
        <w:rPr>
          <w:sz w:val="21"/>
          <w:rFonts w:ascii="Calibri" w:hAnsi="Calibri" w:eastAsia="Microsoft YaHei"/>
        </w:rPr>
        <w:t xml:space="preserve">作业文件首次提交：https://github.com/zzx-suat/Bioinformatics_homewor_ZixuanZeng/commit/f9eda40（最终版本见仓库 </w:t>
      </w:r>
      <w:r>
        <w:rPr>
          <w:color w:val="3E2A63"/>
          <w:sz w:val="18"/>
          <w:rFonts w:ascii="Consolas" w:hAnsi="Consolas" w:eastAsia="Consolas"/>
        </w:rPr>
        <w:t>Week5/HW2/</w:t>
      </w:r>
      <w:r>
        <w:rPr>
          <w:sz w:val="21"/>
          <w:rFonts w:ascii="Calibri" w:hAnsi="Calibri" w:eastAsia="Microsoft YaHei"/>
        </w:rPr>
        <w:t>）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A — R 重建脚本（完整代码）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平台 Sync 导出的 results/ 三个文件均为 4 字节空文件（全部同步皆然），因此用下列脚本在本机 R 中从同一份源数据重建 PCA、差异表与火山图。本附录为完整代码，未省略。</w:t>
      </w:r>
    </w:p>
    <w:p>
      <w:pPr>
        <w:spacing w:after="120"/>
      </w:pPr>
      <w:r>
        <w:rPr>
          <w:i/>
          <w:color w:val="1A1A1A"/>
          <w:sz w:val="21"/>
          <w:rFonts w:eastAsia="Microsoft YaHei"/>
        </w:rPr>
        <w:t>注意：本脚本的输出是 R 独立重跑的结果，不是 EasyMultiProfiler-Web 平台的输出。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Week 5 Homework 2 — 平台导出缺失产物的 R 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Zixuan Zeng / SUAT24000114 · 2026-09-23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背景：EMP-Web 的 Sync 把 diff_analysis / dimension / enrichment 三个结果文件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导成了空文件（4 字节，内容为 ""）。本脚本用同一批源数据在 R 里重建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这些产物。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重要声明：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本脚本的输出是「用 R 独立重跑得到的结果」，不是 EasyMultiProfiler-Web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平台的输出。两者用的是同一份输入和同一个对比方向，但统计实现、默认参数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与版本不同，数值不保证完全一致。报告中引用时必须标明来源为本次 R 重建。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输入（均为原始文件，未改动）：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EasyMultiProfiler-Web/tests/RNAseq_output.csv    原始整数 counts, 24394 x 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EasyMultiProfiler-Web/tests/RNAseq_mapping.csv   样本分组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week5/RNAseq_output_assay.csv                    仅用于取 EMP 保留的基因名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输出：week5/hw2_rebuild/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suppressPackageStartupMessages({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library(DESeq2); library(ggplot2); library(ggrepel)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TESTS &lt;- "D:/BioLession in total/Bioinformatics/week1/EasyMultiProfiler-Web/tests"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W5    &lt;- "D:/BioLession in total/Bioinformatics/week5"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OUT   &lt;- file.path(W5, "hw2_rebuild")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dir.create(OUT, showWarnings = FALSE, recursive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--- 1. 读入 -----------------------------------------------------------------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counts &lt;- read.csv(file.path(TESTS, "RNAseq_output.csv"),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   &lt;- read.csv(file.path(TESTS, "RNAseq_mapping.csv"),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fileEncoding = "UTF-8-BOM",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rownames(meta) &lt;- meta$SampleID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as.matrix(counts)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--- 2. 输入断言：出问题要大声失败，不要静默继续 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stopifnot(all(cm == round(cm)), all(cm &gt;= 0))                  # 非负整数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stopifnot(identical(colnames(cm), rownames(meta)))             # 列名与元数据严格对齐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stopifnot(!anyDuplicated(colnames(cm)), !anyDuplicated(rownames(cm)))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cat(sprintf("输入: %d 基因 x %d 样本, 全为非负整数, 样本顺序一致\n",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ncol(cm)))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--- 3. 特征集：直接采用 EMP 实际保留的基因，避免猜测其过滤规则 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assay_emp &lt;- read.csv(file.path(W5, "RNAseq_output_assay.csv"),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keep_genes &lt;- rownames(assay_emp)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stopifnot(all(keep_genes %in% 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cm[keep_genes, 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cat(sprintf("特征集: 采用 EMP 保留的 %d 个基因（从平台导出的 assay 读取，非本脚本重新过滤）\n",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meta$Group &lt;- factor(meta$Group)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cat("\n分组结构:\n"); print(table(meta$Group))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4. PCA —— 全部 24 个样本，展示整个析因设计的结构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dds_all &lt;- DESeqDataSetFromMatrix(cm, meta,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vsd &lt;- vst(dds_all, blind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pca &lt;- prcomp(t(assay(vsd)), scale.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pv  &lt;- round(100 * pca$sdev^2 / sum(pca$sdev^2), 1)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 &lt;- data.frame(PC1 = pca$x[, 1], PC2 = pca$x[, 2],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Group = meta$Group, Sample = rownames(meta))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pdat$Drug  &lt;- sub("\\+LIPUS$", "", as.character(pdat$Group))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pdat$LIPUS &lt;- ifelse(grepl("\\+LIPUS$", pdat$Group), "LIPUS", "no LIPUS")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p_pca &lt;- ggplot(pdat, aes(PC1, PC2, colour = Drug, shape = LIPUS))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geom_point(size = 3.6, alpha = .9)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c(DMSO = "#6B6478", T4400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T3976 = "#2F6F4E"))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"PCA of VST-transformed counts (all 24 samples)",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sprintf("EMP-retained feature set, %d genes | rebuilt in R, not the platform's own output",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nrow(cm)),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legend.position = "right")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"hw2_pca_all24.png"), p_pca,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5.4,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write.csv(cbind(pdat, pca$x[, 1:4]), file.path(OUT, "hw2_pca_coordinates.csv"),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cat(sprintf("\nPCA: PC1 %.1f%%, PC2 %.1f%%\n", pv[1], pv[2]))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5. 差异表达 —— T4400 vs DMSO，参考水平 DMSO（与平台上更正后的方向一致）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sel  &lt;- meta$Group %in% c("DMSO",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 &lt;- droplevels(meta[sel, 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meta_sub$Group &lt;- relevel(factor(meta_sub$Group), ref = "DMSO")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cm_sub &lt;- cm[, rownames(meta_sub),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cat(sprintf("\n差异分析子集: %d 样本 (%s)\n", ncol(cm_sub),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paste(names(table(meta_sub$Group)), table(meta_sub$Group),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sep = "=", collapse = ", 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DESeqDataSetFromMatrix(cm_sub, meta_sub,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mm  &lt;- model.matrix(design(dds), colData(dds))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stopifnot(qr(mm)$rank == ncol(mm))                     # 满秩检查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cat(sprintf("模型矩阵满秩: %d/%d\n", qr(mm)$rank, ncol(mm)))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DESeq(dds,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cat("resultsNames: ", paste(resultsNames(dds), collapse = " | "), "\n")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coef_name &lt;- "Group_T4400_vs_DMSO"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stopifnot(coef_name %in% resultsNames(dds))            # 不假设系数名，显式核对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 &lt;- results(dds, name = coef_name)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res_shr &lt;- lfcShrink(dds, coef = coef_name, type = "apeglm",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PADJ &lt;- 0.05; LFC &lt;- 1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as.data.frame(res_shr)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rdf$feature &lt;- rownames(rdf)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rdf[order(rdf$padj, na.last = TRUE),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rdf$significant &lt;- with(rdf, !is.na(padj) &amp; padj &lt; PADJ &amp; abs(log2FoldChange) &gt;=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rdf$direction &lt;- with(rdf, ifelse(!significant, "ns",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ifelse(log2FoldChange &gt; 0, "up in T4400", "down in T4400")))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n_up   &lt;- sum(rdf$direction == "up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n_down &lt;- sum(rdf$direction == "down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n_na   &lt;- sum(is.na(rdf$padj))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n_padj_only &lt;- sum(!is.na(rdf$padj) &amp; rdf$padj &lt; PADJ &amp; abs(rdf$log2FoldChange) &lt;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cat(sprintf("\n阈值 padj &lt; %.2f 且 |log2FC| &gt;= %g\n", PADJ, LFC))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上调 (T4400 更高): %d\n", n_up))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下调 (T4400 更低): %d\n",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合计显著          : %d\n", n_up +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padj 为 NA        : %d\n", n_na))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仅过 padj 未过效应量: %d\n", n_padj_only))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write.csv(rdf[, c("feature", "baseMean", "log2FoldChange", "lfcSE",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"pvalue", "padj", "significant", "direction")],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file.path(OUT, "hw2_deseq2_results_T4400_vs_DMSO.csv"),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方向核验：收缩后的符号 vs 原始 counts 组均值 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top &lt;- head(rdf[rdf$significant, ], 20)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if (nrow(top) &gt; 0) 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g_dmso  &lt;- rowMeans(cm_sub[top$feature, meta_sub$Group == "DMSO", 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g_t4400 &lt;- rowMeans(cm_sub[top$feature, meta_sub$Group == "T4400",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 &lt;- data.frame(feature = top$feature,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log2FC_shrunk = top$log2FoldChange,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mean_DMSO = g_dmso, mean_T4400 = g_t4400,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raw_higher_in = ifelse(g_t4400 &gt; g_dmso, "T4400", "DMSO"))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chk$agrees &lt;- (chk$log2FC_shrunk &gt; 0) == (chk$raw_higher_in ==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write.csv(chk, file.path(OUT, "hw2_direction_check.csv"),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cat(sprintf("方向核验: top%d 中 %d 个与原始组均值一致\n",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nrow(chk), sum(chk$agrees)))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6. 火山图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vdf &lt;- rdf[!is.na(rdf$padj),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lab &lt;- head(vdf[vdf$significant, ], 15)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p_vol &lt;- ggplot(vdf, aes(log2FoldChange, -log10(padj), colour = direction))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geom_point(alpha = .55, size = 1.5)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geom_hline(yintercept = -log10(PADJ),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geom_vline(xintercept = c(-LFC, LFC),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ggrepel::geom_text_repel(data = lab, aes(label = feature), size = 2.9,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max.overlaps = 20, seed = 1, show.legend = FALSE)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c("ns" = "#C9C5D1",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"up in T4400"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"down in T4400" = "#2F6F4E"), name = NULL)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"T4400 versus DMSO — apeglm-shrunken log2 fold change",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sprintf("padj &lt; %.2f and |log2FC| &gt;= %g | up %d, down %d | rebuilt in R",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PADJ, LFC, n_up, n_down),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"log2 fold change (T4400 / DMSO)", y = "-log10 adjusted p")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 legend.position = "bottom")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"hw2_volcano_T4400_vs_DMSO.png"), p_vol,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6.2,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7. 存档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saveRDS(dds, file.path(OUT, "hw2_dds_T4400_vs_DMSO.rds"))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writeLines(capture.output(sessionInfo()), file.path(OUT, "hw2_session_info.txt"))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summary_tbl &lt;- data.frame(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item = c("source_counts", "source_mapping", "feature_set", "n_features",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"contrast", "reference_level", "shrinkage", "padj_threshold",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"lfc_threshold", "n_up", "n_down", "n_significant", "n_padj_NA",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"n_padj_only", "PC1_pct", "PC2_pct"),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value = c("EasyMultiProfiler-Web/tests/RNAseq_output.csv",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"EasyMultiProfiler-Web/tests/RNAseq_mapping.csv",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"EMP-retained genes read from RNAseq_output_assay.csv",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"T4400 vs DMSO", "DMSO", "apeglm", PADJ, LFC,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n_up, n_down, n_up + n_down, n_na, n_padj_only, pv[1], pv[2])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write.csv(summary_tbl, file.path(OUT, "hw2_rebuild_summary.csv"),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cat("\n完成。产物写入 ", OUT, "\n", sep = "")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B — 真实运行输出（控制台日志）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以下为上述脚本在本机实际运行的原样输出，未经编辑。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﻿========== Week 5 Homework 2 · R 重建运行日志 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运行时间 : 2026-09-24 10:11:36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R 版本   : 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平台     : Windows 11 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工作目录 :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脚本     :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调用     : Rscript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控制台输出（原样） 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输入: 24394 基因 x 24 样本, 全为非负整数, 样本顺序一致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特征集: 采用 EMP 保留的 14245 个基因（从平台导出的 assay 读取，非本脚本重新过滤）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分组结构: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DMSO  DMSO+LIPUS       T3976 T3976+LIPUS       T4400 T4400+LIPUS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   4           4           4           4           4           4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Note: levels of factors in the design contain characters other than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letters, numbers, '_' and '.'. It is recommended (but not required) to use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only letters, numbers, and delimiters '_' or '.', as these are safe characters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for column names in R. [This is a message, not a warning or an error]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PCA: PC1 56.4%, PC2 13.9%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差异分析子集: 8 样本 (DMSO=4, T4400=4)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模型矩阵满秩: 2/2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resultsNames:  Intercept | Group_T4400_vs_DMSO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阈值 padj &lt; 0.05 且 |log2FC| &gt;=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上调 (T4400 更高):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下调 (T4400 更低):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合计显著          :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padj 为 NA        : 832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仅过 padj 未过效应量: 2068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方向核验: top20 中 20 个与原始组均值一致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完成。产物写入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运行结束，退出码 0 ----------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C — AI 使用审计表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记录 AI 提出的每一项建议、我如何核验、以及最终决定。被否决的条目同样列出。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2584"/>
        <w:gridCol w:w="2584"/>
        <w:gridCol w:w="2584"/>
      </w:tblGrid>
      <w:tr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AI 建议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我的核验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最终决定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用 log 转换后的 assay 矩阵作为 DESeq2 输入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DESeq2 要求原始整数计数；log 矩阵会触发 not integers 报错，且违反模型假设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否决。改用 tests/RNAseq_output.csv 的原始整数计数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推测平台的过滤规则并在 R 中复现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试了 11 种常见规则，无一得到 14245；被丢弃基因中存在 rowSum=143 且 24 样本全非零者，说明不是简单计数阈值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否决。改为直接读取平台导出 assay 的基因名作为特征集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把 R 重建结果当作平台输出提交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两者统计实现、默认参数与版本均不同，数值不保证一致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否决。分目录存放，README 与本附录均标明来源为 R 独立重跑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由 AI 撰写第 4.3 节的生物学解释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该节为本人对表达谱的推断与对实验设计的判断，属独立推理部分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否决。4.3 节由本人撰写，AI 未参与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假定差异分析的对比方向为 DMSO→T4400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导出 CSV 不含方向元数据；我在平台界面核对，初次设置为 REFERENCE=T4400 方向相反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已更正为 REFERENCE=DMSO / TEST=T4400，并在 R 重建中用 relevel 显式固定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直接采用 resultsNames 的第二个系数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系数名不应假设；脚本中加入 stopifnot 显式核对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采纳但加固。核对结果为 Group_T4400_vs_DMSO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以 padj 单一阈值判定显著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小 padj 不等于生物学重要；课程要求同时报告统计与效应量阈值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采纳并补充。同时使用 padj&lt;0.05 与 |log2FC|&gt;=1，并单独报告仅过 padj 的 2068 个基因</w:t>
            </w:r>
          </w:p>
        </w:tc>
      </w:tr>
    </w:tbl>
    <w:p/>
    <w:p>
      <w:pPr>
        <w:spacing w:after="120"/>
      </w:pPr>
      <w:r>
        <w:rPr>
          <w:i w:val="0"/>
          <w:color w:val="1A1A1A"/>
          <w:sz w:val="21"/>
          <w:rFonts w:eastAsia="Microsoft YaHei"/>
        </w:rPr>
        <w:t>另有一处由本人在平台操作中发现并更正、AI 未涉及的问题：GSEA 与富集面板的 ORGANISM 下拉在安装 org.Mm.eg.db 后会复位回 Human，导致报 'hsa' is missing；每次运行前均需重新确认为 Mouse。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D — 运行环境 sessionInfo()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Platform: x86_64-w64-mingw32/x64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Running under: Windows 11 x64 (build 26200)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Matrix products: default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LAPACK version 3.12.1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locale: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LC_COLLATE=Chinese (Simplified)_China.utf8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[2] LC_CTYPE=Chinese (Simplified)_China.utf8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[3] LC_MONETARY=Chinese (Simplified)_China.utf8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[4] LC_NUMERIC=C                 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[5] LC_TIME=Chinese (Simplified)_China.utf8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time zone: Asia/Shanghai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tzcode source: internal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attached base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stats4    stats     graphics  grDevices utils     datasets  methods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[8] base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other attached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ggrepel_0.9.8               ggplot2_4.0.3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[3] DESeq2_1.52.0               SummarizedExperiment_1.42.0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[5] Biobase_2.72.0              MatrixGenerics_1.24.0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matrixStats_1.5.0           GenomicRanges_1.64.0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[9] Seqinfo_1.2.0               IRanges_2.46.0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[11] S4Vectors_0.50.2            BiocGenerics_0.58.1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generics_0.1.4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loaded via a namespace (and not attached):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SparseArray_1.12.2  lattice_0.22-9      magrittr_2.0.5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[4] grid_4.6.1          RColorBrewer_1.1-3  mvtnorm_1.4-2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plyr_1.8.9          Matrix_1.7-5        scales_1.4.0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[10] numDeriv_2016.8-1.1 codetools_0.2-20    textshaping_1.0.5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abind_1.4-8         emdbook_1.3.14      cli_3.6.6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[16] rlang_1.3.0         bbmle_1.0.26        XVector_0.52.0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[19] withr_3.0.3         DelayedArray_0.38.2 S4Arrays_1.12.0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[22] tools_4.6.1         parallel_4.6.1      BiocParallel_1.46.0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[25] coda_0.19-4.1       bdsmatrix_1.3-7     dplyr_1.2.1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[28] locfit_1.5-9.12     vctrs_0.7.3         R6_2.6.1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[31] lifecycle_1.0.5     MASS_7.3-65         ragg_1.5.2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[34] pkgconfig_2.0.3     pillar_1.11.1       gtable_0.3.6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[37] glue_1.8.1          Rcpp_1.1.2          systemfonts_1.3.2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[40] tibble_3.3.1        tidyselect_1.2.1    farver_2.1.2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[43] labeling_0.4.3      apeglm_1.34.0       compiler_4.6.1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[46] S7_0.2.2           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E — 完整析因设计分析（超出平台能力的扩展）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作业要求对所选数据集做 complete analysis。平台上实际只跑了 T4400 vs DMSO 一个两两对比，而该数据集本身是 3 种处理（DMSO / T4400 / T3976）× 2 种超声条件（有 / 无 LIPUS）的完整析因设计，每组 4 个生物学重复，共 24 个样本。本附录把设计跑全，并加上平台界面未提供的交互项检验。</w:t>
      </w:r>
    </w:p>
    <w:p>
      <w:pPr>
        <w:spacing w:after="120"/>
      </w:pPr>
      <w:r>
        <w:rPr>
          <w:b w:val="0"/>
          <w:i/>
          <w:color w:val="1A1A1A"/>
          <w:sz w:val="21"/>
          <w:rFonts w:eastAsia="Microsoft YaHei"/>
        </w:rPr>
        <w:t>脚本：hw2_full_factorial.R；结果目录：hw2_rebuild/full_factorial/。与前述重建一致，沿用平台保留的 14,245 个基因，输入为原始整数计数。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E.1  五个成对对比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1292"/>
        <w:gridCol w:w="1292"/>
        <w:gridCol w:w="1292"/>
        <w:gridCol w:w="1292"/>
        <w:gridCol w:w="1292"/>
        <w:gridCol w:w="1292"/>
      </w:tblGrid>
      <w:tr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对比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回答什么问题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样本数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上调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下调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合计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T4400_vs_DMSO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药物 T4400 的效应（无超声）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116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12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128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T3976_vs_DMSO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药物 T3976 的效应（无超声）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DMSOLIPUS_vs_DMSO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超声单独的效应（无药）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T4400LIPUS_vs_T4400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超声叠加在 T4400 之上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T3976LIPUS_vs_T3976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超声叠加在 T3976 之上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</w:tr>
    </w:tbl>
    <w:p/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E.2  交互项：超声是否改变了药物的效应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模型 ~ Drug * LIPUS，全部 24 样本，模型矩阵满秩 6/6。resultsNames 为 Intercept | Drug_T4400_vs_DMSO | Drug_T3976_vs_DMSO | LIPUS_yes_vs_no | DrugT4400.LIPUSyes | DrugT3976.LIPUSyes。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3876"/>
        <w:gridCol w:w="3876"/>
      </w:tblGrid>
      <w:tr>
        <w:tc>
          <w:tcPr>
            <w:tcW w:type="dxa" w:w="3876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交互项</w:t>
            </w:r>
          </w:p>
        </w:tc>
        <w:tc>
          <w:tcPr>
            <w:tcW w:type="dxa" w:w="3876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padj &lt; 0.05 的基因数</w:t>
            </w:r>
          </w:p>
        </w:tc>
      </w:tr>
      <w:tr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DrugT4400.LIPUSyes</w:t>
            </w:r>
          </w:p>
        </w:tc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DrugT3976.LIPUSyes</w:t>
            </w:r>
          </w:p>
        </w:tc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st_summar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  <w:rFonts w:eastAsia="Microsoft YaHei"/>
        </w:rPr>
        <w:t>图 E-1  五个成对对比的显著基因数（padj&lt;0.05 且 |log2FC|&gt;=1）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E.3  这些数字能说明什么、不能说明什么</w:t>
      </w:r>
    </w:p>
    <w:p>
      <w:pPr>
        <w:spacing w:after="120"/>
      </w:pPr>
      <w:r>
        <w:rPr>
          <w:b w:val="0"/>
          <w:i w:val="0"/>
          <w:color w:val="B4341F"/>
          <w:sz w:val="21"/>
          <w:rFonts w:eastAsia="Microsoft YaHei"/>
        </w:rPr>
        <w:t>必须先说清一点：显著基因数为 0 并不等于「没有效应」，它的准确含义是「在每组 4 个生物学重复、padj&lt;0.05 且 |log2FC|&gt;=1 的判据下，未检出可检测的差异」。这是一个关于统计功效的陈述，不是关于生物学的结论。n=4 时能检出的最小效应量有限，真实存在的小幅变化完全可能落在检出线以下。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在此前提下，本数据集呈现的模式是：三个处理中只有 T4400 产生了明显的转录组响应（128 个基因，且高度偏向上调）；T3976 几乎没有（1 个基因）；超声无论单独施加还是叠加在任一药物之上，均未检出显著基因；两个交互项在 padj&lt;0.05 下亦无显著基因，即没有证据表明超声改变了药物的效应。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本次通过超声对比，结果是在现在的样本量和阈值下没有检测出差异，但是 T4400 检出了 128 个说明检测方法没有问题，所以最后的结论是超声的效应明显小于药物的效应，小到落在这个设计的检出线以下。这一问我原先写的是本次对比无法回答，现在已经可以回答了。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E.4  局限</w:t>
      </w:r>
    </w:p>
    <w:p>
      <w:pPr>
        <w:spacing w:after="80"/>
        <w:ind w:left="360"/>
      </w:pPr>
      <w:r>
        <w:rPr>
          <w:sz w:val="20"/>
          <w:rFonts w:eastAsia="Microsoft YaHei"/>
        </w:rPr>
        <w:t>· 每组 4 个生物学重复，统计功效有限；零结果的解释力弱于阳性结果。</w:t>
      </w:r>
    </w:p>
    <w:p>
      <w:pPr>
        <w:spacing w:after="80"/>
        <w:ind w:left="360"/>
      </w:pPr>
      <w:r>
        <w:rPr>
          <w:sz w:val="20"/>
          <w:rFonts w:eastAsia="Microsoft YaHei"/>
        </w:rPr>
        <w:t>· 成对对比各自单独建模，离散度未跨条件共享；与交互模型的估计基础不同，两者数字不应直接相减比较。</w:t>
      </w:r>
    </w:p>
    <w:p>
      <w:pPr>
        <w:spacing w:after="80"/>
        <w:ind w:left="360"/>
      </w:pPr>
      <w:r>
        <w:rPr>
          <w:sz w:val="20"/>
          <w:rFonts w:eastAsia="Microsoft YaHei"/>
        </w:rPr>
        <w:t>· apeglm 收缩在 2 个基因上报告 line search 未收敛（见运行日志），涉及基因极少，不影响上述计数。</w:t>
      </w:r>
    </w:p>
    <w:p>
      <w:pPr>
        <w:spacing w:after="80"/>
        <w:ind w:left="360"/>
      </w:pPr>
      <w:r>
        <w:rPr>
          <w:sz w:val="20"/>
          <w:rFonts w:eastAsia="Microsoft YaHei"/>
        </w:rPr>
        <w:t>· T4400 与 T3976 为未公开化合物代号，本附录只描述转录组层面的观察，不推断其身份或作用机制。</w:t>
      </w:r>
    </w:p>
    <w:sectPr w:rsidR="00BD1819" w:rsidRPr="00BD1819" w:rsidSect="00BD1819">
      <w:pgSz w:w="11906" w:h="16838"/>
      <w:pgMar w:top="1440" w:right="2077" w:bottom="1440" w:left="207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E5F"/>
    <w:rsid w:val="00030E5F"/>
    <w:rsid w:val="0026661C"/>
    <w:rsid w:val="00510F14"/>
    <w:rsid w:val="00BD1819"/>
    <w:rsid w:val="00C41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4E314"/>
  <w15:chartTrackingRefBased/>
  <w15:docId w15:val="{5CD4E52C-70E7-4A06-B094-EA4EF44F7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4F255C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4F255C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844</Words>
  <Characters>4816</Characters>
  <Application>Microsoft Office Word</Application>
  <DocSecurity>0</DocSecurity>
  <Lines>40</Lines>
  <Paragraphs>11</Paragraphs>
  <ScaleCrop>false</ScaleCrop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曾梓轩 zzx</dc:creator>
  <cp:keywords/>
  <dc:description/>
  <cp:lastModifiedBy>曾梓轩 zzx</cp:lastModifiedBy>
  <cp:revision>2</cp:revision>
  <dcterms:created xsi:type="dcterms:W3CDTF">2026-09-23T06:26:00Z</dcterms:created>
  <dcterms:modified xsi:type="dcterms:W3CDTF">2026-09-23T06:26:00Z</dcterms:modified>
</cp:coreProperties>
</file>