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0993B">
      <w:r>
        <w:rPr>
          <w:rFonts w:hint="eastAsia"/>
          <w:lang w:eastAsia="zh-CN"/>
        </w:rPr>
        <w:t>习概</w:t>
      </w:r>
      <w:r>
        <w:rPr>
          <w:rFonts w:hint="default"/>
          <w:lang w:val="en-US" w:eastAsia="zh-CN"/>
        </w:rPr>
        <w:t>21</w:t>
      </w:r>
      <w:r>
        <w:rPr>
          <w:rFonts w:hint="eastAsia"/>
          <w:lang w:val="en-US" w:eastAsia="zh-CN"/>
        </w:rPr>
        <w:t xml:space="preserve">级回忆版 </w:t>
      </w:r>
      <w:r>
        <w:rPr>
          <w:rFonts w:hint="default"/>
          <w:lang w:val="en-US" w:eastAsia="zh-CN"/>
        </w:rPr>
        <w:t>A</w:t>
      </w:r>
      <w:r>
        <w:rPr>
          <w:rFonts w:hint="eastAsia"/>
          <w:lang w:val="en-US" w:eastAsia="zh-CN"/>
        </w:rPr>
        <w:t>卷</w:t>
      </w:r>
    </w:p>
    <w:p w14:paraId="17D35178"/>
    <w:p w14:paraId="7D48108E">
      <w:r>
        <w:rPr>
          <w:rFonts w:hint="eastAsia"/>
          <w:lang w:eastAsia="zh-CN"/>
        </w:rPr>
        <w:t>一、材料分析题</w:t>
      </w:r>
    </w:p>
    <w:p w14:paraId="0F2F6248"/>
    <w:p w14:paraId="0771A8A0">
      <w:r>
        <w:rPr>
          <w:lang w:val="en-US"/>
        </w:rPr>
        <w:t>1.</w:t>
      </w:r>
      <w:r>
        <w:rPr>
          <w:rFonts w:hint="eastAsia"/>
          <w:lang w:val="en-US" w:eastAsia="zh-CN"/>
        </w:rPr>
        <w:t>什么是中国梦</w:t>
      </w:r>
    </w:p>
    <w:p w14:paraId="44728B87">
      <w:r>
        <w:rPr>
          <w:rFonts w:hint="default"/>
          <w:lang w:val="en-US" w:eastAsia="zh-CN"/>
        </w:rPr>
        <w:t>2.</w:t>
      </w:r>
      <w:r>
        <w:rPr>
          <w:rFonts w:hint="eastAsia"/>
          <w:lang w:val="en-US" w:eastAsia="zh-CN"/>
        </w:rPr>
        <w:t>结合材料，分析中国梦和个人梦之间的联系</w:t>
      </w:r>
    </w:p>
    <w:p w14:paraId="39DB11BA"/>
    <w:p w14:paraId="58E877B1">
      <w:r>
        <w:rPr>
          <w:rFonts w:hint="eastAsia"/>
          <w:lang w:eastAsia="zh-CN"/>
        </w:rPr>
        <w:t>二、材料分析题</w:t>
      </w:r>
    </w:p>
    <w:p w14:paraId="6E223306"/>
    <w:p w14:paraId="6DC9FBB0">
      <w:r>
        <w:rPr>
          <w:rFonts w:hint="default"/>
          <w:lang w:val="en-US" w:eastAsia="zh-CN"/>
        </w:rPr>
        <w:t>1.</w:t>
      </w:r>
      <w:r>
        <w:rPr>
          <w:rFonts w:hint="eastAsia"/>
          <w:lang w:val="en-US" w:eastAsia="zh-CN"/>
        </w:rPr>
        <w:t>全面建设社会主义现代化国家的特征</w:t>
      </w:r>
    </w:p>
    <w:p w14:paraId="72DAC290">
      <w:r>
        <w:rPr>
          <w:rFonts w:hint="default"/>
          <w:lang w:val="en-US" w:eastAsia="zh-CN"/>
        </w:rPr>
        <w:t>2.</w:t>
      </w:r>
      <w:r>
        <w:rPr>
          <w:rFonts w:hint="eastAsia"/>
          <w:lang w:val="en-US" w:eastAsia="zh-CN"/>
        </w:rPr>
        <w:t>全面深化改革的总目标、方向、立场、原则</w:t>
      </w:r>
    </w:p>
    <w:p w14:paraId="2BB83CA9">
      <w:pPr>
        <w:rPr>
          <w:rFonts w:hint="eastAsia"/>
          <w:lang w:val="en-US" w:eastAsia="zh-CN"/>
        </w:rPr>
      </w:pPr>
      <w:r>
        <w:rPr>
          <w:rFonts w:hint="default"/>
          <w:lang w:val="en-US" w:eastAsia="zh-CN"/>
        </w:rPr>
        <w:t>3.</w:t>
      </w:r>
      <w:r>
        <w:rPr>
          <w:rFonts w:hint="eastAsia"/>
          <w:lang w:val="en-US" w:eastAsia="zh-CN"/>
        </w:rPr>
        <w:t>结合材料，分析全面建设社会主义现代化国家和全面深化改革之间的联系</w:t>
      </w:r>
    </w:p>
    <w:p w14:paraId="4A64884F">
      <w:pPr>
        <w:rPr>
          <w:rFonts w:hint="eastAsia"/>
          <w:lang w:val="en-US" w:eastAsia="zh-CN"/>
        </w:rPr>
      </w:pPr>
    </w:p>
    <w:p w14:paraId="5315C1A5">
      <w:pPr>
        <w:rPr>
          <w:rFonts w:hint="eastAsia"/>
          <w:lang w:val="en-US" w:eastAsia="zh-CN"/>
        </w:rPr>
      </w:pPr>
    </w:p>
    <w:p w14:paraId="213F5D82">
      <w:pPr>
        <w:rPr>
          <w:rFonts w:hint="eastAsia" w:ascii="Calibri" w:hAnsi="Calibri" w:eastAsia="宋体" w:cs="Arial"/>
          <w:kern w:val="2"/>
          <w:sz w:val="21"/>
          <w:szCs w:val="22"/>
          <w:lang w:val="en-US" w:eastAsia="zh-CN" w:bidi="ar-SA"/>
        </w:rPr>
      </w:pPr>
      <w:r>
        <w:rPr>
          <w:rFonts w:hint="eastAsia"/>
          <w:lang w:val="en-US" w:eastAsia="zh-CN"/>
        </w:rPr>
        <w:t>25习概</w:t>
      </w:r>
      <w:r>
        <w:rPr>
          <w:rFonts w:hint="eastAsia"/>
          <w:lang w:val="en-US" w:eastAsia="zh-CN"/>
        </w:rPr>
        <w:br w:type="textWrapping"/>
      </w:r>
      <w:r>
        <w:rPr>
          <w:rFonts w:hint="eastAsia" w:ascii="Calibri" w:hAnsi="Calibri" w:eastAsia="宋体" w:cs="Arial"/>
          <w:kern w:val="2"/>
          <w:sz w:val="21"/>
          <w:szCs w:val="22"/>
          <w:lang w:val="en-US" w:eastAsia="zh-CN" w:bidi="ar-SA"/>
        </w:rPr>
        <w:t>一、</w:t>
      </w:r>
    </w:p>
    <w:p w14:paraId="464F78C8">
      <w:pPr>
        <w:numPr>
          <w:ilvl w:val="0"/>
          <w:numId w:val="1"/>
        </w:numPr>
        <w:rPr>
          <w:rFonts w:hint="eastAsia" w:ascii="Calibri" w:hAnsi="Calibri" w:eastAsia="宋体" w:cs="Arial"/>
          <w:kern w:val="2"/>
          <w:sz w:val="21"/>
          <w:szCs w:val="22"/>
          <w:lang w:val="en-US" w:eastAsia="zh-CN" w:bidi="ar-SA"/>
        </w:rPr>
      </w:pPr>
      <w:r>
        <w:rPr>
          <w:rFonts w:hint="eastAsia" w:ascii="Calibri" w:hAnsi="Calibri" w:eastAsia="宋体" w:cs="Arial"/>
          <w:kern w:val="2"/>
          <w:sz w:val="21"/>
          <w:szCs w:val="22"/>
          <w:lang w:val="en-US" w:eastAsia="zh-CN" w:bidi="ar-SA"/>
        </w:rPr>
        <w:t xml:space="preserve">保障和改善民生的重要性 </w:t>
      </w:r>
    </w:p>
    <w:p w14:paraId="6D0BBAC4">
      <w:pPr>
        <w:numPr>
          <w:ilvl w:val="0"/>
          <w:numId w:val="1"/>
        </w:numPr>
        <w:rPr>
          <w:rFonts w:hint="default"/>
          <w:lang w:val="en-US" w:eastAsia="zh-CN"/>
        </w:rPr>
      </w:pPr>
      <w:r>
        <w:rPr>
          <w:rFonts w:hint="eastAsia" w:ascii="Calibri" w:hAnsi="Calibri" w:eastAsia="宋体" w:cs="Arial"/>
          <w:kern w:val="2"/>
          <w:sz w:val="21"/>
          <w:szCs w:val="22"/>
          <w:lang w:val="en-US" w:eastAsia="zh-CN" w:bidi="ar-SA"/>
        </w:rPr>
        <w:t xml:space="preserve">结合材料，保障和改善民生有哪些重要着力点 </w:t>
      </w:r>
    </w:p>
    <w:p w14:paraId="2DE6E695">
      <w:pPr>
        <w:numPr>
          <w:numId w:val="0"/>
        </w:numPr>
        <w:rPr>
          <w:rFonts w:hint="default"/>
          <w:lang w:val="en-US" w:eastAsia="zh-CN"/>
        </w:rPr>
      </w:pPr>
    </w:p>
    <w:p w14:paraId="762820CE">
      <w:pPr>
        <w:numPr>
          <w:numId w:val="0"/>
        </w:numPr>
        <w:rPr>
          <w:rFonts w:hint="default"/>
          <w:lang w:val="en-US" w:eastAsia="zh-CN"/>
        </w:rPr>
      </w:pPr>
    </w:p>
    <w:p w14:paraId="2A029C50">
      <w:pPr>
        <w:numPr>
          <w:numId w:val="0"/>
        </w:numPr>
        <w:rPr>
          <w:rFonts w:hint="eastAsia" w:ascii="Calibri" w:hAnsi="Calibri" w:eastAsia="宋体" w:cs="Arial"/>
          <w:kern w:val="2"/>
          <w:sz w:val="21"/>
          <w:szCs w:val="22"/>
          <w:lang w:val="en-US" w:eastAsia="zh-CN" w:bidi="ar-SA"/>
        </w:rPr>
      </w:pPr>
      <w:r>
        <w:rPr>
          <w:rFonts w:hint="eastAsia" w:ascii="Calibri" w:hAnsi="Calibri" w:eastAsia="宋体" w:cs="Arial"/>
          <w:kern w:val="2"/>
          <w:sz w:val="21"/>
          <w:szCs w:val="22"/>
          <w:lang w:val="en-US" w:eastAsia="zh-CN" w:bidi="ar-SA"/>
        </w:rPr>
        <w:t>二、</w:t>
      </w:r>
    </w:p>
    <w:p w14:paraId="70B7BE07">
      <w:pPr>
        <w:numPr>
          <w:ilvl w:val="0"/>
          <w:numId w:val="2"/>
        </w:numPr>
        <w:rPr>
          <w:rFonts w:hint="eastAsia" w:ascii="Calibri" w:hAnsi="Calibri" w:eastAsia="宋体" w:cs="Arial"/>
          <w:kern w:val="2"/>
          <w:sz w:val="21"/>
          <w:szCs w:val="22"/>
          <w:lang w:val="en-US" w:eastAsia="zh-CN" w:bidi="ar-SA"/>
        </w:rPr>
      </w:pPr>
      <w:r>
        <w:rPr>
          <w:rFonts w:hint="eastAsia" w:ascii="Calibri" w:hAnsi="Calibri" w:eastAsia="宋体" w:cs="Arial"/>
          <w:kern w:val="2"/>
          <w:sz w:val="21"/>
          <w:szCs w:val="22"/>
          <w:lang w:val="en-US" w:eastAsia="zh-CN" w:bidi="ar-SA"/>
        </w:rPr>
        <w:t xml:space="preserve">国家治理体系和治理能力是什么 </w:t>
      </w:r>
    </w:p>
    <w:p w14:paraId="001CA3E5">
      <w:pPr>
        <w:numPr>
          <w:numId w:val="0"/>
        </w:numPr>
        <w:rPr>
          <w:rFonts w:hint="default"/>
          <w:lang w:val="en-US" w:eastAsia="zh-CN"/>
        </w:rPr>
      </w:pPr>
      <w:r>
        <w:rPr>
          <w:rFonts w:hint="eastAsia" w:ascii="Calibri" w:hAnsi="Calibri" w:eastAsia="宋体" w:cs="Arial"/>
          <w:kern w:val="2"/>
          <w:sz w:val="21"/>
          <w:szCs w:val="22"/>
          <w:lang w:val="en-US" w:eastAsia="zh-CN" w:bidi="ar-SA"/>
        </w:rPr>
        <w:t xml:space="preserve">2. 试论国家治理体系和治理能力现代化和中国特色社会主义制度的关系 </w:t>
      </w:r>
    </w:p>
    <w:p w14:paraId="14910504">
      <w:pPr>
        <w:numPr>
          <w:numId w:val="0"/>
        </w:numPr>
        <w:rPr>
          <w:rFonts w:hint="eastAsia" w:ascii="Calibri" w:hAnsi="Calibri" w:eastAsia="宋体" w:cs="Arial"/>
          <w:kern w:val="2"/>
          <w:sz w:val="21"/>
          <w:szCs w:val="22"/>
          <w:lang w:val="en-US" w:eastAsia="zh-CN" w:bidi="ar-SA"/>
        </w:rPr>
      </w:pPr>
      <w:r>
        <w:rPr>
          <w:rFonts w:hint="eastAsia" w:ascii="Calibri" w:hAnsi="Calibri" w:eastAsia="宋体" w:cs="Arial"/>
          <w:kern w:val="2"/>
          <w:sz w:val="21"/>
          <w:szCs w:val="22"/>
          <w:lang w:val="en-US" w:eastAsia="zh-CN" w:bidi="ar-SA"/>
        </w:rPr>
        <w:t>3. 结合材料，全面深化改革开放要坚持哪些方法论</w:t>
      </w:r>
    </w:p>
    <w:p w14:paraId="43C6D9DE">
      <w:pPr>
        <w:numPr>
          <w:numId w:val="0"/>
        </w:numPr>
        <w:rPr>
          <w:rFonts w:hint="eastAsia" w:ascii="Calibri" w:hAnsi="Calibri" w:eastAsia="宋体" w:cs="Arial"/>
          <w:kern w:val="2"/>
          <w:sz w:val="21"/>
          <w:szCs w:val="22"/>
          <w:lang w:val="en-US" w:eastAsia="zh-CN" w:bidi="ar-SA"/>
        </w:rPr>
      </w:pPr>
    </w:p>
    <w:p w14:paraId="22FBC08A">
      <w:pPr>
        <w:numPr>
          <w:numId w:val="0"/>
        </w:numPr>
        <w:rPr>
          <w:rFonts w:hint="eastAsia" w:ascii="Calibri" w:hAnsi="Calibri" w:eastAsia="宋体" w:cs="Arial"/>
          <w:kern w:val="2"/>
          <w:sz w:val="21"/>
          <w:szCs w:val="22"/>
          <w:lang w:val="en-US" w:eastAsia="zh-CN" w:bidi="ar-SA"/>
        </w:rPr>
      </w:pPr>
    </w:p>
    <w:p w14:paraId="40EEBE6E">
      <w:pPr>
        <w:numPr>
          <w:numId w:val="0"/>
        </w:numPr>
        <w:rPr>
          <w:rFonts w:hint="eastAsia" w:ascii="Calibri" w:hAnsi="Calibri" w:eastAsia="宋体" w:cs="Arial"/>
          <w:kern w:val="2"/>
          <w:sz w:val="21"/>
          <w:szCs w:val="22"/>
          <w:lang w:val="en-US" w:eastAsia="zh-CN" w:bidi="ar-SA"/>
        </w:rPr>
      </w:pPr>
    </w:p>
    <w:p w14:paraId="269C7F72">
      <w:pPr>
        <w:numPr>
          <w:numId w:val="0"/>
        </w:numPr>
        <w:rPr>
          <w:rFonts w:hint="eastAsia" w:ascii="Calibri" w:hAnsi="Calibri" w:eastAsia="宋体" w:cs="Arial"/>
          <w:kern w:val="2"/>
          <w:sz w:val="21"/>
          <w:szCs w:val="22"/>
          <w:lang w:val="en-US" w:eastAsia="zh-CN" w:bidi="ar-SA"/>
        </w:rPr>
      </w:pPr>
    </w:p>
    <w:p w14:paraId="5A5A9970">
      <w:pPr>
        <w:numPr>
          <w:numId w:val="0"/>
        </w:numPr>
        <w:rPr>
          <w:rFonts w:hint="eastAsia" w:ascii="Calibri" w:hAnsi="Calibri" w:eastAsia="宋体" w:cs="Arial"/>
          <w:kern w:val="2"/>
          <w:sz w:val="21"/>
          <w:szCs w:val="22"/>
          <w:lang w:val="en-US" w:eastAsia="zh-CN" w:bidi="ar-SA"/>
        </w:rPr>
      </w:pPr>
    </w:p>
    <w:p w14:paraId="2E48B3C5">
      <w:pPr>
        <w:numPr>
          <w:numId w:val="0"/>
        </w:numPr>
        <w:rPr>
          <w:rFonts w:hint="eastAsia" w:ascii="Calibri" w:hAnsi="Calibri" w:eastAsia="宋体" w:cs="Arial"/>
          <w:kern w:val="2"/>
          <w:sz w:val="21"/>
          <w:szCs w:val="22"/>
          <w:lang w:val="en-US" w:eastAsia="zh-CN" w:bidi="ar-SA"/>
        </w:rPr>
      </w:pPr>
    </w:p>
    <w:p w14:paraId="239E194A">
      <w:pPr>
        <w:numPr>
          <w:numId w:val="0"/>
        </w:numPr>
        <w:rPr>
          <w:rFonts w:hint="eastAsia" w:ascii="Calibri" w:hAnsi="Calibri" w:eastAsia="宋体" w:cs="Arial"/>
          <w:kern w:val="2"/>
          <w:sz w:val="21"/>
          <w:szCs w:val="22"/>
          <w:lang w:val="en-US" w:eastAsia="zh-CN" w:bidi="ar-SA"/>
        </w:rPr>
      </w:pPr>
    </w:p>
    <w:p w14:paraId="27348FDB">
      <w:pPr>
        <w:numPr>
          <w:numId w:val="0"/>
        </w:numPr>
        <w:rPr>
          <w:rFonts w:hint="eastAsia" w:ascii="Calibri" w:hAnsi="Calibri" w:eastAsia="宋体" w:cs="Arial"/>
          <w:kern w:val="2"/>
          <w:sz w:val="21"/>
          <w:szCs w:val="22"/>
          <w:lang w:val="en-US" w:eastAsia="zh-CN" w:bidi="ar-SA"/>
        </w:rPr>
      </w:pPr>
    </w:p>
    <w:p w14:paraId="49F5DB4C">
      <w:pPr>
        <w:numPr>
          <w:numId w:val="0"/>
        </w:numPr>
        <w:rPr>
          <w:rFonts w:hint="eastAsia" w:ascii="Calibri" w:hAnsi="Calibri" w:eastAsia="宋体" w:cs="Arial"/>
          <w:kern w:val="2"/>
          <w:sz w:val="21"/>
          <w:szCs w:val="22"/>
          <w:lang w:val="en-US" w:eastAsia="zh-CN" w:bidi="ar-SA"/>
        </w:rPr>
      </w:pPr>
    </w:p>
    <w:p w14:paraId="6AE8F5EA">
      <w:pPr>
        <w:numPr>
          <w:numId w:val="0"/>
        </w:numPr>
        <w:rPr>
          <w:rFonts w:hint="eastAsia" w:ascii="Calibri" w:hAnsi="Calibri" w:eastAsia="宋体" w:cs="Arial"/>
          <w:kern w:val="2"/>
          <w:sz w:val="21"/>
          <w:szCs w:val="22"/>
          <w:lang w:val="en-US" w:eastAsia="zh-CN" w:bidi="ar-SA"/>
        </w:rPr>
      </w:pPr>
    </w:p>
    <w:p w14:paraId="297F2CE3">
      <w:pPr>
        <w:numPr>
          <w:numId w:val="0"/>
        </w:numPr>
        <w:rPr>
          <w:rFonts w:hint="eastAsia" w:ascii="Calibri" w:hAnsi="Calibri" w:eastAsia="宋体" w:cs="Arial"/>
          <w:kern w:val="2"/>
          <w:sz w:val="21"/>
          <w:szCs w:val="22"/>
          <w:lang w:val="en-US" w:eastAsia="zh-CN" w:bidi="ar-SA"/>
        </w:rPr>
      </w:pPr>
    </w:p>
    <w:p w14:paraId="1A6B216D">
      <w:pPr>
        <w:numPr>
          <w:numId w:val="0"/>
        </w:numPr>
        <w:rPr>
          <w:rFonts w:hint="eastAsia" w:ascii="Calibri" w:hAnsi="Calibri" w:eastAsia="宋体" w:cs="Arial"/>
          <w:kern w:val="2"/>
          <w:sz w:val="21"/>
          <w:szCs w:val="22"/>
          <w:lang w:val="en-US" w:eastAsia="zh-CN" w:bidi="ar-SA"/>
        </w:rPr>
      </w:pPr>
      <w:r>
        <w:rPr>
          <w:rFonts w:hint="eastAsia" w:ascii="Calibri" w:hAnsi="Calibri" w:eastAsia="宋体" w:cs="Arial"/>
          <w:kern w:val="2"/>
          <w:sz w:val="21"/>
          <w:szCs w:val="22"/>
          <w:lang w:val="en-US" w:eastAsia="zh-CN" w:bidi="ar-SA"/>
        </w:rPr>
        <w:t>（并非口胡，①系统整体协调②顶层设计+摸着石头过河③统筹改革发展安全④胆子要大步子要稳⑤重大改革于法有据）</w:t>
      </w:r>
    </w:p>
    <w:p w14:paraId="646EED10">
      <w:pPr>
        <w:numPr>
          <w:numId w:val="0"/>
        </w:numPr>
        <w:rPr>
          <w:rFonts w:hint="eastAsia" w:ascii="Calibri" w:hAnsi="Calibri" w:eastAsia="宋体" w:cs="Arial"/>
          <w:kern w:val="2"/>
          <w:sz w:val="21"/>
          <w:szCs w:val="22"/>
          <w:lang w:val="en-US" w:eastAsia="zh-CN" w:bidi="ar-SA"/>
        </w:rPr>
      </w:pPr>
    </w:p>
    <w:p w14:paraId="035F9C6E">
      <w:pPr>
        <w:numPr>
          <w:numId w:val="0"/>
        </w:numPr>
        <w:rPr>
          <w:rFonts w:hint="eastAsia" w:ascii="Calibri" w:hAnsi="Calibri" w:eastAsia="宋体" w:cs="Arial"/>
          <w:kern w:val="2"/>
          <w:sz w:val="21"/>
          <w:szCs w:val="22"/>
          <w:lang w:val="en-US" w:eastAsia="zh-CN" w:bidi="ar-SA"/>
        </w:rPr>
      </w:pPr>
    </w:p>
    <w:p w14:paraId="5836C37D">
      <w:pPr>
        <w:numPr>
          <w:numId w:val="0"/>
        </w:numPr>
        <w:rPr>
          <w:rFonts w:hint="eastAsia" w:ascii="Calibri" w:hAnsi="Calibri" w:eastAsia="宋体" w:cs="Arial"/>
          <w:kern w:val="2"/>
          <w:sz w:val="21"/>
          <w:szCs w:val="22"/>
          <w:lang w:val="en-US" w:eastAsia="zh-CN" w:bidi="ar-SA"/>
        </w:rPr>
      </w:pPr>
    </w:p>
    <w:p w14:paraId="4FCA3BB3">
      <w:pPr>
        <w:numPr>
          <w:numId w:val="0"/>
        </w:numPr>
        <w:rPr>
          <w:rFonts w:hint="eastAsia" w:ascii="Calibri" w:hAnsi="Calibri" w:eastAsia="宋体" w:cs="Arial"/>
          <w:kern w:val="2"/>
          <w:sz w:val="21"/>
          <w:szCs w:val="22"/>
          <w:lang w:val="en-US" w:eastAsia="zh-CN" w:bidi="ar-SA"/>
        </w:rPr>
      </w:pPr>
    </w:p>
    <w:p w14:paraId="7E9F4F66">
      <w:pPr>
        <w:numPr>
          <w:numId w:val="0"/>
        </w:numPr>
        <w:rPr>
          <w:rFonts w:hint="eastAsia" w:ascii="Calibri" w:hAnsi="Calibri" w:eastAsia="宋体" w:cs="Arial"/>
          <w:kern w:val="2"/>
          <w:sz w:val="21"/>
          <w:szCs w:val="22"/>
          <w:lang w:val="en-US" w:eastAsia="zh-CN" w:bidi="ar-SA"/>
        </w:rPr>
      </w:pPr>
    </w:p>
    <w:p w14:paraId="11DA2F2F">
      <w:pPr>
        <w:numPr>
          <w:numId w:val="0"/>
        </w:numPr>
        <w:rPr>
          <w:rFonts w:hint="eastAsia" w:ascii="Calibri" w:hAnsi="Calibri" w:eastAsia="宋体" w:cs="Arial"/>
          <w:kern w:val="2"/>
          <w:sz w:val="21"/>
          <w:szCs w:val="22"/>
          <w:lang w:val="en-US" w:eastAsia="zh-CN" w:bidi="ar-SA"/>
        </w:rPr>
      </w:pPr>
    </w:p>
    <w:p w14:paraId="30D2E2AA">
      <w:pPr>
        <w:numPr>
          <w:numId w:val="0"/>
        </w:numPr>
        <w:rPr>
          <w:rFonts w:hint="eastAsia" w:ascii="Calibri" w:hAnsi="Calibri" w:eastAsia="宋体" w:cs="Arial"/>
          <w:kern w:val="2"/>
          <w:sz w:val="21"/>
          <w:szCs w:val="22"/>
          <w:lang w:val="en-US" w:eastAsia="zh-CN" w:bidi="ar-SA"/>
        </w:rPr>
      </w:pPr>
    </w:p>
    <w:p w14:paraId="476EAFA7">
      <w:pPr>
        <w:numPr>
          <w:numId w:val="0"/>
        </w:numPr>
        <w:rPr>
          <w:rFonts w:hint="eastAsia" w:ascii="Calibri" w:hAnsi="Calibri" w:eastAsia="宋体" w:cs="Arial"/>
          <w:kern w:val="2"/>
          <w:sz w:val="21"/>
          <w:szCs w:val="22"/>
          <w:lang w:val="en-US" w:eastAsia="zh-CN" w:bidi="ar-SA"/>
        </w:rPr>
      </w:pPr>
    </w:p>
    <w:p w14:paraId="4437F596">
      <w:pPr>
        <w:widowControl w:val="0"/>
        <w:numPr>
          <w:numId w:val="0"/>
        </w:numPr>
        <w:ind w:left="0" w:leftChars="0" w:firstLine="0" w:firstLineChars="0"/>
        <w:jc w:val="both"/>
        <w:rPr>
          <w:rFonts w:hint="eastAsia" w:ascii="Calibri" w:hAnsi="Calibri" w:eastAsia="宋体" w:cs="Arial"/>
          <w:kern w:val="2"/>
          <w:sz w:val="21"/>
          <w:szCs w:val="22"/>
          <w:lang w:val="en-US" w:eastAsia="zh-CN" w:bidi="ar-SA"/>
        </w:rPr>
      </w:pPr>
      <w:r>
        <w:rPr>
          <w:rFonts w:hint="default" w:ascii="Calibri" w:hAnsi="Calibri" w:eastAsia="宋体" w:cs="Arial"/>
          <w:kern w:val="2"/>
          <w:sz w:val="21"/>
          <w:szCs w:val="22"/>
          <w:lang w:val="en-US" w:eastAsia="zh-CN" w:bidi="ar-SA"/>
        </w:rPr>
        <w:t>①坚持中国共产党的领导+党的领导是……的根本特征/根本保证+确保党在……建设中总揽全局，协调各方 ②坚持以人民为中心+聚焦民生福祉(以保障和改善民生为重点)+尊重人民主体地位(通过发展全过程人民民主) ③全面依法治国+健全法治体系+科学立法+严格执法+公正司法+全民守法 ④推动高质量发展 + 立足新发展阶段（准确把握我国社会主要矛盾变化，锚定全面建设社会主义现代化国家目标） + 贯彻新发展理念（坚持创新、协调、绿色、开放、共享，破解发展难题、增强发展动力） + 构建新发展格局（以国内大循环为主体、国内国际双循环相互促进，畅通经济循环体系）+两个毫不动摇(巩固和发展，鼓励支持引导) ⑤ 推进文化自信自强 + 大力弘扬中华优秀传统文化(加强非遗保护传承，创新传统文化的现代表达形式，推动文化创造性转化和创新性发展) + 积极践行社会主义核心价值观(以文化引领社会风尚，增强民族凝聚力和认同感，为民族复兴提供强大的精神动力) 。 ⑥强化教育科技人才支撑+教育科技人才是全面建设社会主义现代化国家基础性、战略性的支撑+科教兴国战略+人才强国战略+创新驱动战略+打赢关键核心技术攻坚战+增强自主创新能力 ⑦加强生态文明建设 + 践行“两山”理念（推动绿色低碳发展，实现碳达峰碳中和）+ 完善生态治理体系（严格环保执法，落实生态补偿制度） ⑧全面深化改革开放+完善和发展中国特色社会主义制度+推进国家治理体系和治理能力现代化+坚定不移的将改革开放进行到底</w:t>
      </w:r>
    </w:p>
    <w:p w14:paraId="5102F680">
      <w:pPr>
        <w:widowControl w:val="0"/>
        <w:numPr>
          <w:numId w:val="0"/>
        </w:numPr>
        <w:ind w:left="0" w:leftChars="0" w:firstLine="0" w:firstLineChars="0"/>
        <w:jc w:val="both"/>
        <w:rPr>
          <w:rFonts w:hint="default" w:ascii="Calibri" w:hAnsi="Calibri" w:eastAsia="宋体" w:cs="Arial"/>
          <w:kern w:val="2"/>
          <w:sz w:val="21"/>
          <w:szCs w:val="22"/>
          <w:lang w:val="en-US" w:eastAsia="zh-CN" w:bidi="ar-SA"/>
        </w:rPr>
      </w:pPr>
    </w:p>
    <w:p w14:paraId="089934E8">
      <w:pPr>
        <w:widowControl w:val="0"/>
        <w:numPr>
          <w:numId w:val="0"/>
        </w:numPr>
        <w:ind w:left="0" w:leftChars="0" w:firstLine="0" w:firstLineChars="0"/>
        <w:jc w:val="both"/>
        <w:rPr>
          <w:rFonts w:hint="default" w:ascii="Calibri" w:hAnsi="Calibri" w:eastAsia="宋体" w:cs="Arial"/>
          <w:kern w:val="2"/>
          <w:sz w:val="21"/>
          <w:szCs w:val="22"/>
          <w:lang w:val="en-US" w:eastAsia="zh-CN" w:bidi="ar-SA"/>
        </w:rPr>
      </w:pPr>
      <w:r>
        <w:rPr>
          <w:rFonts w:hint="default" w:ascii="Calibri" w:hAnsi="Calibri" w:eastAsia="宋体" w:cs="Arial"/>
          <w:kern w:val="2"/>
          <w:sz w:val="21"/>
          <w:szCs w:val="22"/>
          <w:lang w:val="en-US" w:eastAsia="zh-CN" w:bidi="ar-SA"/>
        </w:rPr>
        <w:t>[洞主] ①XX与XX是辩证统一、相辅相成的关系，二者既相互区别，又相互依存、相互促进。XX不能以牺牲XX为代价，也不能将二者割裂对立，而应寻求协同共生的平衡点。 ②XX是XX的基础/前提/动力，为XX提供XX支撑；XX是XX的目标/保障/延伸，推动XX实现XX升级。只有将二者有机结合，才能实现XX的最大化价值。 ③处理好XX与XX的关系，关键在于XX（如理念、机制、技术等）。必须统筹兼顾、系统谋划，把握好XX与XX的动态平衡，通过XX手段（如制度创新、资源整合等），实现XX效益、XX效益、XX效益的多赢局面。 ④以XX为引领，以XX为抓手，构建XX与XX深度融合的长效机制，最终实现二者相互赋能、螺旋上升，为XX（如社会发展、行业进步）注入持久动力。</w:t>
      </w:r>
    </w:p>
    <w:p w14:paraId="59F3154A">
      <w:pPr>
        <w:widowControl w:val="0"/>
        <w:numPr>
          <w:numId w:val="0"/>
        </w:numPr>
        <w:ind w:left="0" w:leftChars="0" w:firstLine="0" w:firstLineChars="0"/>
        <w:jc w:val="both"/>
        <w:rPr>
          <w:rFonts w:hint="default" w:ascii="Calibri" w:hAnsi="Calibri" w:eastAsia="宋体" w:cs="Arial"/>
          <w:kern w:val="2"/>
          <w:sz w:val="21"/>
          <w:szCs w:val="22"/>
          <w:lang w:val="en-US" w:eastAsia="zh-CN" w:bidi="ar-SA"/>
        </w:rPr>
      </w:pPr>
    </w:p>
    <w:p w14:paraId="0DBF0D94">
      <w:pPr>
        <w:widowControl w:val="0"/>
        <w:numPr>
          <w:numId w:val="0"/>
        </w:numPr>
        <w:ind w:left="0" w:leftChars="0" w:firstLine="0" w:firstLineChars="0"/>
        <w:jc w:val="both"/>
        <w:rPr>
          <w:rFonts w:hint="default" w:ascii="Calibri" w:hAnsi="Calibri" w:eastAsia="宋体" w:cs="Arial"/>
          <w:kern w:val="2"/>
          <w:sz w:val="21"/>
          <w:szCs w:val="22"/>
          <w:lang w:val="en-US" w:eastAsia="zh-CN" w:bidi="ar-SA"/>
        </w:rPr>
      </w:pPr>
      <w:bookmarkStart w:id="0" w:name="_GoBack"/>
      <w:bookmarkEnd w:id="0"/>
      <w:r>
        <w:rPr>
          <w:rFonts w:hint="default" w:ascii="Calibri" w:hAnsi="Calibri" w:eastAsia="宋体" w:cs="Arial"/>
          <w:kern w:val="2"/>
          <w:sz w:val="21"/>
          <w:szCs w:val="22"/>
          <w:lang w:val="en-US" w:eastAsia="zh-CN" w:bidi="ar-SA"/>
        </w:rPr>
        <w:t>[洞主] ①理论基础 “根本要求”“必然选择”“战略支撑” 推进伟大事业，进行伟大斗争，实现伟大梦想 ②历史逻辑 党的自我革命是跳出历史周期律的第二个答案 ③现实逻辑 世界百年变局加速演进，国际竞争加剧、意识形态斗争复杂，要求党必须以全面从严治党提升执政能力，应对外部风险挑战。 把党锻造成为坚强有力的马克思主义执政党 ④总结 ……是应对百年变局的战略抉择，是党带领人民实现民族复兴的必由之路，必须以‘功成不必在我’的精神久久为功。 全面从严治党是党永葆生机活力、走好新的赶考之路的必由之路，是新时代党的建设的鲜明主题，是新时代党的自我革命的伟大实践，开辟了百年大党自我革命的新境界</w:t>
      </w:r>
    </w:p>
    <w:p w14:paraId="1DF1DB7D">
      <w:pPr>
        <w:numPr>
          <w:numId w:val="0"/>
        </w:numPr>
        <w:rPr>
          <w:rFonts w:hint="default" w:ascii="Calibri" w:hAnsi="Calibri" w:eastAsia="宋体" w:cs="Arial"/>
          <w:kern w:val="2"/>
          <w:sz w:val="21"/>
          <w:szCs w:val="2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3B662"/>
    <w:multiLevelType w:val="singleLevel"/>
    <w:tmpl w:val="97F3B662"/>
    <w:lvl w:ilvl="0" w:tentative="0">
      <w:start w:val="1"/>
      <w:numFmt w:val="decimal"/>
      <w:suff w:val="space"/>
      <w:lvlText w:val="%1."/>
      <w:lvlJc w:val="left"/>
    </w:lvl>
  </w:abstractNum>
  <w:abstractNum w:abstractNumId="1">
    <w:nsid w:val="F548AA9A"/>
    <w:multiLevelType w:val="singleLevel"/>
    <w:tmpl w:val="F548AA9A"/>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5766A13"/>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character" w:styleId="4">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120</Words>
  <Characters>126</Characters>
  <Paragraphs>12</Paragraphs>
  <TotalTime>33</TotalTime>
  <ScaleCrop>false</ScaleCrop>
  <LinksUpToDate>false</LinksUpToDate>
  <CharactersWithSpaces>127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2023-06-26T10:12:00Z</dcterms:created>
  <dc:creator>M2105K81AC</dc:creator>
  <cp:lastModifiedBy>企业用户_694389426</cp:lastModifiedBy>
  <dcterms:modified xsi:type="dcterms:W3CDTF">2026-06-20T08:01:22Z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6f54ad290a0a4c29a8ddd9c12ff39373</vt:lpwstr>
  </property>
  <property fmtid="{D5CDD505-2E9C-101B-9397-08002B2CF9AE}" pid="3" name="KSOTemplateDocerSaveRecord">
    <vt:lpwstr>eyJoZGlkIjoiMDE5Mjc2YjQ0ZTM5NzE3OWM2MTY2ODkyNDIzYmUwY2QiLCJ1c2VySWQiOiIxNzA1MjIwMzE5In0=</vt:lpwstr>
  </property>
  <property fmtid="{D5CDD505-2E9C-101B-9397-08002B2CF9AE}" pid="4" name="KSOProductBuildVer">
    <vt:lpwstr>2052-12.1.0.26895</vt:lpwstr>
  </property>
</Properties>
</file>