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7632E" w14:textId="126F7634" w:rsidR="00235856" w:rsidRPr="00235856" w:rsidRDefault="00235856" w:rsidP="00235856">
      <w:pPr>
        <w:pStyle w:val="ad"/>
        <w:jc w:val="center"/>
        <w:rPr>
          <w:rFonts w:asciiTheme="minorHAnsi" w:eastAsia="SimSun" w:hAnsiTheme="minorHAnsi" w:cstheme="minorBidi"/>
          <w:b/>
          <w:bCs/>
          <w:sz w:val="10"/>
          <w:szCs w:val="10"/>
        </w:rPr>
      </w:pPr>
      <w:r w:rsidRPr="00235856">
        <w:rPr>
          <w:b/>
          <w:bCs/>
          <w:sz w:val="32"/>
          <w:szCs w:val="32"/>
        </w:rPr>
        <w:t>Multimodal Learning for Visual Question Answering</w:t>
      </w:r>
    </w:p>
    <w:p w14:paraId="22696691" w14:textId="7022D35F" w:rsidR="00235856" w:rsidRPr="00235856" w:rsidRDefault="005B434B" w:rsidP="00235856">
      <w:pPr>
        <w:pStyle w:val="Head1"/>
        <w:tabs>
          <w:tab w:val="clear" w:pos="360"/>
        </w:tabs>
        <w:ind w:left="432" w:hanging="432"/>
      </w:pPr>
      <w:r>
        <w:t>Introduction</w:t>
      </w:r>
    </w:p>
    <w:p w14:paraId="1CA11953" w14:textId="77777777" w:rsidR="00FF4E9B" w:rsidRDefault="00FF4E9B" w:rsidP="00FF4E9B">
      <w:pPr>
        <w:pStyle w:val="ParaContinue"/>
        <w:ind w:firstLine="0"/>
      </w:pPr>
      <w:r>
        <w:t xml:space="preserve">Over the last decade, deep learning systems have enjoyed tremendous success </w:t>
      </w:r>
      <w:proofErr w:type="gramStart"/>
      <w:r>
        <w:t>in the area of</w:t>
      </w:r>
      <w:proofErr w:type="gramEnd"/>
      <w:r>
        <w:t xml:space="preserve"> computer vision and natural language processing (NLP). From image recognition, object detection, to machine translation, deep learning has completely changed the state of Artificial Intelligence (AI). However, in recent years, it has become apparent that there are several limitations in the current deep learning models [1, 2]. </w:t>
      </w:r>
      <w:proofErr w:type="gramStart"/>
      <w:r>
        <w:t>In particular, they</w:t>
      </w:r>
      <w:proofErr w:type="gramEnd"/>
      <w:r>
        <w:t xml:space="preserve"> struggle in tasks with a compositional and structured nature which require more deliberate thinking and multi-step reasoning [3, 4]. Many argued that current deep neural networks are just a large correlation engine, which only captures statistical patterns between input and output to make prediction rather than the true underlying reasoning processes. </w:t>
      </w:r>
    </w:p>
    <w:p w14:paraId="57459742" w14:textId="77777777" w:rsidR="00FF4E9B" w:rsidRDefault="00FF4E9B" w:rsidP="00FF4E9B">
      <w:pPr>
        <w:pStyle w:val="ParaContinue"/>
        <w:ind w:firstLine="0"/>
      </w:pPr>
      <w:r>
        <w:t xml:space="preserve">To improve the capabilities of the current deep learning systems, many datasets and benchmarks have been developed. One such task which has become very popular is Visual Question Answering (VQA). It is one of the main testbeds for pushing state of the art in vision and language research. Specifically, VQA is the task of answering question about an image. It </w:t>
      </w:r>
      <w:proofErr w:type="gramStart"/>
      <w:r>
        <w:t>is considered to be</w:t>
      </w:r>
      <w:proofErr w:type="gramEnd"/>
      <w:r>
        <w:t xml:space="preserve"> an “AI-complete” task, as it demands fine-grained understanding of images as well as the ability to understand questions and provide answers in natural language. The task requires a rich set of abilities, such as object recognition, activity recognition, commonsense </w:t>
      </w:r>
      <w:proofErr w:type="gramStart"/>
      <w:r>
        <w:t>understanding</w:t>
      </w:r>
      <w:proofErr w:type="gramEnd"/>
      <w:r>
        <w:t xml:space="preserve"> and relation extraction, spanning both the visual and linguistic domains. </w:t>
      </w:r>
    </w:p>
    <w:p w14:paraId="3B0BCCAB" w14:textId="2D11C323" w:rsidR="00FF4E9B" w:rsidRDefault="00FF4E9B" w:rsidP="00FF4E9B">
      <w:pPr>
        <w:pStyle w:val="ParaContinue"/>
        <w:ind w:firstLine="0"/>
      </w:pPr>
      <w:r>
        <w:t xml:space="preserve">Another line of research which is closely related to VQA is Visual Reasoning. Visual reasoning can be considered a sub-task of VQA, with a focus on evaluating the reasoning capabilities of deep learning models. Several datasets such as CLEVR [5] and GQA [6] have emerged to specifically test various reasoning skills, including spatial understanding and higher-level skills such as counting, performing logical </w:t>
      </w:r>
      <w:proofErr w:type="gramStart"/>
      <w:r>
        <w:t>inference</w:t>
      </w:r>
      <w:proofErr w:type="gramEnd"/>
      <w:r>
        <w:t xml:space="preserve"> and making comparisons. The questions in these datasets tend to be highly compositional and requires multi-step inferences. This is in contrast with the typical VQA datasets where questions can be quite straightforward and may contain real-world bias. </w:t>
      </w:r>
    </w:p>
    <w:p w14:paraId="1C92B33E" w14:textId="77652C34" w:rsidR="00FF4E9B" w:rsidRPr="00FF4E9B" w:rsidRDefault="00FF4E9B" w:rsidP="00FF4E9B">
      <w:pPr>
        <w:pStyle w:val="ParaContinue"/>
        <w:ind w:firstLine="0"/>
      </w:pPr>
    </w:p>
    <w:p w14:paraId="6E0D9FA5" w14:textId="70005924" w:rsidR="005B434B" w:rsidRDefault="00FF4E9B" w:rsidP="005B434B">
      <w:pPr>
        <w:pStyle w:val="Head1"/>
        <w:tabs>
          <w:tab w:val="clear" w:pos="360"/>
        </w:tabs>
        <w:ind w:left="432" w:hanging="432"/>
      </w:pPr>
      <w:r>
        <w:t>Problem</w:t>
      </w:r>
    </w:p>
    <w:p w14:paraId="611F22FC" w14:textId="3113BBF2" w:rsidR="00DC1BAE" w:rsidRDefault="00DC1BAE" w:rsidP="005B434B">
      <w:pPr>
        <w:pStyle w:val="PostHeadPara"/>
      </w:pPr>
      <w:r>
        <w:t xml:space="preserve">The aim of this project is to </w:t>
      </w:r>
      <w:r>
        <w:t>study</w:t>
      </w:r>
      <w:r>
        <w:t xml:space="preserve"> </w:t>
      </w:r>
      <w:r>
        <w:t xml:space="preserve">several </w:t>
      </w:r>
      <w:r>
        <w:t>VQA model</w:t>
      </w:r>
      <w:r>
        <w:t>s</w:t>
      </w:r>
      <w:r>
        <w:t xml:space="preserve"> </w:t>
      </w:r>
      <w:proofErr w:type="spellStart"/>
      <w:r>
        <w:t>utilising</w:t>
      </w:r>
      <w:proofErr w:type="spellEnd"/>
      <w:r>
        <w:t xml:space="preserve"> Transformer’s self-attention mechanism [7] and study how to adapt the Transformer architecture for a multimodal task</w:t>
      </w:r>
      <w:r w:rsidR="00524ACE">
        <w:t xml:space="preserve"> testing on new datasets</w:t>
      </w:r>
      <w:r>
        <w:t xml:space="preserve">, such as visual reasoning. This is inspired by the recent success of deep learning models based on Transformer architecture, such as BERT [8] and GPT [9]. These models have shown astonishing results in various NLP tasks, such as question answering, machine translation and text generation, and seem to be capable of reasoning to a certain extent. In addition, they have been shown to learn the underlying linguistic structures in natural language [10]. The hypothesis of using a Transformer architecture in a visual reasoning task is that by stacking multiple Transformer’s self-attention layers, the model would learn to focus on different parts of the image, identify most important words in the question, and then come up with an answer. </w:t>
      </w:r>
    </w:p>
    <w:p w14:paraId="1F54D4BA" w14:textId="77777777" w:rsidR="00DC1BAE" w:rsidRDefault="00DC1BAE" w:rsidP="005B434B">
      <w:pPr>
        <w:pStyle w:val="PostHeadPara"/>
      </w:pPr>
    </w:p>
    <w:p w14:paraId="1BB25D60" w14:textId="235744FF" w:rsidR="005B434B" w:rsidRPr="00976834" w:rsidRDefault="00DC1BAE" w:rsidP="005B434B">
      <w:pPr>
        <w:pStyle w:val="PostHeadPara"/>
      </w:pPr>
      <w:r>
        <w:lastRenderedPageBreak/>
        <w:t xml:space="preserve">The initial objective of this project is to study various types of deep learning models, and how they are applied in VQA and visual reasoning task. Afterwards, the next objective is to explore recent approaches which extend the reasoning capabilities of artificial neural </w:t>
      </w:r>
      <w:proofErr w:type="gramStart"/>
      <w:r>
        <w:t>networks, and</w:t>
      </w:r>
      <w:proofErr w:type="gramEnd"/>
      <w:r>
        <w:t xml:space="preserve"> investigate how they can be effective on a visual reasoning task. </w:t>
      </w:r>
      <w:proofErr w:type="gramStart"/>
      <w:r>
        <w:t>In particular, this</w:t>
      </w:r>
      <w:proofErr w:type="gramEnd"/>
      <w:r>
        <w:t xml:space="preserve"> project will focus on examining attention mechanism and its various types</w:t>
      </w:r>
      <w:r w:rsidR="00524ACE">
        <w:t xml:space="preserve"> on own customized dataset</w:t>
      </w:r>
      <w:r>
        <w:t xml:space="preserve">, including visual attention and self-attention. Additionally, several deep learning models based on Transformer architecture will be </w:t>
      </w:r>
      <w:proofErr w:type="spellStart"/>
      <w:r>
        <w:t>analysed</w:t>
      </w:r>
      <w:proofErr w:type="spellEnd"/>
      <w:r>
        <w:t xml:space="preserve"> to understand its inner working.</w:t>
      </w:r>
    </w:p>
    <w:p w14:paraId="5D846ADF" w14:textId="5F84A9A1" w:rsidR="001142BA" w:rsidRDefault="00524ACE" w:rsidP="001142BA">
      <w:pPr>
        <w:pStyle w:val="Head1"/>
      </w:pPr>
      <w:r>
        <w:t>Related work</w:t>
      </w:r>
    </w:p>
    <w:p w14:paraId="0882D691" w14:textId="0AD283AC" w:rsidR="005B434B" w:rsidRDefault="00524ACE" w:rsidP="00524ACE">
      <w:pPr>
        <w:pStyle w:val="PostHeadPara"/>
      </w:pPr>
      <w:r>
        <w:t>T</w:t>
      </w:r>
      <w:r>
        <w:t>here are a variety of models proposed for VQA and visual reasoning based on alternative approaches. These models build on other recent advances in deep learning, such as the use of external memory (Memory Augmented Neural Networks) [</w:t>
      </w:r>
      <w:r w:rsidR="008D102C">
        <w:t>7</w:t>
      </w:r>
      <w:r>
        <w:t xml:space="preserve">, </w:t>
      </w:r>
      <w:r w:rsidR="008D102C">
        <w:t>8</w:t>
      </w:r>
      <w:r>
        <w:t>] and graph structure (Graph Neural Networks) [</w:t>
      </w:r>
      <w:r w:rsidR="008D102C">
        <w:t>10</w:t>
      </w:r>
      <w:r>
        <w:t>]. For example, the model proposed in [</w:t>
      </w:r>
      <w:r w:rsidR="008D102C">
        <w:t>12</w:t>
      </w:r>
      <w:r>
        <w:t>] employs external memory to accurately predict answer which rarely occurs in the training set. Another recent model called Neural State Machine [</w:t>
      </w:r>
      <w:r w:rsidR="008D102C">
        <w:t>11</w:t>
      </w:r>
      <w:r>
        <w:t>] decomposed image into probabilistic graph that captures the semantic relation of the visual scene, then sequential reasoning process is performed over the graph structure to derive the answer. Another common approach for solving visual reasoning is based on modular neural network [</w:t>
      </w:r>
      <w:r w:rsidR="008D102C">
        <w:t>3,4,5</w:t>
      </w:r>
      <w:r>
        <w:t xml:space="preserve">]. This type of network composes of a collection of pre-defined neural modules, where each module is responsible for an elementary reasoning operation, such as identifying object’s </w:t>
      </w:r>
      <w:proofErr w:type="spellStart"/>
      <w:r>
        <w:t>colour</w:t>
      </w:r>
      <w:proofErr w:type="spellEnd"/>
      <w:r>
        <w:t xml:space="preserve"> and counting. In modular neural network, the questions are first translated into an action plan, then the network is constructed dynamically based on the plan using neural modules to obtain the answer. </w:t>
      </w:r>
      <w:r w:rsidR="005B434B">
        <w:t>Citing Related Work</w:t>
      </w:r>
    </w:p>
    <w:p w14:paraId="2D6C3424" w14:textId="77777777" w:rsidR="00110127" w:rsidRDefault="005B434B" w:rsidP="00110127">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7E3804B8" w14:textId="77777777" w:rsidR="00110127" w:rsidRDefault="00110127" w:rsidP="00110127">
      <w:pPr>
        <w:pStyle w:val="PostHeadPara"/>
      </w:pPr>
    </w:p>
    <w:p w14:paraId="2C5439E1" w14:textId="2B1921F2" w:rsidR="00524ACE" w:rsidRPr="00110127" w:rsidRDefault="00524ACE" w:rsidP="00110127">
      <w:pPr>
        <w:pStyle w:val="Head1"/>
      </w:pPr>
      <w:r>
        <w:rPr>
          <w:lang w:val="en-IN"/>
        </w:rPr>
        <w:t>Approach</w:t>
      </w:r>
    </w:p>
    <w:p w14:paraId="2DD83C85" w14:textId="6823D477" w:rsidR="00524ACE" w:rsidRPr="00524ACE" w:rsidRDefault="00524ACE" w:rsidP="00524ACE">
      <w:pPr>
        <w:pStyle w:val="Para"/>
        <w:rPr>
          <w:lang w:val="en-IN" w:eastAsia="en-US"/>
        </w:rPr>
      </w:pPr>
      <w:r>
        <w:t xml:space="preserve">As shown in Figure </w:t>
      </w:r>
      <w:r>
        <w:t>1</w:t>
      </w:r>
      <w:r>
        <w:t>.1, the architecture of our model consists of input feature extractors, a stack of multimodal Transformer layer (</w:t>
      </w:r>
      <w:proofErr w:type="spellStart"/>
      <w:r>
        <w:t>Nx</w:t>
      </w:r>
      <w:proofErr w:type="spellEnd"/>
      <w:r>
        <w:t>), multimodal fusion layer, and a classifier. The main configurable parameters of our model are the hidden dimension of the model (</w:t>
      </w:r>
      <w:proofErr w:type="spellStart"/>
      <w:r>
        <w:t>d</w:t>
      </w:r>
      <w:r w:rsidRPr="00524ACE">
        <w:rPr>
          <w:sz w:val="12"/>
          <w:szCs w:val="18"/>
        </w:rPr>
        <w:t>model</w:t>
      </w:r>
      <w:proofErr w:type="spellEnd"/>
      <w:r>
        <w:t>), the number of Transformer layer (N), the number of attention heads in the Transformer layer (A), and the hidden dimension of feed-forward networks in the Transformer layer (</w:t>
      </w:r>
      <w:proofErr w:type="spellStart"/>
      <w:r>
        <w:t>df</w:t>
      </w:r>
      <w:proofErr w:type="spellEnd"/>
      <w:r>
        <w:t xml:space="preserve"> f). These hyperparameters can be adjusted based on the difficulty of the dataset. The input feature extractors (CNN, LSTM) and the classifier components are </w:t>
      </w:r>
      <w:proofErr w:type="gramStart"/>
      <w:r>
        <w:t>similar to</w:t>
      </w:r>
      <w:proofErr w:type="gramEnd"/>
      <w:r>
        <w:t xml:space="preserve"> most existing VQA models. However, the main differences between our proposed model and existing VQA models are the use of Co-Attention Transformer layer and how they are stacked together, as well as the pooling strategy, which we </w:t>
      </w:r>
      <w:proofErr w:type="spellStart"/>
      <w:r>
        <w:t>utilise</w:t>
      </w:r>
      <w:proofErr w:type="spellEnd"/>
      <w:r>
        <w:t xml:space="preserve"> the [IMG] and [TXT] token as a pooled representation of the image and question. The details of each component are explained as follows.</w:t>
      </w:r>
    </w:p>
    <w:p w14:paraId="1B8D9E7F" w14:textId="77777777" w:rsidR="00524ACE" w:rsidRDefault="00524ACE" w:rsidP="00524ACE">
      <w:pPr>
        <w:pStyle w:val="Para"/>
        <w:keepNext/>
      </w:pPr>
      <w:r w:rsidRPr="00524ACE">
        <w:rPr>
          <w:noProof/>
          <w:lang w:val="en-IN" w:eastAsia="en-US"/>
        </w:rPr>
        <w:lastRenderedPageBreak/>
        <w:drawing>
          <wp:inline distT="0" distB="0" distL="0" distR="0" wp14:anchorId="7072B207" wp14:editId="07BC45AE">
            <wp:extent cx="5562600" cy="1823085"/>
            <wp:effectExtent l="0" t="0" r="0" b="571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1823085"/>
                    </a:xfrm>
                    <a:prstGeom prst="rect">
                      <a:avLst/>
                    </a:prstGeom>
                    <a:noFill/>
                    <a:ln>
                      <a:noFill/>
                    </a:ln>
                  </pic:spPr>
                </pic:pic>
              </a:graphicData>
            </a:graphic>
          </wp:inline>
        </w:drawing>
      </w:r>
    </w:p>
    <w:p w14:paraId="2A02482E" w14:textId="6D596C19" w:rsidR="00524ACE" w:rsidRPr="00524ACE" w:rsidRDefault="00524ACE" w:rsidP="00524ACE">
      <w:pPr>
        <w:pStyle w:val="aa"/>
        <w:jc w:val="center"/>
        <w:rPr>
          <w:lang w:val="en-IN"/>
        </w:rPr>
      </w:pPr>
      <w:r>
        <w:t xml:space="preserve">Figure </w:t>
      </w:r>
      <w:r>
        <w:fldChar w:fldCharType="begin"/>
      </w:r>
      <w:r>
        <w:instrText xml:space="preserve"> SEQ Figure \* ARABIC </w:instrText>
      </w:r>
      <w:r>
        <w:fldChar w:fldCharType="separate"/>
      </w:r>
      <w:r w:rsidR="00B72501">
        <w:rPr>
          <w:noProof/>
        </w:rPr>
        <w:t>1</w:t>
      </w:r>
      <w:r>
        <w:fldChar w:fldCharType="end"/>
      </w:r>
      <w:r w:rsidRPr="00C44D22">
        <w:t xml:space="preserve"> </w:t>
      </w:r>
      <w:r>
        <w:t>P</w:t>
      </w:r>
      <w:r w:rsidRPr="00C44D22">
        <w:t xml:space="preserve">roposed model </w:t>
      </w:r>
      <w:proofErr w:type="spellStart"/>
      <w:r w:rsidRPr="00C44D22">
        <w:t>architectur</w:t>
      </w:r>
      <w:proofErr w:type="spellEnd"/>
    </w:p>
    <w:p w14:paraId="27379B95" w14:textId="77777777" w:rsidR="00110127" w:rsidRPr="00110127" w:rsidRDefault="00110127" w:rsidP="00110127">
      <w:pPr>
        <w:pStyle w:val="ParaContinue"/>
        <w:ind w:firstLine="0"/>
        <w:rPr>
          <w:lang w:val="en-IN" w:eastAsia="en-US"/>
        </w:rPr>
      </w:pPr>
    </w:p>
    <w:p w14:paraId="761EC04C" w14:textId="6AD27C4B" w:rsidR="00110127" w:rsidRDefault="00110127" w:rsidP="00110127">
      <w:pPr>
        <w:pStyle w:val="Head2"/>
      </w:pPr>
      <w:r>
        <w:t>Input Representation</w:t>
      </w:r>
    </w:p>
    <w:p w14:paraId="27F738D1" w14:textId="64ADC7E3" w:rsidR="00110127" w:rsidRDefault="00110127" w:rsidP="00110127">
      <w:pPr>
        <w:pStyle w:val="Head3"/>
      </w:pPr>
      <w:r>
        <w:t xml:space="preserve"> Image Representation</w:t>
      </w:r>
    </w:p>
    <w:p w14:paraId="79DA2FE5" w14:textId="426C5BA1" w:rsidR="00110127" w:rsidRDefault="00110127" w:rsidP="00110127">
      <w:pPr>
        <w:pStyle w:val="Para"/>
        <w:rPr>
          <w:lang w:eastAsia="en-US"/>
        </w:rPr>
      </w:pPr>
    </w:p>
    <w:p w14:paraId="5203F7A5" w14:textId="6A14C2F4" w:rsidR="00110127" w:rsidRDefault="00110127" w:rsidP="00110127">
      <w:pPr>
        <w:pStyle w:val="ParaContinue"/>
      </w:pPr>
      <w:r>
        <w:t xml:space="preserve">The input image can be represented either using the region-based visual features extracted from Faster R-CNN or the grid-based feature map from pre-trained </w:t>
      </w:r>
      <w:proofErr w:type="spellStart"/>
      <w:r>
        <w:t>ResNet</w:t>
      </w:r>
      <w:proofErr w:type="spellEnd"/>
      <w:r>
        <w:t xml:space="preserve">. In the case of region-based visual features, up to 100 detected objects (m regions) are used as the representation of the input image, and each region </w:t>
      </w:r>
      <w:r>
        <w:t>x</w:t>
      </w:r>
      <w:r w:rsidRPr="00110127">
        <w:rPr>
          <w:vertAlign w:val="subscript"/>
        </w:rPr>
        <w:t>i</w:t>
      </w:r>
      <w:r w:rsidRPr="00110127">
        <w:rPr>
          <w:sz w:val="2"/>
          <w:szCs w:val="2"/>
          <w:vertAlign w:val="subscript"/>
        </w:rPr>
        <w:t>i</w:t>
      </w:r>
      <w:r>
        <w:t xml:space="preserve"> has the dimension of 2048 (dx):</w:t>
      </w:r>
    </w:p>
    <w:p w14:paraId="3987F0D8" w14:textId="77777777" w:rsidR="00110127" w:rsidRDefault="00110127" w:rsidP="00110127">
      <w:pPr>
        <w:pStyle w:val="ParaContinue"/>
      </w:pPr>
    </w:p>
    <w:p w14:paraId="42D29D6B" w14:textId="2F2F5F05" w:rsidR="00110127" w:rsidRPr="00110127" w:rsidRDefault="00110127" w:rsidP="00110127">
      <w:pPr>
        <w:pStyle w:val="ParaContinue"/>
        <w:ind w:firstLine="0"/>
        <w:jc w:val="center"/>
        <w:rPr>
          <w:i/>
          <w:iCs/>
          <w:lang w:eastAsia="en-US"/>
        </w:rPr>
      </w:pPr>
      <w:r w:rsidRPr="00110127">
        <w:rPr>
          <w:i/>
          <w:iCs/>
        </w:rPr>
        <w:t xml:space="preserve">FI = </w:t>
      </w:r>
      <w:proofErr w:type="spellStart"/>
      <w:proofErr w:type="gramStart"/>
      <w:r w:rsidRPr="00110127">
        <w:rPr>
          <w:i/>
          <w:iCs/>
        </w:rPr>
        <w:t>FasterRCNN</w:t>
      </w:r>
      <w:proofErr w:type="spellEnd"/>
      <w:r w:rsidRPr="00110127">
        <w:rPr>
          <w:i/>
          <w:iCs/>
        </w:rPr>
        <w:t>(</w:t>
      </w:r>
      <w:proofErr w:type="gramEnd"/>
      <w:r w:rsidRPr="00110127">
        <w:rPr>
          <w:i/>
          <w:iCs/>
        </w:rPr>
        <w:t>Image</w:t>
      </w:r>
      <w:r w:rsidRPr="00110127">
        <w:rPr>
          <w:i/>
          <w:iCs/>
        </w:rPr>
        <w:t>)</w:t>
      </w:r>
    </w:p>
    <w:p w14:paraId="283812A6" w14:textId="77777777" w:rsidR="00110127" w:rsidRDefault="00110127" w:rsidP="00110127">
      <w:pPr>
        <w:pStyle w:val="ParaContinue"/>
        <w:ind w:firstLine="0"/>
        <w:rPr>
          <w:lang w:eastAsia="en-US"/>
        </w:rPr>
      </w:pPr>
    </w:p>
    <w:p w14:paraId="34414E36" w14:textId="0A302294" w:rsidR="00110127" w:rsidRDefault="00110127" w:rsidP="00110127">
      <w:pPr>
        <w:pStyle w:val="ParaContinue"/>
        <w:ind w:firstLine="0"/>
        <w:rPr>
          <w:lang w:eastAsia="en-US"/>
        </w:rPr>
      </w:pPr>
      <w:r>
        <w:t xml:space="preserve">where FI </w:t>
      </w:r>
      <w:r>
        <w:rPr>
          <w:rFonts w:ascii="Cambria Math" w:hAnsi="Cambria Math" w:cs="Cambria Math"/>
        </w:rPr>
        <w:t>∈</w:t>
      </w:r>
      <w:r>
        <w:t xml:space="preserve"> </w:t>
      </w:r>
      <w:proofErr w:type="spellStart"/>
      <w:r w:rsidRPr="00110127">
        <w:rPr>
          <w:rFonts w:asciiTheme="majorEastAsia" w:eastAsiaTheme="majorEastAsia" w:hAnsiTheme="majorEastAsia"/>
        </w:rPr>
        <w:t>R</w:t>
      </w:r>
      <w:r w:rsidRPr="00110127">
        <w:rPr>
          <w:vertAlign w:val="superscript"/>
        </w:rPr>
        <w:t>m</w:t>
      </w:r>
      <w:r w:rsidRPr="00110127">
        <w:rPr>
          <w:rFonts w:ascii="Calibri" w:hAnsi="Calibri" w:cs="Calibri"/>
          <w:vertAlign w:val="superscript"/>
        </w:rPr>
        <w:t>×</w:t>
      </w:r>
      <w:r w:rsidRPr="00110127">
        <w:rPr>
          <w:vertAlign w:val="superscript"/>
        </w:rPr>
        <w:t>dx</w:t>
      </w:r>
      <w:proofErr w:type="spellEnd"/>
      <w:r w:rsidRPr="00110127">
        <w:rPr>
          <w:vertAlign w:val="superscript"/>
        </w:rPr>
        <w:t xml:space="preserve"> </w:t>
      </w:r>
      <w:r>
        <w:t>is the feature matrix of the input image</w:t>
      </w:r>
      <w:r>
        <w:t>.</w:t>
      </w:r>
    </w:p>
    <w:p w14:paraId="7BBB57ED" w14:textId="5D290E97" w:rsidR="00110127" w:rsidRDefault="00110127" w:rsidP="00110127">
      <w:pPr>
        <w:pStyle w:val="ParaContinue"/>
        <w:rPr>
          <w:lang w:eastAsia="en-US"/>
        </w:rPr>
      </w:pPr>
    </w:p>
    <w:p w14:paraId="0B219B7D" w14:textId="52771442" w:rsidR="00110127" w:rsidRDefault="00110127" w:rsidP="00110127">
      <w:pPr>
        <w:pStyle w:val="Head3"/>
      </w:pPr>
      <w:r>
        <w:t xml:space="preserve"> Question Representation</w:t>
      </w:r>
    </w:p>
    <w:p w14:paraId="08072182" w14:textId="517D27A2" w:rsidR="00110127" w:rsidRDefault="00110127" w:rsidP="00110127">
      <w:pPr>
        <w:pStyle w:val="Para"/>
      </w:pPr>
      <w:r>
        <w:t xml:space="preserve">The question text is first </w:t>
      </w:r>
      <w:proofErr w:type="spellStart"/>
      <w:r>
        <w:t>tokenised</w:t>
      </w:r>
      <w:proofErr w:type="spellEnd"/>
      <w:r>
        <w:t xml:space="preserve"> into a sequence of words q = [q1, ..., </w:t>
      </w:r>
      <w:proofErr w:type="spellStart"/>
      <w:r>
        <w:t>qn</w:t>
      </w:r>
      <w:proofErr w:type="spellEnd"/>
      <w:r>
        <w:t xml:space="preserve">], with each word is represented as a one hot vector from the index of the dataset’s vocabulary. Each word vector is then transformed into a distributed vector representation using 300D </w:t>
      </w:r>
      <w:proofErr w:type="spellStart"/>
      <w:r>
        <w:t>GloVe</w:t>
      </w:r>
      <w:proofErr w:type="spellEnd"/>
      <w:r>
        <w:t xml:space="preserve"> word embedding: </w:t>
      </w:r>
    </w:p>
    <w:p w14:paraId="49665B6D" w14:textId="77777777" w:rsidR="00110127" w:rsidRPr="00110127" w:rsidRDefault="00110127" w:rsidP="00110127">
      <w:pPr>
        <w:pStyle w:val="ParaContinue"/>
      </w:pPr>
    </w:p>
    <w:p w14:paraId="6B26FB22" w14:textId="6B617B30" w:rsidR="00110127" w:rsidRDefault="00110127" w:rsidP="00110127">
      <w:pPr>
        <w:pStyle w:val="Para"/>
        <w:jc w:val="center"/>
      </w:pPr>
      <w:r>
        <w:t xml:space="preserve">E = </w:t>
      </w:r>
      <w:proofErr w:type="spellStart"/>
      <w:r>
        <w:t>qWe</w:t>
      </w:r>
      <w:proofErr w:type="spellEnd"/>
      <w:r>
        <w:t xml:space="preserve"> </w:t>
      </w:r>
    </w:p>
    <w:p w14:paraId="60D984E2" w14:textId="77777777" w:rsidR="00110127" w:rsidRPr="00110127" w:rsidRDefault="00110127" w:rsidP="00110127">
      <w:pPr>
        <w:pStyle w:val="ParaContinue"/>
      </w:pPr>
    </w:p>
    <w:p w14:paraId="3D511A18" w14:textId="149D21D1" w:rsidR="00110127" w:rsidRPr="00110127" w:rsidRDefault="00110127" w:rsidP="00110127">
      <w:pPr>
        <w:pStyle w:val="Para"/>
        <w:ind w:firstLine="0"/>
        <w:rPr>
          <w:lang w:eastAsia="en-US"/>
        </w:rPr>
      </w:pPr>
      <w:r>
        <w:t xml:space="preserve">where E </w:t>
      </w:r>
      <w:r>
        <w:rPr>
          <w:rFonts w:ascii="Cambria Math" w:hAnsi="Cambria Math" w:cs="Cambria Math"/>
        </w:rPr>
        <w:t>∈</w:t>
      </w:r>
      <w:r>
        <w:t xml:space="preserve"> R</w:t>
      </w:r>
      <w:r w:rsidRPr="00110127">
        <w:rPr>
          <w:vertAlign w:val="superscript"/>
        </w:rPr>
        <w:t>n</w:t>
      </w:r>
      <w:r w:rsidRPr="00110127">
        <w:rPr>
          <w:rFonts w:ascii="Calibri" w:hAnsi="Calibri" w:cs="Calibri"/>
          <w:vertAlign w:val="superscript"/>
        </w:rPr>
        <w:t>×</w:t>
      </w:r>
      <w:r w:rsidRPr="00110127">
        <w:rPr>
          <w:vertAlign w:val="superscript"/>
        </w:rPr>
        <w:t xml:space="preserve">300 </w:t>
      </w:r>
      <w:r>
        <w:t xml:space="preserve">is the embedded question, n is the number of words in the longest question, and We is the </w:t>
      </w:r>
      <w:proofErr w:type="spellStart"/>
      <w:r>
        <w:t>GloVe</w:t>
      </w:r>
      <w:proofErr w:type="spellEnd"/>
      <w:r>
        <w:t xml:space="preserve"> embedding weight.</w:t>
      </w:r>
    </w:p>
    <w:p w14:paraId="516C22E3" w14:textId="3C833C47" w:rsidR="00110127" w:rsidRDefault="00110127" w:rsidP="00110127">
      <w:pPr>
        <w:pStyle w:val="ParaContinue"/>
        <w:rPr>
          <w:lang w:eastAsia="en-US"/>
        </w:rPr>
      </w:pPr>
    </w:p>
    <w:p w14:paraId="47D0DFDF" w14:textId="41396203" w:rsidR="00110127" w:rsidRDefault="00110127" w:rsidP="005B7640">
      <w:pPr>
        <w:pStyle w:val="Head2"/>
      </w:pPr>
      <w:r>
        <w:t>Multimodal Transformer</w:t>
      </w:r>
    </w:p>
    <w:p w14:paraId="7E52AABA" w14:textId="6BEE6D01" w:rsidR="00110127" w:rsidRDefault="005B7640" w:rsidP="005B7640">
      <w:pPr>
        <w:pStyle w:val="ParaContinue"/>
        <w:ind w:firstLine="0"/>
        <w:rPr>
          <w:lang w:eastAsia="en-US"/>
        </w:rPr>
      </w:pPr>
      <w:r>
        <w:t xml:space="preserve">The multimodal Transformer encoder block consists of two components: standard Transformer layer (TRM), which is the same as the original BERT model, and Co-attention Transformer layer (Co-TRM). However, in Co-TRM layers, the keys </w:t>
      </w:r>
      <w:r>
        <w:lastRenderedPageBreak/>
        <w:t>and values from each modality are swapped</w:t>
      </w:r>
      <w:r>
        <w:t>.</w:t>
      </w:r>
      <w:r>
        <w:t xml:space="preserve"> The attention mechanism in Co-TRM layers can be interpreted as question-conditioned image attention in the textual stream and image-conditioned question attention in the visual stream. The image attention conditioned on the question is </w:t>
      </w:r>
      <w:proofErr w:type="gramStart"/>
      <w:r>
        <w:t>similar to</w:t>
      </w:r>
      <w:proofErr w:type="gramEnd"/>
      <w:r>
        <w:t xml:space="preserve"> visual attention found in many existing VQA models</w:t>
      </w:r>
    </w:p>
    <w:p w14:paraId="3DE6C623" w14:textId="77777777" w:rsidR="005B7640" w:rsidRDefault="005B7640" w:rsidP="005B7640">
      <w:pPr>
        <w:pStyle w:val="ParaContinue"/>
        <w:keepNext/>
        <w:jc w:val="center"/>
      </w:pPr>
      <w:r w:rsidRPr="00110127">
        <w:rPr>
          <w:noProof/>
          <w:lang w:eastAsia="en-US"/>
        </w:rPr>
        <w:drawing>
          <wp:inline distT="0" distB="0" distL="0" distR="0" wp14:anchorId="3927CBE9" wp14:editId="2FB9A79F">
            <wp:extent cx="4257447" cy="2258488"/>
            <wp:effectExtent l="0" t="0" r="0" b="889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383" cy="2263759"/>
                    </a:xfrm>
                    <a:prstGeom prst="rect">
                      <a:avLst/>
                    </a:prstGeom>
                    <a:noFill/>
                    <a:ln>
                      <a:noFill/>
                    </a:ln>
                  </pic:spPr>
                </pic:pic>
              </a:graphicData>
            </a:graphic>
          </wp:inline>
        </w:drawing>
      </w:r>
    </w:p>
    <w:p w14:paraId="13FA77F6" w14:textId="6B992E70" w:rsidR="00110127" w:rsidRDefault="005B7640" w:rsidP="005B7640">
      <w:pPr>
        <w:pStyle w:val="aa"/>
        <w:jc w:val="center"/>
      </w:pPr>
      <w:r>
        <w:t xml:space="preserve">Figure </w:t>
      </w:r>
      <w:r>
        <w:fldChar w:fldCharType="begin"/>
      </w:r>
      <w:r>
        <w:instrText xml:space="preserve"> SEQ Figure \* ARABIC </w:instrText>
      </w:r>
      <w:r>
        <w:fldChar w:fldCharType="separate"/>
      </w:r>
      <w:r w:rsidR="00B72501">
        <w:rPr>
          <w:noProof/>
        </w:rPr>
        <w:t>2</w:t>
      </w:r>
      <w:r>
        <w:fldChar w:fldCharType="end"/>
      </w:r>
      <w:r>
        <w:t xml:space="preserve"> </w:t>
      </w:r>
      <w:r w:rsidRPr="001B01C0">
        <w:t>Multimodal Transformer block</w:t>
      </w:r>
    </w:p>
    <w:p w14:paraId="3C35F671" w14:textId="485CBB69" w:rsidR="00110127" w:rsidRDefault="005B7640" w:rsidP="005B7640">
      <w:pPr>
        <w:pStyle w:val="Head2"/>
      </w:pPr>
      <w:r>
        <w:t>Initial Design</w:t>
      </w:r>
    </w:p>
    <w:p w14:paraId="5C20CED0" w14:textId="77777777" w:rsidR="005B7640" w:rsidRDefault="005B7640" w:rsidP="005B7640">
      <w:pPr>
        <w:pStyle w:val="Para"/>
      </w:pPr>
      <w:r>
        <w:t xml:space="preserve">Initially, our VQA model was designed to be based purely on self-attention mechanism from standard Transformer layer, which would be </w:t>
      </w:r>
      <w:proofErr w:type="gramStart"/>
      <w:r>
        <w:t>similar to</w:t>
      </w:r>
      <w:proofErr w:type="gramEnd"/>
      <w:r>
        <w:t xml:space="preserve"> single-stream pre-trained vision and language models</w:t>
      </w:r>
      <w:r>
        <w:t xml:space="preserve">, </w:t>
      </w:r>
      <w:r>
        <w:t xml:space="preserve">such as Pixel-BERT and </w:t>
      </w:r>
      <w:proofErr w:type="spellStart"/>
      <w:r>
        <w:t>VisualBERT</w:t>
      </w:r>
      <w:proofErr w:type="spellEnd"/>
      <w:r>
        <w:t xml:space="preserve">. In this architecture, the features extracted from image and question are simply concatenated then fed through multiple layers of standard Transformer encoder. </w:t>
      </w:r>
      <w:proofErr w:type="gramStart"/>
      <w:r>
        <w:t>Similar to</w:t>
      </w:r>
      <w:proofErr w:type="gramEnd"/>
      <w:r>
        <w:t xml:space="preserve"> the original BERT model, segment embedding is introduced to distinguish between the two modalities. In this design, [CLS] token is used to extract information related to the answer, and the hidden state of [CLS] token from the final layer of Transformer is used as an input to the classifier layer. Figure 3 shows the overall architecture of our initial design. </w:t>
      </w:r>
    </w:p>
    <w:p w14:paraId="288E90E6" w14:textId="3FF38B85" w:rsidR="005B7640" w:rsidRPr="005B7640" w:rsidRDefault="005B7640" w:rsidP="005B7640">
      <w:pPr>
        <w:pStyle w:val="Para"/>
      </w:pPr>
      <w:r>
        <w:t xml:space="preserve">The simplicity of this architecture is compelling; however, the model performs poorly in a visual reasoning task. We have tried different learning rates, </w:t>
      </w:r>
      <w:proofErr w:type="spellStart"/>
      <w:r>
        <w:t>optimisers</w:t>
      </w:r>
      <w:proofErr w:type="spellEnd"/>
      <w:r>
        <w:t xml:space="preserve">, </w:t>
      </w:r>
      <w:proofErr w:type="spellStart"/>
      <w:r>
        <w:t>regularisation</w:t>
      </w:r>
      <w:proofErr w:type="spellEnd"/>
      <w:r>
        <w:t xml:space="preserve"> methods. We have also incorporated positional embeddings for both image and text input </w:t>
      </w:r>
      <w:proofErr w:type="gramStart"/>
      <w:r>
        <w:t>similar to</w:t>
      </w:r>
      <w:proofErr w:type="gramEnd"/>
      <w:r>
        <w:t>, however the model was unable to achieve the desired accuracy, only achieving result similar to baseline models in a visual reasoning task</w:t>
      </w:r>
      <w:r>
        <w:t>.</w:t>
      </w:r>
      <w:r w:rsidRPr="005B7640">
        <w:rPr>
          <w:rStyle w:val="a0"/>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4A1CD8D" w14:textId="4BC215DE" w:rsidR="00110127" w:rsidRDefault="00110127" w:rsidP="00110127">
      <w:pPr>
        <w:pStyle w:val="ParaContinue"/>
        <w:rPr>
          <w:lang w:eastAsia="en-US"/>
        </w:rPr>
      </w:pPr>
    </w:p>
    <w:p w14:paraId="06E216FA" w14:textId="5C0BE12C" w:rsidR="00110127" w:rsidRDefault="00110127" w:rsidP="00110127">
      <w:pPr>
        <w:pStyle w:val="ParaContinue"/>
        <w:rPr>
          <w:lang w:eastAsia="en-US"/>
        </w:rPr>
      </w:pPr>
    </w:p>
    <w:p w14:paraId="2C9EE2A4" w14:textId="3FEBA2EF" w:rsidR="00110127" w:rsidRDefault="005B7640" w:rsidP="00110127">
      <w:pPr>
        <w:pStyle w:val="ParaContinue"/>
        <w:rPr>
          <w:lang w:eastAsia="en-US"/>
        </w:rPr>
      </w:pPr>
      <w:r>
        <w:rPr>
          <w:noProof/>
        </w:rPr>
        <w:lastRenderedPageBreak/>
        <mc:AlternateContent>
          <mc:Choice Requires="wps">
            <w:drawing>
              <wp:anchor distT="0" distB="0" distL="114300" distR="114300" simplePos="0" relativeHeight="251661312" behindDoc="0" locked="0" layoutInCell="1" allowOverlap="1" wp14:anchorId="4DD68DCE" wp14:editId="7EBDA680">
                <wp:simplePos x="0" y="0"/>
                <wp:positionH relativeFrom="column">
                  <wp:posOffset>914400</wp:posOffset>
                </wp:positionH>
                <wp:positionV relativeFrom="paragraph">
                  <wp:posOffset>2433320</wp:posOffset>
                </wp:positionV>
                <wp:extent cx="373062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3730625" cy="635"/>
                        </a:xfrm>
                        <a:prstGeom prst="rect">
                          <a:avLst/>
                        </a:prstGeom>
                        <a:solidFill>
                          <a:prstClr val="white"/>
                        </a:solidFill>
                        <a:ln>
                          <a:noFill/>
                        </a:ln>
                      </wps:spPr>
                      <wps:txbx>
                        <w:txbxContent>
                          <w:p w14:paraId="377D5206" w14:textId="321CEF6B" w:rsidR="005B7640" w:rsidRPr="00382A15" w:rsidRDefault="005B7640" w:rsidP="005B7640">
                            <w:pPr>
                              <w:pStyle w:val="aa"/>
                              <w:jc w:val="center"/>
                              <w:rPr>
                                <w:rFonts w:ascii="Linux Libertine O" w:hAnsi="Linux Libertine O" w:cs="Linux Libertine O"/>
                                <w:noProof/>
                                <w:szCs w:val="24"/>
                                <w:lang w:eastAsia="ja-JP"/>
                              </w:rPr>
                            </w:pPr>
                            <w:r>
                              <w:t xml:space="preserve">Figure </w:t>
                            </w:r>
                            <w:r>
                              <w:fldChar w:fldCharType="begin"/>
                            </w:r>
                            <w:r>
                              <w:instrText xml:space="preserve"> SEQ Figure \* ARABIC </w:instrText>
                            </w:r>
                            <w:r>
                              <w:fldChar w:fldCharType="separate"/>
                            </w:r>
                            <w:r w:rsidR="00B72501">
                              <w:rPr>
                                <w:noProof/>
                              </w:rPr>
                              <w:t>3</w:t>
                            </w:r>
                            <w:r>
                              <w:fldChar w:fldCharType="end"/>
                            </w:r>
                            <w:r>
                              <w:t xml:space="preserve"> </w:t>
                            </w:r>
                            <w:r w:rsidRPr="005D1764">
                              <w:t>Initial model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68DCE" id="_x0000_t202" coordsize="21600,21600" o:spt="202" path="m,l,21600r21600,l21600,xe">
                <v:stroke joinstyle="miter"/>
                <v:path gradientshapeok="t" o:connecttype="rect"/>
              </v:shapetype>
              <v:shape id="文本框 1" o:spid="_x0000_s1026" type="#_x0000_t202" style="position:absolute;left:0;text-align:left;margin-left:1in;margin-top:191.6pt;width:293.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YAFgIAADgEAAAOAAAAZHJzL2Uyb0RvYy54bWysU8GO2jAQvVfqP1i+lwTQ0i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b84zxdzO44k5RbzO8C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" stroked="f">
                <v:textbox style="mso-fit-shape-to-text:t" inset="0,0,0,0">
                  <w:txbxContent>
                    <w:p w14:paraId="377D5206" w14:textId="321CEF6B" w:rsidR="005B7640" w:rsidRPr="00382A15" w:rsidRDefault="005B7640" w:rsidP="005B7640">
                      <w:pPr>
                        <w:pStyle w:val="aa"/>
                        <w:jc w:val="center"/>
                        <w:rPr>
                          <w:rFonts w:ascii="Linux Libertine O" w:hAnsi="Linux Libertine O" w:cs="Linux Libertine O"/>
                          <w:noProof/>
                          <w:szCs w:val="24"/>
                          <w:lang w:eastAsia="ja-JP"/>
                        </w:rPr>
                      </w:pPr>
                      <w:r>
                        <w:t xml:space="preserve">Figure </w:t>
                      </w:r>
                      <w:r>
                        <w:fldChar w:fldCharType="begin"/>
                      </w:r>
                      <w:r>
                        <w:instrText xml:space="preserve"> SEQ Figure \* ARABIC </w:instrText>
                      </w:r>
                      <w:r>
                        <w:fldChar w:fldCharType="separate"/>
                      </w:r>
                      <w:r w:rsidR="00B72501">
                        <w:rPr>
                          <w:noProof/>
                        </w:rPr>
                        <w:t>3</w:t>
                      </w:r>
                      <w:r>
                        <w:fldChar w:fldCharType="end"/>
                      </w:r>
                      <w:r>
                        <w:t xml:space="preserve"> </w:t>
                      </w:r>
                      <w:r w:rsidRPr="005D1764">
                        <w:t>Initial model design</w:t>
                      </w:r>
                    </w:p>
                  </w:txbxContent>
                </v:textbox>
                <w10:wrap type="topAndBottom"/>
              </v:shape>
            </w:pict>
          </mc:Fallback>
        </mc:AlternateContent>
      </w:r>
      <w:r w:rsidRPr="005B7640">
        <w:rPr>
          <w:noProof/>
        </w:rPr>
        <w:drawing>
          <wp:anchor distT="0" distB="0" distL="114300" distR="114300" simplePos="0" relativeHeight="251659264" behindDoc="0" locked="0" layoutInCell="1" allowOverlap="1" wp14:anchorId="69C7C636" wp14:editId="37DD39FD">
            <wp:simplePos x="0" y="0"/>
            <wp:positionH relativeFrom="margin">
              <wp:align>center</wp:align>
            </wp:positionH>
            <wp:positionV relativeFrom="paragraph">
              <wp:posOffset>250057</wp:posOffset>
            </wp:positionV>
            <wp:extent cx="3730625" cy="2126615"/>
            <wp:effectExtent l="0" t="0" r="3175" b="6985"/>
            <wp:wrapTopAndBottom/>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0625" cy="2126615"/>
                    </a:xfrm>
                    <a:prstGeom prst="rect">
                      <a:avLst/>
                    </a:prstGeom>
                    <a:noFill/>
                    <a:ln>
                      <a:noFill/>
                    </a:ln>
                  </pic:spPr>
                </pic:pic>
              </a:graphicData>
            </a:graphic>
          </wp:anchor>
        </w:drawing>
      </w:r>
    </w:p>
    <w:p w14:paraId="78ADEEDA" w14:textId="280C3B84" w:rsidR="00110127" w:rsidRDefault="00110127" w:rsidP="00110127">
      <w:pPr>
        <w:pStyle w:val="ParaContinue"/>
        <w:rPr>
          <w:lang w:eastAsia="en-US"/>
        </w:rPr>
      </w:pPr>
    </w:p>
    <w:p w14:paraId="7BC2EA2A" w14:textId="28DEAA9B" w:rsidR="00110127" w:rsidRDefault="00110127" w:rsidP="00110127">
      <w:pPr>
        <w:pStyle w:val="ParaContinue"/>
        <w:rPr>
          <w:lang w:eastAsia="en-US"/>
        </w:rPr>
      </w:pPr>
    </w:p>
    <w:p w14:paraId="73BE7FB0" w14:textId="7D9EFEA9" w:rsidR="00110127" w:rsidRDefault="00110127" w:rsidP="00110127">
      <w:pPr>
        <w:pStyle w:val="ParaContinue"/>
        <w:rPr>
          <w:lang w:eastAsia="en-US"/>
        </w:rPr>
      </w:pPr>
    </w:p>
    <w:p w14:paraId="141D630A" w14:textId="466D2204" w:rsidR="00110127" w:rsidRDefault="00110127" w:rsidP="00110127">
      <w:pPr>
        <w:pStyle w:val="ParaContinue"/>
        <w:rPr>
          <w:lang w:eastAsia="en-US"/>
        </w:rPr>
      </w:pPr>
    </w:p>
    <w:p w14:paraId="63BED3CF" w14:textId="4698E1E0" w:rsidR="00110127" w:rsidRDefault="005B7640" w:rsidP="005B7640">
      <w:pPr>
        <w:pStyle w:val="Head1"/>
      </w:pPr>
      <w:r>
        <w:t>Evaluation</w:t>
      </w:r>
    </w:p>
    <w:p w14:paraId="721E1EB2" w14:textId="34BC8483" w:rsidR="00E011E9" w:rsidRPr="00E011E9" w:rsidRDefault="00E011E9" w:rsidP="00E011E9">
      <w:pPr>
        <w:pStyle w:val="Head2"/>
      </w:pPr>
      <w:r>
        <w:t xml:space="preserve">CLEVR </w:t>
      </w:r>
      <w:r>
        <w:t>Dataset</w:t>
      </w:r>
    </w:p>
    <w:p w14:paraId="20171840" w14:textId="310A17B5" w:rsidR="00110127" w:rsidRDefault="00110127" w:rsidP="00110127">
      <w:pPr>
        <w:pStyle w:val="ParaContinue"/>
        <w:rPr>
          <w:lang w:eastAsia="en-US"/>
        </w:rPr>
      </w:pPr>
    </w:p>
    <w:p w14:paraId="30465215" w14:textId="08B756C9" w:rsidR="00110127" w:rsidRDefault="002E594D" w:rsidP="002E594D">
      <w:pPr>
        <w:pStyle w:val="ParaContinue"/>
        <w:ind w:firstLine="0"/>
        <w:rPr>
          <w:lang w:eastAsia="en-US"/>
        </w:rPr>
      </w:pPr>
      <w:r>
        <w:t xml:space="preserve">We first evaluated our VQA model on the CLEVR dataset [5]. Introduced in 2017, CLEVR is a diagnostic dataset designed to test a range of visual reasoning abilities. The dataset consists of synthetic images and questions generated from functional program. It </w:t>
      </w:r>
      <w:proofErr w:type="gramStart"/>
      <w:r>
        <w:t>was considered to be</w:t>
      </w:r>
      <w:proofErr w:type="gramEnd"/>
      <w:r>
        <w:t xml:space="preserve"> quite challenging, as many standard deep learning based VQA models performed very poorly.</w:t>
      </w:r>
    </w:p>
    <w:p w14:paraId="502CC1E5" w14:textId="39FB7495" w:rsidR="00110127" w:rsidRDefault="00E011E9" w:rsidP="00110127">
      <w:pPr>
        <w:pStyle w:val="ParaContinue"/>
        <w:rPr>
          <w:lang w:eastAsia="en-US"/>
        </w:rPr>
      </w:pPr>
      <w:r>
        <w:t>In the CLEVR dataset, there are mainly five types of question: counting, integer comparison, existence, querying attributes, and comparing attributes. Counting questions ask for the number of objects satisfying certain conditions (</w:t>
      </w:r>
      <w:proofErr w:type="gramStart"/>
      <w:r>
        <w:t>e.g.</w:t>
      </w:r>
      <w:proofErr w:type="gramEnd"/>
      <w:r>
        <w:t xml:space="preserve"> “How many red cubes are there?”). Integer comparison questions ask which of two object sets is larger (</w:t>
      </w:r>
      <w:proofErr w:type="gramStart"/>
      <w:r>
        <w:t>e.g.</w:t>
      </w:r>
      <w:proofErr w:type="gramEnd"/>
      <w:r>
        <w:t xml:space="preserve"> “Are there fewer cubes than red things?”). Existence questions ask whether a certain type of object exists in the image (</w:t>
      </w:r>
      <w:proofErr w:type="gramStart"/>
      <w:r>
        <w:t>e.g.</w:t>
      </w:r>
      <w:proofErr w:type="gramEnd"/>
      <w:r>
        <w:t xml:space="preserve"> “Are there any cubes to the right of the red thing?”). Query questions ask about an attribute of a particular object (</w:t>
      </w:r>
      <w:proofErr w:type="gramStart"/>
      <w:r>
        <w:t>e.g.</w:t>
      </w:r>
      <w:proofErr w:type="gramEnd"/>
      <w:r>
        <w:t xml:space="preserve"> “What color is the thing right of the red sphere?”). Finally, attribute comparison questions ask whether two objects have the same attribute (</w:t>
      </w:r>
      <w:proofErr w:type="gramStart"/>
      <w:r>
        <w:t>e.g.</w:t>
      </w:r>
      <w:proofErr w:type="gramEnd"/>
      <w:r>
        <w:t xml:space="preserve"> “Is the cube the same size as the sphere?”).</w:t>
      </w:r>
    </w:p>
    <w:p w14:paraId="7BD0C2EF" w14:textId="12D333F4" w:rsidR="00110127" w:rsidRDefault="00110127" w:rsidP="00110127">
      <w:pPr>
        <w:pStyle w:val="ParaContinue"/>
        <w:rPr>
          <w:lang w:eastAsia="en-US"/>
        </w:rPr>
      </w:pPr>
    </w:p>
    <w:p w14:paraId="4B7CC51F" w14:textId="0CA319EB" w:rsidR="00110127" w:rsidRDefault="00110127" w:rsidP="00110127">
      <w:pPr>
        <w:pStyle w:val="ParaContinue"/>
        <w:rPr>
          <w:lang w:eastAsia="en-US"/>
        </w:rPr>
      </w:pPr>
    </w:p>
    <w:p w14:paraId="6826162C" w14:textId="0C8FA8F3" w:rsidR="00110127" w:rsidRDefault="00110127" w:rsidP="00110127">
      <w:pPr>
        <w:pStyle w:val="ParaContinue"/>
        <w:rPr>
          <w:lang w:eastAsia="en-US"/>
        </w:rPr>
      </w:pPr>
    </w:p>
    <w:p w14:paraId="03EB03C7" w14:textId="6A6A56C5" w:rsidR="00E011E9" w:rsidRDefault="00E011E9" w:rsidP="00E011E9">
      <w:pPr>
        <w:pStyle w:val="aa"/>
        <w:keepNext/>
      </w:pPr>
    </w:p>
    <w:tbl>
      <w:tblPr>
        <w:tblStyle w:val="a9"/>
        <w:tblW w:w="0" w:type="auto"/>
        <w:tblLook w:val="04A0" w:firstRow="1" w:lastRow="0" w:firstColumn="1" w:lastColumn="0" w:noHBand="0" w:noVBand="1"/>
      </w:tblPr>
      <w:tblGrid>
        <w:gridCol w:w="1250"/>
        <w:gridCol w:w="1250"/>
        <w:gridCol w:w="1250"/>
        <w:gridCol w:w="1250"/>
        <w:gridCol w:w="1250"/>
        <w:gridCol w:w="1250"/>
        <w:gridCol w:w="1250"/>
      </w:tblGrid>
      <w:tr w:rsidR="00E011E9" w14:paraId="073E634F" w14:textId="77777777" w:rsidTr="00E011E9">
        <w:tc>
          <w:tcPr>
            <w:tcW w:w="1250" w:type="dxa"/>
          </w:tcPr>
          <w:p w14:paraId="1295DB74" w14:textId="1392770C" w:rsidR="00E011E9" w:rsidRDefault="00E011E9" w:rsidP="00E011E9">
            <w:pPr>
              <w:pStyle w:val="ParaContinue"/>
              <w:ind w:firstLine="0"/>
              <w:jc w:val="center"/>
              <w:rPr>
                <w:lang w:eastAsia="en-US"/>
              </w:rPr>
            </w:pPr>
            <w:r>
              <w:rPr>
                <w:lang w:eastAsia="en-US"/>
              </w:rPr>
              <w:t>Model</w:t>
            </w:r>
          </w:p>
        </w:tc>
        <w:tc>
          <w:tcPr>
            <w:tcW w:w="1250" w:type="dxa"/>
          </w:tcPr>
          <w:p w14:paraId="1A109ABB" w14:textId="56D9A6AA" w:rsidR="00E011E9" w:rsidRDefault="00E011E9" w:rsidP="00E011E9">
            <w:pPr>
              <w:pStyle w:val="ParaContinue"/>
              <w:ind w:firstLine="0"/>
              <w:jc w:val="center"/>
              <w:rPr>
                <w:lang w:eastAsia="en-US"/>
              </w:rPr>
            </w:pPr>
            <w:r>
              <w:rPr>
                <w:lang w:eastAsia="en-US"/>
              </w:rPr>
              <w:t>Count</w:t>
            </w:r>
          </w:p>
        </w:tc>
        <w:tc>
          <w:tcPr>
            <w:tcW w:w="1250" w:type="dxa"/>
          </w:tcPr>
          <w:p w14:paraId="0A0CBB26" w14:textId="43CD5BD5" w:rsidR="00E011E9" w:rsidRDefault="00E011E9" w:rsidP="00E011E9">
            <w:pPr>
              <w:pStyle w:val="ParaContinue"/>
              <w:ind w:firstLine="0"/>
              <w:jc w:val="center"/>
              <w:rPr>
                <w:lang w:eastAsia="en-US"/>
              </w:rPr>
            </w:pPr>
            <w:r>
              <w:rPr>
                <w:lang w:eastAsia="en-US"/>
              </w:rPr>
              <w:t>Compare Numbers</w:t>
            </w:r>
          </w:p>
        </w:tc>
        <w:tc>
          <w:tcPr>
            <w:tcW w:w="1250" w:type="dxa"/>
          </w:tcPr>
          <w:p w14:paraId="257451A9" w14:textId="12D49A0B" w:rsidR="00E011E9" w:rsidRDefault="00E011E9" w:rsidP="00E011E9">
            <w:pPr>
              <w:pStyle w:val="ParaContinue"/>
              <w:ind w:firstLine="0"/>
              <w:jc w:val="center"/>
              <w:rPr>
                <w:lang w:eastAsia="en-US"/>
              </w:rPr>
            </w:pPr>
            <w:r>
              <w:rPr>
                <w:lang w:eastAsia="en-US"/>
              </w:rPr>
              <w:t>Exist</w:t>
            </w:r>
          </w:p>
        </w:tc>
        <w:tc>
          <w:tcPr>
            <w:tcW w:w="1250" w:type="dxa"/>
          </w:tcPr>
          <w:p w14:paraId="7A6D845A" w14:textId="77671488" w:rsidR="00E011E9" w:rsidRDefault="00E011E9" w:rsidP="00E011E9">
            <w:pPr>
              <w:pStyle w:val="ParaContinue"/>
              <w:ind w:firstLine="0"/>
              <w:jc w:val="center"/>
              <w:rPr>
                <w:lang w:eastAsia="en-US"/>
              </w:rPr>
            </w:pPr>
            <w:r>
              <w:rPr>
                <w:lang w:eastAsia="en-US"/>
              </w:rPr>
              <w:t>Query Attribute</w:t>
            </w:r>
          </w:p>
        </w:tc>
        <w:tc>
          <w:tcPr>
            <w:tcW w:w="1250" w:type="dxa"/>
          </w:tcPr>
          <w:p w14:paraId="567B673B" w14:textId="23BC879C" w:rsidR="00E011E9" w:rsidRDefault="00E011E9" w:rsidP="00E011E9">
            <w:pPr>
              <w:pStyle w:val="ParaContinue"/>
              <w:ind w:firstLine="0"/>
              <w:jc w:val="center"/>
              <w:rPr>
                <w:lang w:eastAsia="en-US"/>
              </w:rPr>
            </w:pPr>
            <w:r>
              <w:rPr>
                <w:lang w:eastAsia="en-US"/>
              </w:rPr>
              <w:t>Compare Attribute</w:t>
            </w:r>
          </w:p>
        </w:tc>
        <w:tc>
          <w:tcPr>
            <w:tcW w:w="1250" w:type="dxa"/>
          </w:tcPr>
          <w:p w14:paraId="57342A0F" w14:textId="03B84935" w:rsidR="00E011E9" w:rsidRDefault="00E011E9" w:rsidP="00E011E9">
            <w:pPr>
              <w:pStyle w:val="ParaContinue"/>
              <w:ind w:firstLine="0"/>
              <w:jc w:val="center"/>
              <w:rPr>
                <w:lang w:eastAsia="en-US"/>
              </w:rPr>
            </w:pPr>
            <w:r>
              <w:rPr>
                <w:lang w:eastAsia="en-US"/>
              </w:rPr>
              <w:t>Overall</w:t>
            </w:r>
          </w:p>
        </w:tc>
      </w:tr>
      <w:tr w:rsidR="00E011E9" w14:paraId="7AD6AA54" w14:textId="77777777" w:rsidTr="00E011E9">
        <w:tc>
          <w:tcPr>
            <w:tcW w:w="1250" w:type="dxa"/>
          </w:tcPr>
          <w:p w14:paraId="7F7489B7" w14:textId="15A35323" w:rsidR="00E011E9" w:rsidRDefault="00E011E9" w:rsidP="00E011E9">
            <w:pPr>
              <w:pStyle w:val="ParaContinue"/>
              <w:ind w:firstLine="0"/>
              <w:jc w:val="center"/>
              <w:rPr>
                <w:lang w:eastAsia="en-US"/>
              </w:rPr>
            </w:pPr>
            <w:proofErr w:type="gramStart"/>
            <w:r>
              <w:rPr>
                <w:lang w:eastAsia="en-US"/>
              </w:rPr>
              <w:t>Human</w:t>
            </w:r>
            <w:r w:rsidR="008D102C">
              <w:rPr>
                <w:lang w:eastAsia="en-US"/>
              </w:rPr>
              <w:t>[</w:t>
            </w:r>
            <w:proofErr w:type="gramEnd"/>
            <w:r w:rsidR="008D102C">
              <w:rPr>
                <w:lang w:eastAsia="en-US"/>
              </w:rPr>
              <w:t>16]</w:t>
            </w:r>
          </w:p>
        </w:tc>
        <w:tc>
          <w:tcPr>
            <w:tcW w:w="1250" w:type="dxa"/>
          </w:tcPr>
          <w:p w14:paraId="34D41E47" w14:textId="2228E7B6" w:rsidR="00E011E9" w:rsidRDefault="00E011E9" w:rsidP="00E011E9">
            <w:pPr>
              <w:pStyle w:val="ParaContinue"/>
              <w:ind w:firstLine="0"/>
              <w:jc w:val="center"/>
              <w:rPr>
                <w:lang w:eastAsia="en-US"/>
              </w:rPr>
            </w:pPr>
            <w:r>
              <w:rPr>
                <w:lang w:eastAsia="en-US"/>
              </w:rPr>
              <w:t>86.7</w:t>
            </w:r>
          </w:p>
        </w:tc>
        <w:tc>
          <w:tcPr>
            <w:tcW w:w="1250" w:type="dxa"/>
          </w:tcPr>
          <w:p w14:paraId="489A59BE" w14:textId="4328839F" w:rsidR="00E011E9" w:rsidRDefault="00E011E9" w:rsidP="00E011E9">
            <w:pPr>
              <w:pStyle w:val="ParaContinue"/>
              <w:ind w:firstLine="0"/>
              <w:jc w:val="center"/>
              <w:rPr>
                <w:lang w:eastAsia="en-US"/>
              </w:rPr>
            </w:pPr>
            <w:r>
              <w:rPr>
                <w:lang w:eastAsia="en-US"/>
              </w:rPr>
              <w:t>96.6</w:t>
            </w:r>
          </w:p>
        </w:tc>
        <w:tc>
          <w:tcPr>
            <w:tcW w:w="1250" w:type="dxa"/>
          </w:tcPr>
          <w:p w14:paraId="6471A098" w14:textId="26D9F058" w:rsidR="00E011E9" w:rsidRDefault="00E011E9" w:rsidP="00E011E9">
            <w:pPr>
              <w:pStyle w:val="ParaContinue"/>
              <w:ind w:firstLine="0"/>
              <w:jc w:val="center"/>
              <w:rPr>
                <w:lang w:eastAsia="en-US"/>
              </w:rPr>
            </w:pPr>
            <w:r>
              <w:rPr>
                <w:lang w:eastAsia="en-US"/>
              </w:rPr>
              <w:t>86.5</w:t>
            </w:r>
          </w:p>
        </w:tc>
        <w:tc>
          <w:tcPr>
            <w:tcW w:w="1250" w:type="dxa"/>
          </w:tcPr>
          <w:p w14:paraId="762AC780" w14:textId="452E2C09" w:rsidR="00E011E9" w:rsidRDefault="00E011E9" w:rsidP="00E011E9">
            <w:pPr>
              <w:pStyle w:val="ParaContinue"/>
              <w:ind w:firstLine="0"/>
              <w:jc w:val="center"/>
              <w:rPr>
                <w:lang w:eastAsia="en-US"/>
              </w:rPr>
            </w:pPr>
            <w:r>
              <w:rPr>
                <w:lang w:eastAsia="en-US"/>
              </w:rPr>
              <w:t>95.0</w:t>
            </w:r>
          </w:p>
        </w:tc>
        <w:tc>
          <w:tcPr>
            <w:tcW w:w="1250" w:type="dxa"/>
          </w:tcPr>
          <w:p w14:paraId="623462FF" w14:textId="4A679CFD" w:rsidR="00E011E9" w:rsidRDefault="00E011E9" w:rsidP="00E011E9">
            <w:pPr>
              <w:pStyle w:val="ParaContinue"/>
              <w:ind w:firstLine="0"/>
              <w:jc w:val="center"/>
              <w:rPr>
                <w:lang w:eastAsia="en-US"/>
              </w:rPr>
            </w:pPr>
            <w:r>
              <w:rPr>
                <w:lang w:eastAsia="en-US"/>
              </w:rPr>
              <w:t>96.0</w:t>
            </w:r>
          </w:p>
        </w:tc>
        <w:tc>
          <w:tcPr>
            <w:tcW w:w="1250" w:type="dxa"/>
          </w:tcPr>
          <w:p w14:paraId="0EC6C740" w14:textId="6E238B9F" w:rsidR="00E011E9" w:rsidRDefault="00E011E9" w:rsidP="00E011E9">
            <w:pPr>
              <w:pStyle w:val="ParaContinue"/>
              <w:ind w:firstLine="0"/>
              <w:jc w:val="center"/>
              <w:rPr>
                <w:lang w:eastAsia="en-US"/>
              </w:rPr>
            </w:pPr>
            <w:r>
              <w:rPr>
                <w:lang w:eastAsia="en-US"/>
              </w:rPr>
              <w:t>92.6</w:t>
            </w:r>
          </w:p>
        </w:tc>
      </w:tr>
      <w:tr w:rsidR="00E011E9" w14:paraId="729DB578" w14:textId="77777777" w:rsidTr="00E011E9">
        <w:tc>
          <w:tcPr>
            <w:tcW w:w="1250" w:type="dxa"/>
          </w:tcPr>
          <w:p w14:paraId="18514EAE" w14:textId="47A94E54" w:rsidR="00E011E9" w:rsidRDefault="00E011E9" w:rsidP="00E011E9">
            <w:pPr>
              <w:pStyle w:val="ParaContinue"/>
              <w:ind w:firstLine="0"/>
              <w:jc w:val="center"/>
              <w:rPr>
                <w:lang w:eastAsia="en-US"/>
              </w:rPr>
            </w:pPr>
            <w:proofErr w:type="gramStart"/>
            <w:r>
              <w:rPr>
                <w:lang w:eastAsia="en-US"/>
              </w:rPr>
              <w:t>LSTM</w:t>
            </w:r>
            <w:r w:rsidR="008D102C">
              <w:rPr>
                <w:lang w:eastAsia="en-US"/>
              </w:rPr>
              <w:t>[</w:t>
            </w:r>
            <w:proofErr w:type="gramEnd"/>
            <w:r w:rsidR="008D102C">
              <w:rPr>
                <w:lang w:eastAsia="en-US"/>
              </w:rPr>
              <w:t>17]</w:t>
            </w:r>
          </w:p>
        </w:tc>
        <w:tc>
          <w:tcPr>
            <w:tcW w:w="1250" w:type="dxa"/>
          </w:tcPr>
          <w:p w14:paraId="02442DED" w14:textId="6EB99040" w:rsidR="00E011E9" w:rsidRDefault="00E011E9" w:rsidP="00E011E9">
            <w:pPr>
              <w:pStyle w:val="ParaContinue"/>
              <w:ind w:firstLine="0"/>
              <w:jc w:val="center"/>
              <w:rPr>
                <w:lang w:eastAsia="en-US"/>
              </w:rPr>
            </w:pPr>
            <w:r>
              <w:rPr>
                <w:lang w:eastAsia="en-US"/>
              </w:rPr>
              <w:t>41.7</w:t>
            </w:r>
          </w:p>
        </w:tc>
        <w:tc>
          <w:tcPr>
            <w:tcW w:w="1250" w:type="dxa"/>
          </w:tcPr>
          <w:p w14:paraId="0CA27FDE" w14:textId="5E8AAA81" w:rsidR="00E011E9" w:rsidRDefault="00E011E9" w:rsidP="00E011E9">
            <w:pPr>
              <w:pStyle w:val="ParaContinue"/>
              <w:ind w:firstLine="0"/>
              <w:jc w:val="center"/>
              <w:rPr>
                <w:lang w:eastAsia="en-US"/>
              </w:rPr>
            </w:pPr>
            <w:r>
              <w:rPr>
                <w:lang w:eastAsia="en-US"/>
              </w:rPr>
              <w:t>61.1</w:t>
            </w:r>
          </w:p>
        </w:tc>
        <w:tc>
          <w:tcPr>
            <w:tcW w:w="1250" w:type="dxa"/>
          </w:tcPr>
          <w:p w14:paraId="511025EA" w14:textId="5F7B919A" w:rsidR="00E011E9" w:rsidRDefault="00E011E9" w:rsidP="00E011E9">
            <w:pPr>
              <w:pStyle w:val="ParaContinue"/>
              <w:ind w:firstLine="0"/>
              <w:jc w:val="center"/>
              <w:rPr>
                <w:lang w:eastAsia="en-US"/>
              </w:rPr>
            </w:pPr>
            <w:r>
              <w:rPr>
                <w:lang w:eastAsia="en-US"/>
              </w:rPr>
              <w:t>69.8</w:t>
            </w:r>
          </w:p>
        </w:tc>
        <w:tc>
          <w:tcPr>
            <w:tcW w:w="1250" w:type="dxa"/>
          </w:tcPr>
          <w:p w14:paraId="738B70AA" w14:textId="40E1AA06" w:rsidR="00E011E9" w:rsidRDefault="00E011E9" w:rsidP="00E011E9">
            <w:pPr>
              <w:pStyle w:val="ParaContinue"/>
              <w:ind w:firstLine="0"/>
              <w:jc w:val="center"/>
              <w:rPr>
                <w:lang w:eastAsia="en-US"/>
              </w:rPr>
            </w:pPr>
            <w:r>
              <w:rPr>
                <w:lang w:eastAsia="en-US"/>
              </w:rPr>
              <w:t>36.8</w:t>
            </w:r>
          </w:p>
        </w:tc>
        <w:tc>
          <w:tcPr>
            <w:tcW w:w="1250" w:type="dxa"/>
          </w:tcPr>
          <w:p w14:paraId="476E258A" w14:textId="626D6191" w:rsidR="00E011E9" w:rsidRDefault="00E011E9" w:rsidP="00E011E9">
            <w:pPr>
              <w:pStyle w:val="ParaContinue"/>
              <w:ind w:firstLine="0"/>
              <w:jc w:val="center"/>
              <w:rPr>
                <w:lang w:eastAsia="en-US"/>
              </w:rPr>
            </w:pPr>
            <w:r>
              <w:rPr>
                <w:lang w:eastAsia="en-US"/>
              </w:rPr>
              <w:t>51.8</w:t>
            </w:r>
          </w:p>
        </w:tc>
        <w:tc>
          <w:tcPr>
            <w:tcW w:w="1250" w:type="dxa"/>
          </w:tcPr>
          <w:p w14:paraId="67A2FBAB" w14:textId="31C735B0" w:rsidR="00E011E9" w:rsidRDefault="00E011E9" w:rsidP="00E011E9">
            <w:pPr>
              <w:pStyle w:val="ParaContinue"/>
              <w:ind w:firstLine="0"/>
              <w:jc w:val="center"/>
              <w:rPr>
                <w:lang w:eastAsia="en-US"/>
              </w:rPr>
            </w:pPr>
            <w:r>
              <w:rPr>
                <w:lang w:eastAsia="en-US"/>
              </w:rPr>
              <w:t>46.8</w:t>
            </w:r>
          </w:p>
        </w:tc>
      </w:tr>
      <w:tr w:rsidR="00E011E9" w14:paraId="70F63F86" w14:textId="77777777" w:rsidTr="00E011E9">
        <w:tc>
          <w:tcPr>
            <w:tcW w:w="1250" w:type="dxa"/>
          </w:tcPr>
          <w:p w14:paraId="2747C172" w14:textId="65C47287" w:rsidR="00E011E9" w:rsidRDefault="00E011E9" w:rsidP="00E011E9">
            <w:pPr>
              <w:pStyle w:val="ParaContinue"/>
              <w:ind w:firstLine="0"/>
              <w:jc w:val="center"/>
              <w:rPr>
                <w:lang w:eastAsia="en-US"/>
              </w:rPr>
            </w:pPr>
            <w:proofErr w:type="gramStart"/>
            <w:r>
              <w:rPr>
                <w:lang w:eastAsia="en-US"/>
              </w:rPr>
              <w:t>MAC</w:t>
            </w:r>
            <w:r w:rsidR="008D102C">
              <w:rPr>
                <w:lang w:eastAsia="en-US"/>
              </w:rPr>
              <w:t>[</w:t>
            </w:r>
            <w:proofErr w:type="gramEnd"/>
            <w:r w:rsidR="008D102C">
              <w:rPr>
                <w:lang w:eastAsia="en-US"/>
              </w:rPr>
              <w:t>18]</w:t>
            </w:r>
          </w:p>
        </w:tc>
        <w:tc>
          <w:tcPr>
            <w:tcW w:w="1250" w:type="dxa"/>
          </w:tcPr>
          <w:p w14:paraId="06D4E7D7" w14:textId="3B52A816" w:rsidR="00E011E9" w:rsidRDefault="00E011E9" w:rsidP="00E011E9">
            <w:pPr>
              <w:pStyle w:val="ParaContinue"/>
              <w:ind w:firstLine="0"/>
              <w:jc w:val="center"/>
              <w:rPr>
                <w:lang w:eastAsia="en-US"/>
              </w:rPr>
            </w:pPr>
            <w:r>
              <w:rPr>
                <w:lang w:eastAsia="en-US"/>
              </w:rPr>
              <w:t>97.1</w:t>
            </w:r>
          </w:p>
        </w:tc>
        <w:tc>
          <w:tcPr>
            <w:tcW w:w="1250" w:type="dxa"/>
          </w:tcPr>
          <w:p w14:paraId="30CEEA24" w14:textId="3D2F8EBC" w:rsidR="00E011E9" w:rsidRDefault="00E011E9" w:rsidP="00E011E9">
            <w:pPr>
              <w:pStyle w:val="ParaContinue"/>
              <w:ind w:firstLine="0"/>
              <w:jc w:val="center"/>
              <w:rPr>
                <w:lang w:eastAsia="en-US"/>
              </w:rPr>
            </w:pPr>
            <w:r>
              <w:rPr>
                <w:lang w:eastAsia="en-US"/>
              </w:rPr>
              <w:t>99.1</w:t>
            </w:r>
          </w:p>
        </w:tc>
        <w:tc>
          <w:tcPr>
            <w:tcW w:w="1250" w:type="dxa"/>
          </w:tcPr>
          <w:p w14:paraId="0CF9220D" w14:textId="483E8E67" w:rsidR="00E011E9" w:rsidRDefault="00E011E9" w:rsidP="00E011E9">
            <w:pPr>
              <w:pStyle w:val="ParaContinue"/>
              <w:ind w:firstLine="0"/>
              <w:jc w:val="center"/>
              <w:rPr>
                <w:lang w:eastAsia="en-US"/>
              </w:rPr>
            </w:pPr>
            <w:r>
              <w:rPr>
                <w:lang w:eastAsia="en-US"/>
              </w:rPr>
              <w:t>99.5</w:t>
            </w:r>
          </w:p>
        </w:tc>
        <w:tc>
          <w:tcPr>
            <w:tcW w:w="1250" w:type="dxa"/>
          </w:tcPr>
          <w:p w14:paraId="4C9BFE53" w14:textId="415A9E32" w:rsidR="00E011E9" w:rsidRDefault="00E011E9" w:rsidP="00E011E9">
            <w:pPr>
              <w:pStyle w:val="ParaContinue"/>
              <w:ind w:firstLine="0"/>
              <w:jc w:val="center"/>
              <w:rPr>
                <w:lang w:eastAsia="en-US"/>
              </w:rPr>
            </w:pPr>
            <w:r>
              <w:rPr>
                <w:lang w:eastAsia="en-US"/>
              </w:rPr>
              <w:t>99.5</w:t>
            </w:r>
          </w:p>
        </w:tc>
        <w:tc>
          <w:tcPr>
            <w:tcW w:w="1250" w:type="dxa"/>
          </w:tcPr>
          <w:p w14:paraId="1778996F" w14:textId="4B45579C" w:rsidR="00E011E9" w:rsidRDefault="00E011E9" w:rsidP="00E011E9">
            <w:pPr>
              <w:pStyle w:val="ParaContinue"/>
              <w:ind w:firstLine="0"/>
              <w:jc w:val="center"/>
              <w:rPr>
                <w:lang w:eastAsia="en-US"/>
              </w:rPr>
            </w:pPr>
            <w:r>
              <w:rPr>
                <w:lang w:eastAsia="en-US"/>
              </w:rPr>
              <w:t>99.5</w:t>
            </w:r>
          </w:p>
        </w:tc>
        <w:tc>
          <w:tcPr>
            <w:tcW w:w="1250" w:type="dxa"/>
          </w:tcPr>
          <w:p w14:paraId="08A304A7" w14:textId="3BCAAE2F" w:rsidR="00E011E9" w:rsidRDefault="00E011E9" w:rsidP="00E011E9">
            <w:pPr>
              <w:pStyle w:val="ParaContinue"/>
              <w:ind w:firstLine="0"/>
              <w:jc w:val="center"/>
              <w:rPr>
                <w:lang w:eastAsia="en-US"/>
              </w:rPr>
            </w:pPr>
            <w:r>
              <w:rPr>
                <w:lang w:eastAsia="en-US"/>
              </w:rPr>
              <w:t>98.9</w:t>
            </w:r>
          </w:p>
        </w:tc>
      </w:tr>
      <w:tr w:rsidR="00E011E9" w14:paraId="4003C319" w14:textId="77777777" w:rsidTr="00E011E9">
        <w:tc>
          <w:tcPr>
            <w:tcW w:w="1250" w:type="dxa"/>
          </w:tcPr>
          <w:p w14:paraId="31EFF51C" w14:textId="2599DB5B" w:rsidR="00E011E9" w:rsidRPr="00E011E9" w:rsidRDefault="00E011E9" w:rsidP="00E011E9">
            <w:pPr>
              <w:pStyle w:val="ParaContinue"/>
              <w:ind w:firstLine="0"/>
              <w:jc w:val="center"/>
              <w:rPr>
                <w:b/>
                <w:bCs/>
                <w:lang w:eastAsia="en-US"/>
              </w:rPr>
            </w:pPr>
            <w:r w:rsidRPr="00E011E9">
              <w:rPr>
                <w:b/>
                <w:bCs/>
                <w:lang w:eastAsia="en-US"/>
              </w:rPr>
              <w:t>Our Model</w:t>
            </w:r>
          </w:p>
        </w:tc>
        <w:tc>
          <w:tcPr>
            <w:tcW w:w="1250" w:type="dxa"/>
          </w:tcPr>
          <w:p w14:paraId="5D9B0FB5" w14:textId="71D97762" w:rsidR="00E011E9" w:rsidRDefault="00E011E9" w:rsidP="00E011E9">
            <w:pPr>
              <w:pStyle w:val="ParaContinue"/>
              <w:ind w:firstLine="0"/>
              <w:jc w:val="center"/>
              <w:rPr>
                <w:lang w:eastAsia="en-US"/>
              </w:rPr>
            </w:pPr>
            <w:r>
              <w:rPr>
                <w:lang w:eastAsia="en-US"/>
              </w:rPr>
              <w:t>95.5</w:t>
            </w:r>
          </w:p>
        </w:tc>
        <w:tc>
          <w:tcPr>
            <w:tcW w:w="1250" w:type="dxa"/>
          </w:tcPr>
          <w:p w14:paraId="20B6791C" w14:textId="629211D3" w:rsidR="00E011E9" w:rsidRDefault="00E011E9" w:rsidP="00E011E9">
            <w:pPr>
              <w:pStyle w:val="ParaContinue"/>
              <w:ind w:firstLine="0"/>
              <w:jc w:val="center"/>
              <w:rPr>
                <w:lang w:eastAsia="en-US"/>
              </w:rPr>
            </w:pPr>
            <w:r>
              <w:rPr>
                <w:lang w:eastAsia="en-US"/>
              </w:rPr>
              <w:t>98.3</w:t>
            </w:r>
          </w:p>
        </w:tc>
        <w:tc>
          <w:tcPr>
            <w:tcW w:w="1250" w:type="dxa"/>
          </w:tcPr>
          <w:p w14:paraId="1350DF4C" w14:textId="43B1AF3B" w:rsidR="00E011E9" w:rsidRDefault="00E011E9" w:rsidP="00E011E9">
            <w:pPr>
              <w:pStyle w:val="ParaContinue"/>
              <w:ind w:firstLine="0"/>
              <w:jc w:val="center"/>
              <w:rPr>
                <w:lang w:eastAsia="en-US"/>
              </w:rPr>
            </w:pPr>
            <w:r>
              <w:rPr>
                <w:lang w:eastAsia="en-US"/>
              </w:rPr>
              <w:t>99.1</w:t>
            </w:r>
          </w:p>
        </w:tc>
        <w:tc>
          <w:tcPr>
            <w:tcW w:w="1250" w:type="dxa"/>
          </w:tcPr>
          <w:p w14:paraId="20931BF6" w14:textId="108BAD78" w:rsidR="00E011E9" w:rsidRDefault="00E011E9" w:rsidP="00E011E9">
            <w:pPr>
              <w:pStyle w:val="ParaContinue"/>
              <w:ind w:firstLine="0"/>
              <w:jc w:val="center"/>
              <w:rPr>
                <w:lang w:eastAsia="en-US"/>
              </w:rPr>
            </w:pPr>
            <w:r>
              <w:rPr>
                <w:lang w:eastAsia="en-US"/>
              </w:rPr>
              <w:t>99.5</w:t>
            </w:r>
          </w:p>
        </w:tc>
        <w:tc>
          <w:tcPr>
            <w:tcW w:w="1250" w:type="dxa"/>
          </w:tcPr>
          <w:p w14:paraId="46A46C6E" w14:textId="7945CEAD" w:rsidR="00E011E9" w:rsidRDefault="00E011E9" w:rsidP="00E011E9">
            <w:pPr>
              <w:pStyle w:val="ParaContinue"/>
              <w:ind w:firstLine="0"/>
              <w:jc w:val="center"/>
              <w:rPr>
                <w:lang w:eastAsia="en-US"/>
              </w:rPr>
            </w:pPr>
            <w:r>
              <w:rPr>
                <w:lang w:eastAsia="en-US"/>
              </w:rPr>
              <w:t>99.0</w:t>
            </w:r>
          </w:p>
        </w:tc>
        <w:tc>
          <w:tcPr>
            <w:tcW w:w="1250" w:type="dxa"/>
          </w:tcPr>
          <w:p w14:paraId="2CE09D6A" w14:textId="2BF9BEC6" w:rsidR="00E011E9" w:rsidRDefault="00E011E9" w:rsidP="00E011E9">
            <w:pPr>
              <w:pStyle w:val="ParaContinue"/>
              <w:keepNext/>
              <w:ind w:firstLine="0"/>
              <w:jc w:val="center"/>
              <w:rPr>
                <w:lang w:eastAsia="en-US"/>
              </w:rPr>
            </w:pPr>
            <w:r>
              <w:rPr>
                <w:lang w:eastAsia="en-US"/>
              </w:rPr>
              <w:t>98.3</w:t>
            </w:r>
          </w:p>
        </w:tc>
      </w:tr>
    </w:tbl>
    <w:p w14:paraId="276BE6AC" w14:textId="65C37EEA" w:rsidR="00110127" w:rsidRDefault="00E011E9" w:rsidP="00E011E9">
      <w:pPr>
        <w:pStyle w:val="aa"/>
        <w:jc w:val="center"/>
      </w:pPr>
      <w:r>
        <w:t xml:space="preserve">Table 1 </w:t>
      </w:r>
      <w:r w:rsidRPr="00BD1442">
        <w:t>Results of CLEVER dataset</w:t>
      </w:r>
    </w:p>
    <w:p w14:paraId="682531D1" w14:textId="4A9E7DE0" w:rsidR="00110127" w:rsidRDefault="00E011E9" w:rsidP="00E011E9">
      <w:pPr>
        <w:pStyle w:val="Head2"/>
      </w:pPr>
      <w:r>
        <w:t>Our own dataset</w:t>
      </w:r>
    </w:p>
    <w:p w14:paraId="3D4FD7BC" w14:textId="250A3077" w:rsidR="00E011E9" w:rsidRDefault="00E011E9" w:rsidP="00E011E9">
      <w:pPr>
        <w:pStyle w:val="Para"/>
      </w:pPr>
      <w:bookmarkStart w:id="0" w:name="_Hlk118935935"/>
      <w:r>
        <w:rPr>
          <w:lang w:eastAsia="en-US"/>
        </w:rPr>
        <w:t xml:space="preserve">Inspired on the GQA dataset [6], I generated a mini VQA dataset </w:t>
      </w:r>
      <w:r w:rsidR="00B72501">
        <w:rPr>
          <w:lang w:eastAsia="en-US"/>
        </w:rPr>
        <w:t xml:space="preserve">to test a wide range of visual reasoning </w:t>
      </w:r>
      <w:proofErr w:type="gramStart"/>
      <w:r w:rsidR="00B72501">
        <w:rPr>
          <w:lang w:eastAsia="en-US"/>
        </w:rPr>
        <w:t xml:space="preserve">abilities </w:t>
      </w:r>
      <w:r w:rsidR="00B72501">
        <w:t>,</w:t>
      </w:r>
      <w:proofErr w:type="gramEnd"/>
      <w:r w:rsidR="00B72501">
        <w:t xml:space="preserve"> such as object and attribute recognition, transitive relation tracking, spatial reasoning, logical inference and comparisons.</w:t>
      </w:r>
      <w:r w:rsidR="00B72501">
        <w:t xml:space="preserve"> The dataset consists of 30 real-world images downloaded from website. </w:t>
      </w:r>
      <w:r w:rsidR="00B72501">
        <w:t xml:space="preserve">Each image is provided with a scene graph that describe the object’s attribute, </w:t>
      </w:r>
      <w:bookmarkEnd w:id="0"/>
      <w:r w:rsidR="00B72501">
        <w:t>location and relations, and each question is associated with a functional program that represents its semantics.</w:t>
      </w:r>
    </w:p>
    <w:p w14:paraId="12F20AEB" w14:textId="72730E68" w:rsidR="00B72501" w:rsidRDefault="00B72501" w:rsidP="00B72501">
      <w:pPr>
        <w:pStyle w:val="ParaContinue"/>
      </w:pPr>
      <w:r>
        <w:t xml:space="preserve">In addition to the standard accuracy metric, five new evaluation metrics are introduced as part of the dataset: consistency, validity, plausibility, </w:t>
      </w:r>
      <w:proofErr w:type="gramStart"/>
      <w:r>
        <w:t>grounding</w:t>
      </w:r>
      <w:proofErr w:type="gramEnd"/>
      <w:r>
        <w:t xml:space="preserve"> and distribution. Consistency metric measures responses consistency across different questions using entailment relations between questions (</w:t>
      </w:r>
      <w:proofErr w:type="gramStart"/>
      <w:r>
        <w:t>e.g.</w:t>
      </w:r>
      <w:proofErr w:type="gramEnd"/>
      <w:r>
        <w:t xml:space="preserve"> the model should not respond red to a new question about an apple it has just identified as green). Validity metric evaluates whether the model gives valid answer (</w:t>
      </w:r>
      <w:proofErr w:type="gramStart"/>
      <w:r>
        <w:t>e.g.</w:t>
      </w:r>
      <w:proofErr w:type="gramEnd"/>
      <w:r>
        <w:t xml:space="preserve"> respond with </w:t>
      </w:r>
      <w:proofErr w:type="spellStart"/>
      <w:r>
        <w:t>colour</w:t>
      </w:r>
      <w:proofErr w:type="spellEnd"/>
      <w:r>
        <w:t xml:space="preserve"> to a </w:t>
      </w:r>
      <w:proofErr w:type="spellStart"/>
      <w:r>
        <w:t>colour</w:t>
      </w:r>
      <w:proofErr w:type="spellEnd"/>
      <w:r>
        <w:t xml:space="preserve"> question or yes/no to a binary question). Plausibility metric checks whether the answer is reasonable in the real world (</w:t>
      </w:r>
      <w:proofErr w:type="gramStart"/>
      <w:r>
        <w:t>e.g.</w:t>
      </w:r>
      <w:proofErr w:type="gramEnd"/>
      <w:r>
        <w:t xml:space="preserve"> red and green is considered as plausible apple </w:t>
      </w:r>
      <w:proofErr w:type="spellStart"/>
      <w:r>
        <w:t>colours</w:t>
      </w:r>
      <w:proofErr w:type="spellEnd"/>
      <w:r>
        <w:t xml:space="preserve">, while purple is not). Grounding metric measures whether the model attends to regions within the image that are relevant to the question (for </w:t>
      </w:r>
      <w:proofErr w:type="gramStart"/>
      <w:r>
        <w:t>attention based</w:t>
      </w:r>
      <w:proofErr w:type="gramEnd"/>
      <w:r>
        <w:t xml:space="preserve"> model only). Finally, distribution metric measures the overall match between the model predicted distribution and the true answer distribution (lower is better), which reveals if the model can correctly predict answers which occur less frequently.</w:t>
      </w:r>
    </w:p>
    <w:p w14:paraId="42FCAE28" w14:textId="77777777" w:rsidR="00B72501" w:rsidRDefault="00B72501" w:rsidP="00B72501">
      <w:pPr>
        <w:pStyle w:val="ParaContinue"/>
      </w:pPr>
    </w:p>
    <w:p w14:paraId="4A7E7252" w14:textId="77777777" w:rsidR="00B72501" w:rsidRDefault="00B72501" w:rsidP="00B72501">
      <w:pPr>
        <w:pStyle w:val="ParaContinue"/>
        <w:keepNext/>
        <w:jc w:val="center"/>
      </w:pPr>
    </w:p>
    <w:p w14:paraId="1229BF57" w14:textId="77777777" w:rsidR="00B72501" w:rsidRDefault="00B72501" w:rsidP="00B72501">
      <w:pPr>
        <w:pStyle w:val="ParaContinue"/>
        <w:keepNext/>
        <w:jc w:val="center"/>
      </w:pPr>
    </w:p>
    <w:p w14:paraId="055623D9" w14:textId="639C82C1" w:rsidR="00B72501" w:rsidRDefault="00B72501" w:rsidP="00B72501">
      <w:pPr>
        <w:pStyle w:val="ParaContinue"/>
        <w:keepNext/>
        <w:jc w:val="center"/>
      </w:pPr>
      <w:r w:rsidRPr="00B72501">
        <w:rPr>
          <w:noProof/>
          <w:lang w:eastAsia="en-US"/>
        </w:rPr>
        <w:drawing>
          <wp:inline distT="0" distB="0" distL="0" distR="0" wp14:anchorId="3C592CB8" wp14:editId="441560D1">
            <wp:extent cx="2135875" cy="1821301"/>
            <wp:effectExtent l="0" t="0" r="0" b="7620"/>
            <wp:docPr id="12" name="图片 12" descr="不同类型的水果&#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不同类型的水果&#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4231" cy="1828427"/>
                    </a:xfrm>
                    <a:prstGeom prst="rect">
                      <a:avLst/>
                    </a:prstGeom>
                    <a:noFill/>
                    <a:ln>
                      <a:noFill/>
                    </a:ln>
                  </pic:spPr>
                </pic:pic>
              </a:graphicData>
            </a:graphic>
          </wp:inline>
        </w:drawing>
      </w:r>
    </w:p>
    <w:p w14:paraId="065119BC" w14:textId="77777777" w:rsidR="00B72501" w:rsidRDefault="00B72501" w:rsidP="00B72501">
      <w:pPr>
        <w:pStyle w:val="ParaContinue"/>
        <w:keepNext/>
        <w:jc w:val="center"/>
      </w:pPr>
    </w:p>
    <w:p w14:paraId="27D99FC9" w14:textId="5F203A8D" w:rsidR="00B72501" w:rsidRPr="00B72501" w:rsidRDefault="00B72501" w:rsidP="00B72501">
      <w:pPr>
        <w:pStyle w:val="aa"/>
        <w:jc w:val="center"/>
      </w:pPr>
      <w:r>
        <w:t xml:space="preserve">Figure </w:t>
      </w:r>
      <w:r>
        <w:fldChar w:fldCharType="begin"/>
      </w:r>
      <w:r>
        <w:instrText xml:space="preserve"> SEQ Figure \* ARABIC </w:instrText>
      </w:r>
      <w:r>
        <w:fldChar w:fldCharType="separate"/>
      </w:r>
      <w:r>
        <w:rPr>
          <w:noProof/>
        </w:rPr>
        <w:t>4</w:t>
      </w:r>
      <w:r>
        <w:fldChar w:fldCharType="end"/>
      </w:r>
      <w:r>
        <w:t xml:space="preserve"> Example of our dataset</w:t>
      </w:r>
    </w:p>
    <w:tbl>
      <w:tblPr>
        <w:tblStyle w:val="a9"/>
        <w:tblpPr w:leftFromText="180" w:rightFromText="180" w:horzAnchor="margin" w:tblpY="527"/>
        <w:tblW w:w="0" w:type="auto"/>
        <w:tblLook w:val="04A0" w:firstRow="1" w:lastRow="0" w:firstColumn="1" w:lastColumn="0" w:noHBand="0" w:noVBand="1"/>
      </w:tblPr>
      <w:tblGrid>
        <w:gridCol w:w="1250"/>
        <w:gridCol w:w="1250"/>
        <w:gridCol w:w="1250"/>
        <w:gridCol w:w="1250"/>
        <w:gridCol w:w="1250"/>
        <w:gridCol w:w="1250"/>
        <w:gridCol w:w="1250"/>
      </w:tblGrid>
      <w:tr w:rsidR="00B72501" w14:paraId="214DBEFB" w14:textId="77777777" w:rsidTr="00B72501">
        <w:tc>
          <w:tcPr>
            <w:tcW w:w="1250" w:type="dxa"/>
          </w:tcPr>
          <w:p w14:paraId="41BACA04" w14:textId="1569CDA5" w:rsidR="00B72501" w:rsidRDefault="00B72501" w:rsidP="00B72501">
            <w:pPr>
              <w:pStyle w:val="ParaContinue"/>
              <w:ind w:firstLine="0"/>
              <w:jc w:val="center"/>
              <w:rPr>
                <w:lang w:eastAsia="en-US"/>
              </w:rPr>
            </w:pPr>
            <w:r>
              <w:rPr>
                <w:lang w:eastAsia="en-US"/>
              </w:rPr>
              <w:lastRenderedPageBreak/>
              <w:t>Model</w:t>
            </w:r>
          </w:p>
        </w:tc>
        <w:tc>
          <w:tcPr>
            <w:tcW w:w="1250" w:type="dxa"/>
          </w:tcPr>
          <w:p w14:paraId="35E4CEB3" w14:textId="77777777" w:rsidR="00B72501" w:rsidRDefault="00B72501" w:rsidP="00B72501">
            <w:pPr>
              <w:pStyle w:val="ParaContinue"/>
              <w:ind w:firstLine="0"/>
              <w:jc w:val="center"/>
              <w:rPr>
                <w:lang w:eastAsia="en-US"/>
              </w:rPr>
            </w:pPr>
            <w:r>
              <w:rPr>
                <w:lang w:eastAsia="en-US"/>
              </w:rPr>
              <w:t>Count</w:t>
            </w:r>
          </w:p>
        </w:tc>
        <w:tc>
          <w:tcPr>
            <w:tcW w:w="1250" w:type="dxa"/>
          </w:tcPr>
          <w:p w14:paraId="25DA7B4D" w14:textId="77777777" w:rsidR="00B72501" w:rsidRDefault="00B72501" w:rsidP="00B72501">
            <w:pPr>
              <w:pStyle w:val="ParaContinue"/>
              <w:ind w:firstLine="0"/>
              <w:jc w:val="center"/>
              <w:rPr>
                <w:lang w:eastAsia="en-US"/>
              </w:rPr>
            </w:pPr>
            <w:r>
              <w:rPr>
                <w:lang w:eastAsia="en-US"/>
              </w:rPr>
              <w:t>Compare Numbers</w:t>
            </w:r>
          </w:p>
        </w:tc>
        <w:tc>
          <w:tcPr>
            <w:tcW w:w="1250" w:type="dxa"/>
          </w:tcPr>
          <w:p w14:paraId="49B8FD62" w14:textId="77777777" w:rsidR="00B72501" w:rsidRDefault="00B72501" w:rsidP="00B72501">
            <w:pPr>
              <w:pStyle w:val="ParaContinue"/>
              <w:ind w:firstLine="0"/>
              <w:jc w:val="center"/>
              <w:rPr>
                <w:lang w:eastAsia="en-US"/>
              </w:rPr>
            </w:pPr>
            <w:r>
              <w:rPr>
                <w:lang w:eastAsia="en-US"/>
              </w:rPr>
              <w:t>Exist</w:t>
            </w:r>
          </w:p>
        </w:tc>
        <w:tc>
          <w:tcPr>
            <w:tcW w:w="1250" w:type="dxa"/>
          </w:tcPr>
          <w:p w14:paraId="58DD6C38" w14:textId="77777777" w:rsidR="00B72501" w:rsidRDefault="00B72501" w:rsidP="00B72501">
            <w:pPr>
              <w:pStyle w:val="ParaContinue"/>
              <w:ind w:firstLine="0"/>
              <w:jc w:val="center"/>
              <w:rPr>
                <w:lang w:eastAsia="en-US"/>
              </w:rPr>
            </w:pPr>
            <w:r>
              <w:rPr>
                <w:lang w:eastAsia="en-US"/>
              </w:rPr>
              <w:t>Query Attribute</w:t>
            </w:r>
          </w:p>
        </w:tc>
        <w:tc>
          <w:tcPr>
            <w:tcW w:w="1250" w:type="dxa"/>
          </w:tcPr>
          <w:p w14:paraId="418D9575" w14:textId="77777777" w:rsidR="00B72501" w:rsidRDefault="00B72501" w:rsidP="00B72501">
            <w:pPr>
              <w:pStyle w:val="ParaContinue"/>
              <w:ind w:firstLine="0"/>
              <w:jc w:val="center"/>
              <w:rPr>
                <w:lang w:eastAsia="en-US"/>
              </w:rPr>
            </w:pPr>
            <w:r>
              <w:rPr>
                <w:lang w:eastAsia="en-US"/>
              </w:rPr>
              <w:t>Compare Attribute</w:t>
            </w:r>
          </w:p>
        </w:tc>
        <w:tc>
          <w:tcPr>
            <w:tcW w:w="1250" w:type="dxa"/>
          </w:tcPr>
          <w:p w14:paraId="6FAB7FAB" w14:textId="77777777" w:rsidR="00B72501" w:rsidRDefault="00B72501" w:rsidP="00B72501">
            <w:pPr>
              <w:pStyle w:val="ParaContinue"/>
              <w:ind w:firstLine="0"/>
              <w:jc w:val="center"/>
              <w:rPr>
                <w:lang w:eastAsia="en-US"/>
              </w:rPr>
            </w:pPr>
            <w:r>
              <w:rPr>
                <w:lang w:eastAsia="en-US"/>
              </w:rPr>
              <w:t>Overall</w:t>
            </w:r>
          </w:p>
        </w:tc>
      </w:tr>
      <w:tr w:rsidR="00B72501" w14:paraId="25E5AA2A" w14:textId="77777777" w:rsidTr="00B72501">
        <w:tc>
          <w:tcPr>
            <w:tcW w:w="1250" w:type="dxa"/>
          </w:tcPr>
          <w:p w14:paraId="3EA46067" w14:textId="428E4B96" w:rsidR="00B72501" w:rsidRDefault="00B72501" w:rsidP="00B72501">
            <w:pPr>
              <w:pStyle w:val="ParaContinue"/>
              <w:ind w:firstLine="0"/>
              <w:jc w:val="center"/>
              <w:rPr>
                <w:lang w:eastAsia="en-US"/>
              </w:rPr>
            </w:pPr>
            <w:proofErr w:type="gramStart"/>
            <w:r>
              <w:rPr>
                <w:lang w:eastAsia="en-US"/>
              </w:rPr>
              <w:t>Human</w:t>
            </w:r>
            <w:r w:rsidR="008D102C">
              <w:rPr>
                <w:lang w:eastAsia="en-US"/>
              </w:rPr>
              <w:t>[</w:t>
            </w:r>
            <w:proofErr w:type="gramEnd"/>
            <w:r w:rsidR="008D102C">
              <w:rPr>
                <w:lang w:eastAsia="en-US"/>
              </w:rPr>
              <w:t>16]</w:t>
            </w:r>
          </w:p>
        </w:tc>
        <w:tc>
          <w:tcPr>
            <w:tcW w:w="1250" w:type="dxa"/>
          </w:tcPr>
          <w:p w14:paraId="43131241" w14:textId="77777777" w:rsidR="00B72501" w:rsidRDefault="00B72501" w:rsidP="00B72501">
            <w:pPr>
              <w:pStyle w:val="ParaContinue"/>
              <w:ind w:firstLine="0"/>
              <w:jc w:val="center"/>
              <w:rPr>
                <w:lang w:eastAsia="en-US"/>
              </w:rPr>
            </w:pPr>
            <w:r>
              <w:rPr>
                <w:lang w:eastAsia="en-US"/>
              </w:rPr>
              <w:t>86.7</w:t>
            </w:r>
          </w:p>
        </w:tc>
        <w:tc>
          <w:tcPr>
            <w:tcW w:w="1250" w:type="dxa"/>
          </w:tcPr>
          <w:p w14:paraId="4DB0225A" w14:textId="77777777" w:rsidR="00B72501" w:rsidRDefault="00B72501" w:rsidP="00B72501">
            <w:pPr>
              <w:pStyle w:val="ParaContinue"/>
              <w:ind w:firstLine="0"/>
              <w:jc w:val="center"/>
              <w:rPr>
                <w:lang w:eastAsia="en-US"/>
              </w:rPr>
            </w:pPr>
            <w:r>
              <w:rPr>
                <w:lang w:eastAsia="en-US"/>
              </w:rPr>
              <w:t>96.6</w:t>
            </w:r>
          </w:p>
        </w:tc>
        <w:tc>
          <w:tcPr>
            <w:tcW w:w="1250" w:type="dxa"/>
          </w:tcPr>
          <w:p w14:paraId="7922AF42" w14:textId="77777777" w:rsidR="00B72501" w:rsidRDefault="00B72501" w:rsidP="00B72501">
            <w:pPr>
              <w:pStyle w:val="ParaContinue"/>
              <w:ind w:firstLine="0"/>
              <w:jc w:val="center"/>
              <w:rPr>
                <w:lang w:eastAsia="en-US"/>
              </w:rPr>
            </w:pPr>
            <w:r>
              <w:rPr>
                <w:lang w:eastAsia="en-US"/>
              </w:rPr>
              <w:t>86.5</w:t>
            </w:r>
          </w:p>
        </w:tc>
        <w:tc>
          <w:tcPr>
            <w:tcW w:w="1250" w:type="dxa"/>
          </w:tcPr>
          <w:p w14:paraId="42AA6BA4" w14:textId="77777777" w:rsidR="00B72501" w:rsidRDefault="00B72501" w:rsidP="00B72501">
            <w:pPr>
              <w:pStyle w:val="ParaContinue"/>
              <w:ind w:firstLine="0"/>
              <w:jc w:val="center"/>
              <w:rPr>
                <w:lang w:eastAsia="en-US"/>
              </w:rPr>
            </w:pPr>
            <w:r>
              <w:rPr>
                <w:lang w:eastAsia="en-US"/>
              </w:rPr>
              <w:t>95.0</w:t>
            </w:r>
          </w:p>
        </w:tc>
        <w:tc>
          <w:tcPr>
            <w:tcW w:w="1250" w:type="dxa"/>
          </w:tcPr>
          <w:p w14:paraId="1EF04560" w14:textId="77777777" w:rsidR="00B72501" w:rsidRDefault="00B72501" w:rsidP="00B72501">
            <w:pPr>
              <w:pStyle w:val="ParaContinue"/>
              <w:ind w:firstLine="0"/>
              <w:jc w:val="center"/>
              <w:rPr>
                <w:lang w:eastAsia="en-US"/>
              </w:rPr>
            </w:pPr>
            <w:r>
              <w:rPr>
                <w:lang w:eastAsia="en-US"/>
              </w:rPr>
              <w:t>96.0</w:t>
            </w:r>
          </w:p>
        </w:tc>
        <w:tc>
          <w:tcPr>
            <w:tcW w:w="1250" w:type="dxa"/>
          </w:tcPr>
          <w:p w14:paraId="02A242B4" w14:textId="77777777" w:rsidR="00B72501" w:rsidRDefault="00B72501" w:rsidP="00B72501">
            <w:pPr>
              <w:pStyle w:val="ParaContinue"/>
              <w:ind w:firstLine="0"/>
              <w:jc w:val="center"/>
              <w:rPr>
                <w:lang w:eastAsia="en-US"/>
              </w:rPr>
            </w:pPr>
            <w:r>
              <w:rPr>
                <w:lang w:eastAsia="en-US"/>
              </w:rPr>
              <w:t>92.6</w:t>
            </w:r>
          </w:p>
        </w:tc>
      </w:tr>
      <w:tr w:rsidR="00B72501" w14:paraId="1A799FB8" w14:textId="77777777" w:rsidTr="00B72501">
        <w:tc>
          <w:tcPr>
            <w:tcW w:w="1250" w:type="dxa"/>
          </w:tcPr>
          <w:p w14:paraId="76BDDEA1" w14:textId="033DB5AF" w:rsidR="00B72501" w:rsidRDefault="00B72501" w:rsidP="00B72501">
            <w:pPr>
              <w:pStyle w:val="ParaContinue"/>
              <w:ind w:firstLine="0"/>
              <w:jc w:val="center"/>
              <w:rPr>
                <w:lang w:eastAsia="en-US"/>
              </w:rPr>
            </w:pPr>
            <w:proofErr w:type="gramStart"/>
            <w:r>
              <w:rPr>
                <w:lang w:eastAsia="en-US"/>
              </w:rPr>
              <w:t>LSTM</w:t>
            </w:r>
            <w:r w:rsidR="008D102C">
              <w:rPr>
                <w:lang w:eastAsia="en-US"/>
              </w:rPr>
              <w:t>[</w:t>
            </w:r>
            <w:proofErr w:type="gramEnd"/>
            <w:r w:rsidR="008D102C">
              <w:rPr>
                <w:lang w:eastAsia="en-US"/>
              </w:rPr>
              <w:t>17]</w:t>
            </w:r>
          </w:p>
        </w:tc>
        <w:tc>
          <w:tcPr>
            <w:tcW w:w="1250" w:type="dxa"/>
          </w:tcPr>
          <w:p w14:paraId="6D12C15E" w14:textId="77777777" w:rsidR="00B72501" w:rsidRDefault="00B72501" w:rsidP="00B72501">
            <w:pPr>
              <w:pStyle w:val="ParaContinue"/>
              <w:ind w:firstLine="0"/>
              <w:jc w:val="center"/>
              <w:rPr>
                <w:lang w:eastAsia="en-US"/>
              </w:rPr>
            </w:pPr>
            <w:r>
              <w:rPr>
                <w:lang w:eastAsia="en-US"/>
              </w:rPr>
              <w:t>41.7</w:t>
            </w:r>
          </w:p>
        </w:tc>
        <w:tc>
          <w:tcPr>
            <w:tcW w:w="1250" w:type="dxa"/>
          </w:tcPr>
          <w:p w14:paraId="03912F29" w14:textId="77777777" w:rsidR="00B72501" w:rsidRDefault="00B72501" w:rsidP="00B72501">
            <w:pPr>
              <w:pStyle w:val="ParaContinue"/>
              <w:ind w:firstLine="0"/>
              <w:jc w:val="center"/>
              <w:rPr>
                <w:lang w:eastAsia="en-US"/>
              </w:rPr>
            </w:pPr>
            <w:r>
              <w:rPr>
                <w:lang w:eastAsia="en-US"/>
              </w:rPr>
              <w:t>61.1</w:t>
            </w:r>
          </w:p>
        </w:tc>
        <w:tc>
          <w:tcPr>
            <w:tcW w:w="1250" w:type="dxa"/>
          </w:tcPr>
          <w:p w14:paraId="73CADCAE" w14:textId="77777777" w:rsidR="00B72501" w:rsidRDefault="00B72501" w:rsidP="00B72501">
            <w:pPr>
              <w:pStyle w:val="ParaContinue"/>
              <w:ind w:firstLine="0"/>
              <w:jc w:val="center"/>
              <w:rPr>
                <w:lang w:eastAsia="en-US"/>
              </w:rPr>
            </w:pPr>
            <w:r>
              <w:rPr>
                <w:lang w:eastAsia="en-US"/>
              </w:rPr>
              <w:t>69.8</w:t>
            </w:r>
          </w:p>
        </w:tc>
        <w:tc>
          <w:tcPr>
            <w:tcW w:w="1250" w:type="dxa"/>
          </w:tcPr>
          <w:p w14:paraId="48810688" w14:textId="77777777" w:rsidR="00B72501" w:rsidRDefault="00B72501" w:rsidP="00B72501">
            <w:pPr>
              <w:pStyle w:val="ParaContinue"/>
              <w:ind w:firstLine="0"/>
              <w:jc w:val="center"/>
              <w:rPr>
                <w:lang w:eastAsia="en-US"/>
              </w:rPr>
            </w:pPr>
            <w:r>
              <w:rPr>
                <w:lang w:eastAsia="en-US"/>
              </w:rPr>
              <w:t>36.8</w:t>
            </w:r>
          </w:p>
        </w:tc>
        <w:tc>
          <w:tcPr>
            <w:tcW w:w="1250" w:type="dxa"/>
          </w:tcPr>
          <w:p w14:paraId="18E46B0C" w14:textId="77777777" w:rsidR="00B72501" w:rsidRDefault="00B72501" w:rsidP="00B72501">
            <w:pPr>
              <w:pStyle w:val="ParaContinue"/>
              <w:ind w:firstLine="0"/>
              <w:jc w:val="center"/>
              <w:rPr>
                <w:lang w:eastAsia="en-US"/>
              </w:rPr>
            </w:pPr>
            <w:r>
              <w:rPr>
                <w:lang w:eastAsia="en-US"/>
              </w:rPr>
              <w:t>51.8</w:t>
            </w:r>
          </w:p>
        </w:tc>
        <w:tc>
          <w:tcPr>
            <w:tcW w:w="1250" w:type="dxa"/>
          </w:tcPr>
          <w:p w14:paraId="0DEB6475" w14:textId="77777777" w:rsidR="00B72501" w:rsidRDefault="00B72501" w:rsidP="00B72501">
            <w:pPr>
              <w:pStyle w:val="ParaContinue"/>
              <w:ind w:firstLine="0"/>
              <w:jc w:val="center"/>
              <w:rPr>
                <w:lang w:eastAsia="en-US"/>
              </w:rPr>
            </w:pPr>
            <w:r>
              <w:rPr>
                <w:lang w:eastAsia="en-US"/>
              </w:rPr>
              <w:t>46.8</w:t>
            </w:r>
          </w:p>
        </w:tc>
      </w:tr>
      <w:tr w:rsidR="00B72501" w14:paraId="18BDEB07" w14:textId="77777777" w:rsidTr="00B72501">
        <w:tc>
          <w:tcPr>
            <w:tcW w:w="1250" w:type="dxa"/>
          </w:tcPr>
          <w:p w14:paraId="46F106B2" w14:textId="5101B123" w:rsidR="00B72501" w:rsidRDefault="00B72501" w:rsidP="00B72501">
            <w:pPr>
              <w:pStyle w:val="ParaContinue"/>
              <w:ind w:firstLine="0"/>
              <w:jc w:val="center"/>
              <w:rPr>
                <w:lang w:eastAsia="en-US"/>
              </w:rPr>
            </w:pPr>
            <w:proofErr w:type="gramStart"/>
            <w:r>
              <w:rPr>
                <w:lang w:eastAsia="en-US"/>
              </w:rPr>
              <w:t>MAC</w:t>
            </w:r>
            <w:r w:rsidR="008D102C">
              <w:rPr>
                <w:lang w:eastAsia="en-US"/>
              </w:rPr>
              <w:t>[</w:t>
            </w:r>
            <w:proofErr w:type="gramEnd"/>
            <w:r w:rsidR="008D102C">
              <w:rPr>
                <w:lang w:eastAsia="en-US"/>
              </w:rPr>
              <w:t>18]</w:t>
            </w:r>
          </w:p>
        </w:tc>
        <w:tc>
          <w:tcPr>
            <w:tcW w:w="1250" w:type="dxa"/>
          </w:tcPr>
          <w:p w14:paraId="279AC4FD" w14:textId="77777777" w:rsidR="00B72501" w:rsidRDefault="00B72501" w:rsidP="00B72501">
            <w:pPr>
              <w:pStyle w:val="ParaContinue"/>
              <w:ind w:firstLine="0"/>
              <w:jc w:val="center"/>
              <w:rPr>
                <w:lang w:eastAsia="en-US"/>
              </w:rPr>
            </w:pPr>
            <w:r>
              <w:rPr>
                <w:lang w:eastAsia="en-US"/>
              </w:rPr>
              <w:t>97.1</w:t>
            </w:r>
          </w:p>
        </w:tc>
        <w:tc>
          <w:tcPr>
            <w:tcW w:w="1250" w:type="dxa"/>
          </w:tcPr>
          <w:p w14:paraId="7783EE15" w14:textId="77777777" w:rsidR="00B72501" w:rsidRDefault="00B72501" w:rsidP="00B72501">
            <w:pPr>
              <w:pStyle w:val="ParaContinue"/>
              <w:ind w:firstLine="0"/>
              <w:jc w:val="center"/>
              <w:rPr>
                <w:lang w:eastAsia="en-US"/>
              </w:rPr>
            </w:pPr>
            <w:r>
              <w:rPr>
                <w:lang w:eastAsia="en-US"/>
              </w:rPr>
              <w:t>99.1</w:t>
            </w:r>
          </w:p>
        </w:tc>
        <w:tc>
          <w:tcPr>
            <w:tcW w:w="1250" w:type="dxa"/>
          </w:tcPr>
          <w:p w14:paraId="1B51831C" w14:textId="77777777" w:rsidR="00B72501" w:rsidRDefault="00B72501" w:rsidP="00B72501">
            <w:pPr>
              <w:pStyle w:val="ParaContinue"/>
              <w:ind w:firstLine="0"/>
              <w:jc w:val="center"/>
              <w:rPr>
                <w:lang w:eastAsia="en-US"/>
              </w:rPr>
            </w:pPr>
            <w:r>
              <w:rPr>
                <w:lang w:eastAsia="en-US"/>
              </w:rPr>
              <w:t>99.5</w:t>
            </w:r>
          </w:p>
        </w:tc>
        <w:tc>
          <w:tcPr>
            <w:tcW w:w="1250" w:type="dxa"/>
          </w:tcPr>
          <w:p w14:paraId="211F76CE" w14:textId="77777777" w:rsidR="00B72501" w:rsidRDefault="00B72501" w:rsidP="00B72501">
            <w:pPr>
              <w:pStyle w:val="ParaContinue"/>
              <w:ind w:firstLine="0"/>
              <w:jc w:val="center"/>
              <w:rPr>
                <w:lang w:eastAsia="en-US"/>
              </w:rPr>
            </w:pPr>
            <w:r>
              <w:rPr>
                <w:lang w:eastAsia="en-US"/>
              </w:rPr>
              <w:t>99.5</w:t>
            </w:r>
          </w:p>
        </w:tc>
        <w:tc>
          <w:tcPr>
            <w:tcW w:w="1250" w:type="dxa"/>
          </w:tcPr>
          <w:p w14:paraId="4F1D8810" w14:textId="77777777" w:rsidR="00B72501" w:rsidRDefault="00B72501" w:rsidP="00B72501">
            <w:pPr>
              <w:pStyle w:val="ParaContinue"/>
              <w:ind w:firstLine="0"/>
              <w:jc w:val="center"/>
              <w:rPr>
                <w:lang w:eastAsia="en-US"/>
              </w:rPr>
            </w:pPr>
            <w:r>
              <w:rPr>
                <w:lang w:eastAsia="en-US"/>
              </w:rPr>
              <w:t>99.5</w:t>
            </w:r>
          </w:p>
        </w:tc>
        <w:tc>
          <w:tcPr>
            <w:tcW w:w="1250" w:type="dxa"/>
          </w:tcPr>
          <w:p w14:paraId="3AF9B5BD" w14:textId="77777777" w:rsidR="00B72501" w:rsidRDefault="00B72501" w:rsidP="00B72501">
            <w:pPr>
              <w:pStyle w:val="ParaContinue"/>
              <w:ind w:firstLine="0"/>
              <w:jc w:val="center"/>
              <w:rPr>
                <w:lang w:eastAsia="en-US"/>
              </w:rPr>
            </w:pPr>
            <w:r>
              <w:rPr>
                <w:lang w:eastAsia="en-US"/>
              </w:rPr>
              <w:t>98.9</w:t>
            </w:r>
          </w:p>
        </w:tc>
      </w:tr>
      <w:tr w:rsidR="00B72501" w14:paraId="320859F7" w14:textId="77777777" w:rsidTr="00B72501">
        <w:tc>
          <w:tcPr>
            <w:tcW w:w="1250" w:type="dxa"/>
          </w:tcPr>
          <w:p w14:paraId="48EE3D70" w14:textId="77777777" w:rsidR="00B72501" w:rsidRPr="00E011E9" w:rsidRDefault="00B72501" w:rsidP="00B72501">
            <w:pPr>
              <w:pStyle w:val="ParaContinue"/>
              <w:ind w:firstLine="0"/>
              <w:jc w:val="center"/>
              <w:rPr>
                <w:b/>
                <w:bCs/>
                <w:lang w:eastAsia="en-US"/>
              </w:rPr>
            </w:pPr>
            <w:r w:rsidRPr="00E011E9">
              <w:rPr>
                <w:b/>
                <w:bCs/>
                <w:lang w:eastAsia="en-US"/>
              </w:rPr>
              <w:t>Our Model</w:t>
            </w:r>
          </w:p>
        </w:tc>
        <w:tc>
          <w:tcPr>
            <w:tcW w:w="1250" w:type="dxa"/>
          </w:tcPr>
          <w:p w14:paraId="76B7DFFB" w14:textId="77777777" w:rsidR="00B72501" w:rsidRDefault="00B72501" w:rsidP="00B72501">
            <w:pPr>
              <w:pStyle w:val="ParaContinue"/>
              <w:ind w:firstLine="0"/>
              <w:jc w:val="center"/>
              <w:rPr>
                <w:lang w:eastAsia="en-US"/>
              </w:rPr>
            </w:pPr>
            <w:r>
              <w:rPr>
                <w:lang w:eastAsia="en-US"/>
              </w:rPr>
              <w:t>95.5</w:t>
            </w:r>
          </w:p>
        </w:tc>
        <w:tc>
          <w:tcPr>
            <w:tcW w:w="1250" w:type="dxa"/>
          </w:tcPr>
          <w:p w14:paraId="0718886A" w14:textId="77777777" w:rsidR="00B72501" w:rsidRDefault="00B72501" w:rsidP="00B72501">
            <w:pPr>
              <w:pStyle w:val="ParaContinue"/>
              <w:ind w:firstLine="0"/>
              <w:jc w:val="center"/>
              <w:rPr>
                <w:lang w:eastAsia="en-US"/>
              </w:rPr>
            </w:pPr>
            <w:r>
              <w:rPr>
                <w:lang w:eastAsia="en-US"/>
              </w:rPr>
              <w:t>98.3</w:t>
            </w:r>
          </w:p>
        </w:tc>
        <w:tc>
          <w:tcPr>
            <w:tcW w:w="1250" w:type="dxa"/>
          </w:tcPr>
          <w:p w14:paraId="5335F118" w14:textId="77777777" w:rsidR="00B72501" w:rsidRDefault="00B72501" w:rsidP="00B72501">
            <w:pPr>
              <w:pStyle w:val="ParaContinue"/>
              <w:ind w:firstLine="0"/>
              <w:jc w:val="center"/>
              <w:rPr>
                <w:lang w:eastAsia="en-US"/>
              </w:rPr>
            </w:pPr>
            <w:r>
              <w:rPr>
                <w:lang w:eastAsia="en-US"/>
              </w:rPr>
              <w:t>99.1</w:t>
            </w:r>
          </w:p>
        </w:tc>
        <w:tc>
          <w:tcPr>
            <w:tcW w:w="1250" w:type="dxa"/>
          </w:tcPr>
          <w:p w14:paraId="576F1476" w14:textId="77777777" w:rsidR="00B72501" w:rsidRDefault="00B72501" w:rsidP="00B72501">
            <w:pPr>
              <w:pStyle w:val="ParaContinue"/>
              <w:ind w:firstLine="0"/>
              <w:jc w:val="center"/>
              <w:rPr>
                <w:lang w:eastAsia="en-US"/>
              </w:rPr>
            </w:pPr>
            <w:r>
              <w:rPr>
                <w:lang w:eastAsia="en-US"/>
              </w:rPr>
              <w:t>99.5</w:t>
            </w:r>
          </w:p>
        </w:tc>
        <w:tc>
          <w:tcPr>
            <w:tcW w:w="1250" w:type="dxa"/>
          </w:tcPr>
          <w:p w14:paraId="5B70DE8A" w14:textId="77777777" w:rsidR="00B72501" w:rsidRDefault="00B72501" w:rsidP="00B72501">
            <w:pPr>
              <w:pStyle w:val="ParaContinue"/>
              <w:ind w:firstLine="0"/>
              <w:jc w:val="center"/>
              <w:rPr>
                <w:lang w:eastAsia="en-US"/>
              </w:rPr>
            </w:pPr>
            <w:r>
              <w:rPr>
                <w:lang w:eastAsia="en-US"/>
              </w:rPr>
              <w:t>99.0</w:t>
            </w:r>
          </w:p>
        </w:tc>
        <w:tc>
          <w:tcPr>
            <w:tcW w:w="1250" w:type="dxa"/>
          </w:tcPr>
          <w:p w14:paraId="14162EA6" w14:textId="77777777" w:rsidR="00B72501" w:rsidRDefault="00B72501" w:rsidP="00B72501">
            <w:pPr>
              <w:pStyle w:val="ParaContinue"/>
              <w:keepNext/>
              <w:ind w:firstLine="0"/>
              <w:jc w:val="center"/>
              <w:rPr>
                <w:lang w:eastAsia="en-US"/>
              </w:rPr>
            </w:pPr>
            <w:r>
              <w:rPr>
                <w:lang w:eastAsia="en-US"/>
              </w:rPr>
              <w:t>98.3</w:t>
            </w:r>
          </w:p>
        </w:tc>
      </w:tr>
    </w:tbl>
    <w:p w14:paraId="3F5D2036" w14:textId="777795CD" w:rsidR="00E011E9" w:rsidRDefault="00E011E9">
      <w:pPr>
        <w:rPr>
          <w:rFonts w:ascii="Linux Libertine O" w:hAnsi="Linux Libertine O" w:cs="Linux Libertine O"/>
          <w:sz w:val="18"/>
          <w:szCs w:val="24"/>
        </w:rPr>
      </w:pPr>
    </w:p>
    <w:p w14:paraId="4F7C1327" w14:textId="69F1B34F" w:rsidR="00B72501" w:rsidRDefault="00B72501" w:rsidP="00B72501">
      <w:pPr>
        <w:pStyle w:val="aa"/>
        <w:framePr w:hSpace="180" w:wrap="around" w:vAnchor="page" w:hAnchor="page" w:x="4614" w:y="4192"/>
      </w:pPr>
      <w:r>
        <w:t>Table 2 Results of our dataset</w:t>
      </w:r>
    </w:p>
    <w:p w14:paraId="649C69A0" w14:textId="410CC123" w:rsidR="00E011E9" w:rsidRDefault="00E011E9" w:rsidP="00110127">
      <w:pPr>
        <w:pStyle w:val="ParaContinue"/>
        <w:rPr>
          <w:lang w:eastAsia="en-US"/>
        </w:rPr>
      </w:pPr>
    </w:p>
    <w:p w14:paraId="1FDB2442" w14:textId="77777777" w:rsidR="00B72501" w:rsidRDefault="00B72501" w:rsidP="00B72501">
      <w:pPr>
        <w:pStyle w:val="Head1"/>
        <w:numPr>
          <w:ilvl w:val="0"/>
          <w:numId w:val="0"/>
        </w:numPr>
        <w:ind w:left="360"/>
      </w:pPr>
    </w:p>
    <w:p w14:paraId="2517E584" w14:textId="359B837D" w:rsidR="00B72501" w:rsidRDefault="00B72501" w:rsidP="00B72501">
      <w:pPr>
        <w:pStyle w:val="Head1"/>
      </w:pPr>
      <w:r>
        <w:t>dicussion</w:t>
      </w:r>
    </w:p>
    <w:p w14:paraId="2A102BBB" w14:textId="0EECE3DF" w:rsidR="00B72501" w:rsidRDefault="00B72501" w:rsidP="00B72501">
      <w:pPr>
        <w:pStyle w:val="Para"/>
        <w:ind w:firstLine="0"/>
      </w:pPr>
      <w:r>
        <w:t xml:space="preserve">We believe that the model’s performance on both datasets could be further improved. Due to time constraint and resources requirement to train the model, we could not perform extensive hyperparameter search. It would have been interesting to know the effects of different model sizes and depth of the Transformer layers. In addition, there are further analysis of model which could be performed. Furthermore, </w:t>
      </w:r>
      <w:r w:rsidR="008D102C">
        <w:t xml:space="preserve">there is still much research on improving the stability and </w:t>
      </w:r>
      <w:r w:rsidR="008D102C" w:rsidRPr="008D102C">
        <w:t>applicability</w:t>
      </w:r>
      <w:r w:rsidR="008D102C">
        <w:t xml:space="preserve"> of our own dataset.</w:t>
      </w:r>
    </w:p>
    <w:p w14:paraId="127AEA85" w14:textId="77777777" w:rsidR="00B72501" w:rsidRPr="00B72501" w:rsidRDefault="00B72501" w:rsidP="00B72501">
      <w:pPr>
        <w:pStyle w:val="ParaContinue"/>
        <w:rPr>
          <w:lang w:eastAsia="en-US"/>
        </w:rPr>
      </w:pPr>
    </w:p>
    <w:p w14:paraId="16B093DB" w14:textId="2A75E623" w:rsidR="00110127" w:rsidRDefault="00B72501" w:rsidP="008D102C">
      <w:pPr>
        <w:pStyle w:val="Para"/>
        <w:ind w:firstLine="0"/>
        <w:rPr>
          <w:rFonts w:ascii="Linux" w:hAnsi="Linux"/>
        </w:rPr>
      </w:pPr>
      <w:r w:rsidRPr="00B72501">
        <w:rPr>
          <w:rFonts w:ascii="Linux" w:hAnsi="Linux"/>
        </w:rPr>
        <w:t xml:space="preserve">As </w:t>
      </w:r>
      <w:r w:rsidRPr="008D102C">
        <w:t>future</w:t>
      </w:r>
      <w:r w:rsidRPr="00B72501">
        <w:rPr>
          <w:rFonts w:ascii="Linux" w:hAnsi="Linux"/>
        </w:rPr>
        <w:t xml:space="preserve"> work, better visual features could be incorporate to help with the performance of the model. In VQA, </w:t>
      </w:r>
      <w:proofErr w:type="spellStart"/>
      <w:r w:rsidRPr="00B72501">
        <w:rPr>
          <w:rFonts w:ascii="Linux" w:hAnsi="Linux"/>
        </w:rPr>
        <w:t>ResNet</w:t>
      </w:r>
      <w:proofErr w:type="spellEnd"/>
      <w:r w:rsidRPr="00B72501">
        <w:rPr>
          <w:rFonts w:ascii="Linux" w:hAnsi="Linux"/>
        </w:rPr>
        <w:t xml:space="preserve"> architecture, which is pre-trained on classification are typically used to represent the image. However, it is reported that changing the pre-training task to object detection can boost the accuracy of the VQA model. We believed that this would </w:t>
      </w:r>
      <w:proofErr w:type="gramStart"/>
      <w:r w:rsidRPr="00B72501">
        <w:rPr>
          <w:rFonts w:ascii="Linux" w:hAnsi="Linux"/>
        </w:rPr>
        <w:t>definitely increase</w:t>
      </w:r>
      <w:proofErr w:type="gramEnd"/>
      <w:r w:rsidRPr="00B72501">
        <w:rPr>
          <w:rFonts w:ascii="Linux" w:hAnsi="Linux"/>
        </w:rPr>
        <w:t xml:space="preserve"> the model’s performance, especially on the GQA dataset, as it contains real-world images. Moreover, it would be interesting to incorporate curriculum learning as the training strategy to see whether the model can learn faster. Another interesting research direction is to apply the model on other input modalities, and other tasks which require multi-step reasoning, such as textual question answering and reading comprehension.</w:t>
      </w:r>
      <w:r w:rsidR="00E011E9" w:rsidRPr="00B72501">
        <w:rPr>
          <w:rFonts w:ascii="Linux" w:hAnsi="Linux"/>
        </w:rPr>
        <w:br w:type="page"/>
      </w:r>
    </w:p>
    <w:p w14:paraId="080A99AC" w14:textId="77777777" w:rsidR="008D102C" w:rsidRPr="008D102C" w:rsidRDefault="008D102C" w:rsidP="008D102C">
      <w:pPr>
        <w:pStyle w:val="ParaContinue"/>
      </w:pPr>
    </w:p>
    <w:p w14:paraId="59D96338" w14:textId="44C4E638" w:rsidR="005B434B" w:rsidRPr="00FD48C2" w:rsidRDefault="008D102C" w:rsidP="005B434B">
      <w:pPr>
        <w:pStyle w:val="Bibentry"/>
      </w:pPr>
      <w:r>
        <w:t>G</w:t>
      </w:r>
      <w:r>
        <w:t xml:space="preserve">. Marcus, “Deep learning: A critical appraisal,” </w:t>
      </w:r>
      <w:proofErr w:type="spellStart"/>
      <w:r>
        <w:t>arXiv</w:t>
      </w:r>
      <w:proofErr w:type="spellEnd"/>
      <w:r>
        <w:t xml:space="preserve"> preprint arXiv:1801.00631, 2018</w:t>
      </w:r>
      <w:r w:rsidR="005B434B" w:rsidRPr="00FD48C2">
        <w:t xml:space="preserve">Sam </w:t>
      </w:r>
      <w:proofErr w:type="spellStart"/>
      <w:r w:rsidR="005B434B" w:rsidRPr="00FD48C2">
        <w:t>Anzaroot</w:t>
      </w:r>
      <w:proofErr w:type="spellEnd"/>
      <w:r w:rsidR="005B434B" w:rsidRPr="00FD48C2">
        <w:t xml:space="preserve"> and Andrew McCallum. 2013. UMass Citation Field Extraction Dataset. Retrieved May 27, </w:t>
      </w:r>
      <w:proofErr w:type="gramStart"/>
      <w:r w:rsidR="005B434B" w:rsidRPr="00FD48C2">
        <w:t>2019</w:t>
      </w:r>
      <w:proofErr w:type="gramEnd"/>
      <w:r w:rsidR="005B434B" w:rsidRPr="00FD48C2">
        <w:t xml:space="preserve"> from </w:t>
      </w:r>
      <w:hyperlink r:id="rId11" w:history="1">
        <w:r w:rsidR="005B434B" w:rsidRPr="00FD48C2">
          <w:rPr>
            <w:rStyle w:val="a4"/>
            <w:color w:val="auto"/>
            <w:u w:val="none"/>
          </w:rPr>
          <w:t>http://www.iesl.cs.umass.edu/data/data-umasscitationfield</w:t>
        </w:r>
      </w:hyperlink>
    </w:p>
    <w:p w14:paraId="0096F44F" w14:textId="0D166475" w:rsidR="005B434B" w:rsidRPr="00FD48C2" w:rsidRDefault="008D102C" w:rsidP="005B434B">
      <w:pPr>
        <w:pStyle w:val="Bibentry"/>
      </w:pPr>
      <w:r>
        <w:t>F. Chollet, “The limitations of deep learning.” https://blog.keras.io/the-limitations-of-deep-learning.html, Jul 2017.</w:t>
      </w:r>
      <w:r w:rsidR="005B434B" w:rsidRPr="00FD48C2">
        <w:t>Chelsea Finn. 2018. Learning to Learn with Gradients. PhD Thesis, EECS Department, University of Berkeley.</w:t>
      </w:r>
    </w:p>
    <w:p w14:paraId="0CFADC53" w14:textId="2924F91D" w:rsidR="005B434B" w:rsidRDefault="008D102C" w:rsidP="005B434B">
      <w:pPr>
        <w:pStyle w:val="Bibentry"/>
      </w:pPr>
      <w:r>
        <w:t>B. M. Lake, T. D. Ullman, J. B. Tenenbaum, and S. J. Gershman, “Building machines that learn and think like people,” Behavioral and brain sciences, vol. 40,</w:t>
      </w:r>
      <w:r>
        <w:t>2017</w:t>
      </w:r>
      <w:r w:rsidR="005B434B">
        <w:t>.</w:t>
      </w:r>
    </w:p>
    <w:p w14:paraId="2271B3A4" w14:textId="77777777" w:rsidR="008D102C" w:rsidRDefault="008D102C" w:rsidP="005B434B">
      <w:pPr>
        <w:pStyle w:val="Bibentry"/>
      </w:pPr>
      <w:r>
        <w:t xml:space="preserve">M. </w:t>
      </w:r>
      <w:proofErr w:type="spellStart"/>
      <w:r>
        <w:t>Garnelo</w:t>
      </w:r>
      <w:proofErr w:type="spellEnd"/>
      <w:r>
        <w:t xml:space="preserve">, K. </w:t>
      </w:r>
      <w:proofErr w:type="spellStart"/>
      <w:r>
        <w:t>Arulkumaran</w:t>
      </w:r>
      <w:proofErr w:type="spellEnd"/>
      <w:r>
        <w:t xml:space="preserve">, and M. Shanahan, “Towards deep symbolic reinforcement learning,” </w:t>
      </w:r>
      <w:proofErr w:type="spellStart"/>
      <w:r>
        <w:t>arXiv</w:t>
      </w:r>
      <w:proofErr w:type="spellEnd"/>
      <w:r>
        <w:t xml:space="preserve"> preprint arXiv:1609.05518, 2016.</w:t>
      </w:r>
    </w:p>
    <w:p w14:paraId="0D02B90F" w14:textId="2E23D319" w:rsidR="008D102C" w:rsidRDefault="008D102C" w:rsidP="005B434B">
      <w:pPr>
        <w:pStyle w:val="Bibentry"/>
      </w:pPr>
      <w:r>
        <w:t xml:space="preserve">J. Johnson, B. Hariharan, L. van der </w:t>
      </w:r>
      <w:proofErr w:type="spellStart"/>
      <w:r>
        <w:t>Maaten</w:t>
      </w:r>
      <w:proofErr w:type="spellEnd"/>
      <w:r>
        <w:t xml:space="preserve">, L. Fei-Fei, C. Lawrence </w:t>
      </w:r>
      <w:proofErr w:type="spellStart"/>
      <w:r>
        <w:t>Zitnick</w:t>
      </w:r>
      <w:proofErr w:type="spellEnd"/>
      <w:r>
        <w:t xml:space="preserve">, and R. </w:t>
      </w:r>
      <w:proofErr w:type="spellStart"/>
      <w:r>
        <w:t>Girshick</w:t>
      </w:r>
      <w:proofErr w:type="spellEnd"/>
      <w:r>
        <w:t>, “</w:t>
      </w:r>
      <w:proofErr w:type="spellStart"/>
      <w:r>
        <w:t>Clevr</w:t>
      </w:r>
      <w:proofErr w:type="spellEnd"/>
      <w:r>
        <w:t>: A diagnostic dataset for compositional language and elementary visual reasoning,” in Proceedings of the IEEE Conference on Computer Vision and Pattern Recognition, pp. 2901–2910, 2017.</w:t>
      </w:r>
    </w:p>
    <w:p w14:paraId="427002D2" w14:textId="77777777" w:rsidR="008D102C" w:rsidRDefault="008D102C" w:rsidP="005B434B">
      <w:pPr>
        <w:pStyle w:val="Bibentry"/>
      </w:pPr>
      <w:r>
        <w:t>D. A. Hudson and C. D. Manning, “</w:t>
      </w:r>
      <w:proofErr w:type="spellStart"/>
      <w:r>
        <w:t>Gqa</w:t>
      </w:r>
      <w:proofErr w:type="spellEnd"/>
      <w:r>
        <w:t>: A new dataset for real-world visual reasoning and compositional question answering,” in Proceedings of the IEEE Conference on Computer Vision and Pattern Recognition, pp. 6700–6709, 2019</w:t>
      </w:r>
    </w:p>
    <w:p w14:paraId="6A38A356" w14:textId="34E5626D" w:rsidR="008D102C" w:rsidRDefault="008D102C" w:rsidP="005B434B">
      <w:pPr>
        <w:pStyle w:val="Bibentry"/>
      </w:pPr>
      <w:r>
        <w:t xml:space="preserve">A. Vaswani, N. </w:t>
      </w:r>
      <w:proofErr w:type="spellStart"/>
      <w:r>
        <w:t>Shazeer</w:t>
      </w:r>
      <w:proofErr w:type="spellEnd"/>
      <w:r>
        <w:t xml:space="preserve">, N. Parmar, J. </w:t>
      </w:r>
      <w:proofErr w:type="spellStart"/>
      <w:r>
        <w:t>Uszkoreit</w:t>
      </w:r>
      <w:proofErr w:type="spellEnd"/>
      <w:r>
        <w:t xml:space="preserve">, L. Jones, A. N. Gomez, Ł. Kaiser, and I. </w:t>
      </w:r>
      <w:proofErr w:type="spellStart"/>
      <w:r>
        <w:t>Polosukhin</w:t>
      </w:r>
      <w:proofErr w:type="spellEnd"/>
      <w:r>
        <w:t>, “Attention is all you need,” in Advances in neural information processing systems, pp. 5998–6008, 2017.</w:t>
      </w:r>
    </w:p>
    <w:p w14:paraId="5EFDB461" w14:textId="39B67434" w:rsidR="008D102C" w:rsidRDefault="008D102C" w:rsidP="005B434B">
      <w:pPr>
        <w:pStyle w:val="Bibentry"/>
      </w:pPr>
      <w:r>
        <w:t xml:space="preserve">J. Devlin, M.-W. Chang, K. Lee, and K. Toutanova, “Bert: Pre-training of deep bidirectional transformers for language understanding,” </w:t>
      </w:r>
      <w:proofErr w:type="spellStart"/>
      <w:r>
        <w:t>arXiv</w:t>
      </w:r>
      <w:proofErr w:type="spellEnd"/>
      <w:r>
        <w:t xml:space="preserve"> preprint arXiv:1810.04805, 2018.</w:t>
      </w:r>
    </w:p>
    <w:p w14:paraId="4B397E62" w14:textId="38D64123" w:rsidR="005B434B" w:rsidRPr="008C40F0" w:rsidRDefault="008D102C" w:rsidP="005B434B">
      <w:pPr>
        <w:pStyle w:val="Bibentry"/>
      </w:pPr>
      <w:r>
        <w:t xml:space="preserve">T. B. Brown, B. Mann, N. Ryder, M. Subbiah, J. Kaplan, P. </w:t>
      </w:r>
      <w:proofErr w:type="spellStart"/>
      <w:r>
        <w:t>Dhariwal</w:t>
      </w:r>
      <w:proofErr w:type="spellEnd"/>
      <w:r>
        <w:t xml:space="preserve">, A. </w:t>
      </w:r>
      <w:proofErr w:type="spellStart"/>
      <w:r>
        <w:t>Neelakantan</w:t>
      </w:r>
      <w:proofErr w:type="spellEnd"/>
      <w:r>
        <w:t xml:space="preserve">, P. </w:t>
      </w:r>
      <w:proofErr w:type="spellStart"/>
      <w:r>
        <w:t>Shyam</w:t>
      </w:r>
      <w:proofErr w:type="spellEnd"/>
      <w:r>
        <w:t xml:space="preserve">, G. Sastry, A. </w:t>
      </w:r>
      <w:proofErr w:type="spellStart"/>
      <w:r>
        <w:t>Askell</w:t>
      </w:r>
      <w:proofErr w:type="spellEnd"/>
      <w:r>
        <w:t xml:space="preserve">, et al., “Language models are few-shot learners,” </w:t>
      </w:r>
      <w:proofErr w:type="spellStart"/>
      <w:r>
        <w:t>arXiv</w:t>
      </w:r>
      <w:proofErr w:type="spellEnd"/>
      <w:r>
        <w:t xml:space="preserve"> preprint arXiv:2005.14165, 2020.</w:t>
      </w:r>
    </w:p>
    <w:p w14:paraId="62988310" w14:textId="77777777" w:rsidR="008D102C" w:rsidRDefault="008D102C" w:rsidP="005B434B">
      <w:pPr>
        <w:pStyle w:val="Bibentry"/>
      </w:pPr>
      <w:r>
        <w:t xml:space="preserve">K. Clark, U. Khandelwal, O. Levy, and C. D. Manning, “What does </w:t>
      </w:r>
      <w:proofErr w:type="spellStart"/>
      <w:r>
        <w:t>bert</w:t>
      </w:r>
      <w:proofErr w:type="spellEnd"/>
      <w:r>
        <w:t xml:space="preserve"> look at? an analysis of </w:t>
      </w:r>
      <w:proofErr w:type="spellStart"/>
      <w:r>
        <w:t>bert’s</w:t>
      </w:r>
      <w:proofErr w:type="spellEnd"/>
      <w:r>
        <w:t xml:space="preserve"> attention,” </w:t>
      </w:r>
      <w:proofErr w:type="spellStart"/>
      <w:r>
        <w:t>arXiv</w:t>
      </w:r>
      <w:proofErr w:type="spellEnd"/>
      <w:r>
        <w:t xml:space="preserve"> preprint arXiv:1906.04341, 2019.</w:t>
      </w:r>
    </w:p>
    <w:p w14:paraId="7473BFD6" w14:textId="15301F2F" w:rsidR="008D102C" w:rsidRDefault="008D102C" w:rsidP="005B434B">
      <w:pPr>
        <w:pStyle w:val="Bibentry"/>
      </w:pPr>
      <w:r>
        <w:t xml:space="preserve">R. </w:t>
      </w:r>
      <w:proofErr w:type="spellStart"/>
      <w:r>
        <w:t>Yampolskiy</w:t>
      </w:r>
      <w:proofErr w:type="spellEnd"/>
      <w:r>
        <w:t>, “Ai-complete, ai-hard, or ai-easy: Classification of problems in artificial intelligence,” The 23rd Midwest Artificial Intelligence and Cognitive Science Conference, Cincinnati, OH, USA, 01 2012.</w:t>
      </w:r>
    </w:p>
    <w:p w14:paraId="487F12C0" w14:textId="77777777" w:rsidR="008D102C" w:rsidRDefault="008D102C" w:rsidP="008D102C">
      <w:pPr>
        <w:pStyle w:val="Bibentry"/>
      </w:pPr>
      <w:r>
        <w:t>R Core Team. 2019. R: A Language and Environment for Statistical Computing.  R Foundation for Statistical Computing, Vienna, Austria.   https://www.R-project.org/</w:t>
      </w:r>
    </w:p>
    <w:p w14:paraId="0A2A8956" w14:textId="77777777" w:rsidR="008D102C" w:rsidRDefault="008D102C" w:rsidP="005B434B">
      <w:pPr>
        <w:pStyle w:val="Bibentry"/>
      </w:pPr>
      <w:r>
        <w:t xml:space="preserve">S. </w:t>
      </w:r>
      <w:proofErr w:type="spellStart"/>
      <w:r>
        <w:t>Antol</w:t>
      </w:r>
      <w:proofErr w:type="spellEnd"/>
      <w:r>
        <w:t xml:space="preserve">, A. Agrawal, J. Lu, M. Mitchell, D. Batra, C. Lawrence </w:t>
      </w:r>
      <w:proofErr w:type="spellStart"/>
      <w:r>
        <w:t>Zitnick</w:t>
      </w:r>
      <w:proofErr w:type="spellEnd"/>
      <w:r>
        <w:t>, and D. Parikh, “</w:t>
      </w:r>
      <w:proofErr w:type="spellStart"/>
      <w:r>
        <w:t>Vqa</w:t>
      </w:r>
      <w:proofErr w:type="spellEnd"/>
      <w:r>
        <w:t xml:space="preserve">: Visual question answering,” in Proceedings of the IEEE international conference on computer vision, pp. 2425–2433, 2015. </w:t>
      </w:r>
    </w:p>
    <w:p w14:paraId="58E0B7E9" w14:textId="36B7E118" w:rsidR="008D102C" w:rsidRDefault="008D102C" w:rsidP="005B434B">
      <w:pPr>
        <w:pStyle w:val="Bibentry"/>
      </w:pPr>
      <w:r>
        <w:t>S</w:t>
      </w:r>
      <w:r>
        <w:t xml:space="preserve">. </w:t>
      </w:r>
      <w:proofErr w:type="spellStart"/>
      <w:r>
        <w:t>Manmadhan</w:t>
      </w:r>
      <w:proofErr w:type="spellEnd"/>
      <w:r>
        <w:t xml:space="preserve"> and B. C. </w:t>
      </w:r>
      <w:proofErr w:type="spellStart"/>
      <w:r>
        <w:t>Kovoor</w:t>
      </w:r>
      <w:proofErr w:type="spellEnd"/>
      <w:r>
        <w:t>, “Visual question answering: a state-of-the-art review,” Artificial Intelligence Review, pp. 1–41, 2020.</w:t>
      </w:r>
    </w:p>
    <w:p w14:paraId="4ECB1F4D" w14:textId="3D98EE1A" w:rsidR="008D102C" w:rsidRDefault="008D102C" w:rsidP="005B434B">
      <w:pPr>
        <w:pStyle w:val="Bibentry"/>
      </w:pPr>
      <w:r>
        <w:t>K. He, X. Zhang, S. Ren, and J. Sun, “Deep residual learning for image recognition,” in Proceedings of the IEEE conference on computer vision and pattern recognition, pp. 770–778, 2016.</w:t>
      </w:r>
    </w:p>
    <w:p w14:paraId="04AE1B89" w14:textId="73B855E1" w:rsidR="008D102C" w:rsidRDefault="008D102C" w:rsidP="005B434B">
      <w:pPr>
        <w:pStyle w:val="Bibentry"/>
      </w:pPr>
      <w:r>
        <w:t xml:space="preserve">K. </w:t>
      </w:r>
      <w:proofErr w:type="spellStart"/>
      <w:r>
        <w:t>Simonyan</w:t>
      </w:r>
      <w:proofErr w:type="spellEnd"/>
      <w:r>
        <w:t xml:space="preserve"> and A. Zisserman, “Very deep convolutional networks for large-scale image recognition,” </w:t>
      </w:r>
      <w:proofErr w:type="spellStart"/>
      <w:r>
        <w:t>arXiv</w:t>
      </w:r>
      <w:proofErr w:type="spellEnd"/>
      <w:r>
        <w:t xml:space="preserve"> preprint arXiv:1409.1556, 2014.</w:t>
      </w:r>
    </w:p>
    <w:p w14:paraId="3DCF841D" w14:textId="5722E13F" w:rsidR="008D102C" w:rsidRDefault="008D102C" w:rsidP="005B434B">
      <w:pPr>
        <w:pStyle w:val="Bibentry"/>
      </w:pPr>
      <w:r>
        <w:t xml:space="preserve">S. </w:t>
      </w:r>
      <w:proofErr w:type="spellStart"/>
      <w:r>
        <w:t>Saha</w:t>
      </w:r>
      <w:proofErr w:type="spellEnd"/>
      <w:r>
        <w:t>, “A comprehensive guide to convolutional neural networks — the eli5 way.” https://towardsdatascience.com/a-comprehensive-guide-to-convolutional-neural</w:t>
      </w:r>
      <w:r>
        <w:t>networks-the-eli5-way-3bd2b1164a53, 2018.</w:t>
      </w:r>
    </w:p>
    <w:p w14:paraId="0BDCF3F0" w14:textId="5BBCAA75" w:rsidR="005B434B" w:rsidRPr="00B1638F" w:rsidRDefault="008D102C" w:rsidP="00235856">
      <w:pPr>
        <w:pStyle w:val="Bibentry"/>
      </w:pPr>
      <w:r>
        <w:t xml:space="preserve">J. Deng, W. Dong, R. </w:t>
      </w:r>
      <w:proofErr w:type="spellStart"/>
      <w:r>
        <w:t>Socher</w:t>
      </w:r>
      <w:proofErr w:type="spellEnd"/>
      <w:r>
        <w:t>, L.-J. Li, K. Li, and L. Fei-Fei, “</w:t>
      </w:r>
      <w:proofErr w:type="spellStart"/>
      <w:r>
        <w:t>Imagenet</w:t>
      </w:r>
      <w:proofErr w:type="spellEnd"/>
      <w:r>
        <w:t xml:space="preserve">: A large-scale hierarchical image database,” in 2009 IEEE conference on computer vision and pattern recognition, pp. 248–255, </w:t>
      </w:r>
      <w:proofErr w:type="spellStart"/>
      <w:r>
        <w:t>Ieee</w:t>
      </w:r>
      <w:proofErr w:type="spellEnd"/>
      <w:r>
        <w:t>, 2009.</w:t>
      </w:r>
      <w:bookmarkStart w:id="1" w:name="sbmn"/>
      <w:bookmarkEnd w:id="1"/>
    </w:p>
    <w:sectPr w:rsidR="005B434B" w:rsidRPr="00B1638F" w:rsidSect="000C6221">
      <w:footerReference w:type="default" r:id="rId12"/>
      <w:footerReference w:type="first" r:id="rId1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A8AF1" w14:textId="77777777" w:rsidR="00AB12A1" w:rsidRDefault="00AB12A1" w:rsidP="005B434B">
      <w:pPr>
        <w:spacing w:after="0" w:line="240" w:lineRule="auto"/>
      </w:pPr>
      <w:r>
        <w:separator/>
      </w:r>
    </w:p>
  </w:endnote>
  <w:endnote w:type="continuationSeparator" w:id="0">
    <w:p w14:paraId="7DA60649" w14:textId="77777777" w:rsidR="00AB12A1" w:rsidRDefault="00AB12A1"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Linux">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2A6B8" w14:textId="77777777" w:rsidR="00894B43" w:rsidRDefault="00737F1F" w:rsidP="00894B43">
    <w:pPr>
      <w:pStyle w:val="a7"/>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20DE" w14:textId="77777777" w:rsidR="000C6221" w:rsidRDefault="00000000">
    <w:pPr>
      <w:pStyle w:val="a7"/>
    </w:pPr>
  </w:p>
  <w:p w14:paraId="2769BE57" w14:textId="77777777" w:rsidR="000C6221" w:rsidRDefault="00000000">
    <w:pPr>
      <w:pStyle w:val="a7"/>
    </w:pPr>
  </w:p>
  <w:p w14:paraId="1EB7D358" w14:textId="77777777" w:rsidR="000C6221" w:rsidRDefault="00000000">
    <w:pPr>
      <w:pStyle w:val="a7"/>
    </w:pPr>
  </w:p>
  <w:p w14:paraId="0D33923E" w14:textId="77777777" w:rsidR="000C6221" w:rsidRDefault="00000000">
    <w:pPr>
      <w:pStyle w:val="a7"/>
    </w:pPr>
  </w:p>
  <w:p w14:paraId="0E7DFBA4" w14:textId="77777777" w:rsidR="000C6221" w:rsidRDefault="00000000">
    <w:pPr>
      <w:pStyle w:val="a7"/>
    </w:pPr>
  </w:p>
  <w:p w14:paraId="122B6F04" w14:textId="77777777" w:rsidR="000C6221" w:rsidRDefault="00000000">
    <w:pPr>
      <w:pStyle w:val="a7"/>
    </w:pPr>
  </w:p>
  <w:p w14:paraId="274E94EB" w14:textId="77777777" w:rsidR="000C6221" w:rsidRDefault="00000000">
    <w:pPr>
      <w:pStyle w:val="a7"/>
    </w:pPr>
  </w:p>
  <w:p w14:paraId="0CB3B226" w14:textId="77777777" w:rsidR="000C6221" w:rsidRDefault="00000000">
    <w:pPr>
      <w:pStyle w:val="a7"/>
    </w:pPr>
  </w:p>
  <w:p w14:paraId="64C606D0" w14:textId="77777777" w:rsidR="000C6221" w:rsidRDefault="00000000">
    <w:pPr>
      <w:pStyle w:val="a7"/>
    </w:pPr>
  </w:p>
  <w:p w14:paraId="1C003D72" w14:textId="77777777" w:rsidR="000C6221" w:rsidRDefault="00000000">
    <w:pPr>
      <w:pStyle w:val="a7"/>
    </w:pPr>
  </w:p>
  <w:p w14:paraId="5041F6C2" w14:textId="77777777" w:rsidR="000C6221" w:rsidRDefault="00000000">
    <w:pPr>
      <w:pStyle w:val="a7"/>
    </w:pPr>
  </w:p>
  <w:p w14:paraId="0DA46119" w14:textId="77777777" w:rsidR="000C6221" w:rsidRDefault="00000000">
    <w:pPr>
      <w:pStyle w:val="a7"/>
    </w:pPr>
  </w:p>
  <w:p w14:paraId="762DAFC8" w14:textId="77777777" w:rsidR="000C6221" w:rsidRDefault="00000000">
    <w:pPr>
      <w:pStyle w:val="a7"/>
    </w:pPr>
  </w:p>
  <w:p w14:paraId="51BD723B" w14:textId="77777777" w:rsidR="000C6221" w:rsidRDefault="00000000">
    <w:pPr>
      <w:pStyle w:val="a7"/>
    </w:pPr>
  </w:p>
  <w:p w14:paraId="6BD434E5" w14:textId="77777777" w:rsidR="000C6221" w:rsidRDefault="00000000">
    <w:pPr>
      <w:pStyle w:val="a7"/>
    </w:pPr>
  </w:p>
  <w:p w14:paraId="46FE31DF" w14:textId="77777777" w:rsidR="000C6221" w:rsidRDefault="00000000">
    <w:pPr>
      <w:pStyle w:val="a7"/>
    </w:pPr>
  </w:p>
  <w:p w14:paraId="20CC1B72" w14:textId="77777777" w:rsidR="001E2D05" w:rsidRDefault="000000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948E8" w14:textId="77777777" w:rsidR="00AB12A1" w:rsidRDefault="00AB12A1" w:rsidP="005B434B">
      <w:pPr>
        <w:spacing w:after="0" w:line="240" w:lineRule="auto"/>
      </w:pPr>
      <w:r>
        <w:separator/>
      </w:r>
    </w:p>
  </w:footnote>
  <w:footnote w:type="continuationSeparator" w:id="0">
    <w:p w14:paraId="62821527" w14:textId="77777777" w:rsidR="00AB12A1" w:rsidRDefault="00AB12A1"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E5425BB"/>
    <w:multiLevelType w:val="multilevel"/>
    <w:tmpl w:val="4D6825E8"/>
    <w:numStyleLink w:val="111111"/>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a"/>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31D68"/>
    <w:multiLevelType w:val="hybridMultilevel"/>
    <w:tmpl w:val="B0EE3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54FA3828"/>
    <w:multiLevelType w:val="hybridMultilevel"/>
    <w:tmpl w:val="0CC8B9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15:restartNumberingAfterBreak="0">
    <w:nsid w:val="63947B5B"/>
    <w:multiLevelType w:val="hybridMultilevel"/>
    <w:tmpl w:val="5980103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6"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9E3046"/>
    <w:multiLevelType w:val="multilevel"/>
    <w:tmpl w:val="4D6825E8"/>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3E02AB"/>
    <w:multiLevelType w:val="multilevel"/>
    <w:tmpl w:val="4D6825E8"/>
    <w:numStyleLink w:val="111111"/>
  </w:abstractNum>
  <w:num w:numId="1" w16cid:durableId="1647272045">
    <w:abstractNumId w:val="0"/>
  </w:num>
  <w:num w:numId="2" w16cid:durableId="346904332">
    <w:abstractNumId w:val="17"/>
  </w:num>
  <w:num w:numId="3" w16cid:durableId="791173188">
    <w:abstractNumId w:val="12"/>
  </w:num>
  <w:num w:numId="4" w16cid:durableId="1542982752">
    <w:abstractNumId w:val="1"/>
  </w:num>
  <w:num w:numId="5" w16cid:durableId="378016912">
    <w:abstractNumId w:val="4"/>
  </w:num>
  <w:num w:numId="6" w16cid:durableId="1259480256">
    <w:abstractNumId w:val="8"/>
  </w:num>
  <w:num w:numId="7" w16cid:durableId="1491797720">
    <w:abstractNumId w:val="15"/>
  </w:num>
  <w:num w:numId="8" w16cid:durableId="618561269">
    <w:abstractNumId w:val="3"/>
  </w:num>
  <w:num w:numId="9" w16cid:durableId="816268851">
    <w:abstractNumId w:val="9"/>
  </w:num>
  <w:num w:numId="10" w16cid:durableId="675226678">
    <w:abstractNumId w:val="19"/>
  </w:num>
  <w:num w:numId="11" w16cid:durableId="1276138175">
    <w:abstractNumId w:val="6"/>
  </w:num>
  <w:num w:numId="12" w16cid:durableId="819227983">
    <w:abstractNumId w:val="16"/>
  </w:num>
  <w:num w:numId="13" w16cid:durableId="1611162412">
    <w:abstractNumId w:val="10"/>
  </w:num>
  <w:num w:numId="14" w16cid:durableId="2014412636">
    <w:abstractNumId w:val="5"/>
  </w:num>
  <w:num w:numId="15" w16cid:durableId="2147044468">
    <w:abstractNumId w:val="14"/>
  </w:num>
  <w:num w:numId="16" w16cid:durableId="368921814">
    <w:abstractNumId w:val="13"/>
  </w:num>
  <w:num w:numId="17" w16cid:durableId="1321077357">
    <w:abstractNumId w:val="7"/>
  </w:num>
  <w:num w:numId="18" w16cid:durableId="87583160">
    <w:abstractNumId w:val="20"/>
  </w:num>
  <w:num w:numId="19" w16cid:durableId="1045830076">
    <w:abstractNumId w:val="18"/>
  </w:num>
  <w:num w:numId="20" w16cid:durableId="1565218123">
    <w:abstractNumId w:val="11"/>
  </w:num>
  <w:num w:numId="21" w16cid:durableId="569659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0127"/>
    <w:rsid w:val="001142BA"/>
    <w:rsid w:val="001754DD"/>
    <w:rsid w:val="001B633D"/>
    <w:rsid w:val="001C6FC6"/>
    <w:rsid w:val="001D3CDD"/>
    <w:rsid w:val="0022111E"/>
    <w:rsid w:val="002262A7"/>
    <w:rsid w:val="0023048B"/>
    <w:rsid w:val="00231DBC"/>
    <w:rsid w:val="00235856"/>
    <w:rsid w:val="002601C2"/>
    <w:rsid w:val="00277C30"/>
    <w:rsid w:val="0029158F"/>
    <w:rsid w:val="00292C1F"/>
    <w:rsid w:val="00296257"/>
    <w:rsid w:val="002C37CC"/>
    <w:rsid w:val="002E204E"/>
    <w:rsid w:val="002E594D"/>
    <w:rsid w:val="002F58C9"/>
    <w:rsid w:val="002F5B40"/>
    <w:rsid w:val="00340671"/>
    <w:rsid w:val="003756D0"/>
    <w:rsid w:val="003A253B"/>
    <w:rsid w:val="00457C1D"/>
    <w:rsid w:val="004923DD"/>
    <w:rsid w:val="00524ACE"/>
    <w:rsid w:val="00547F6A"/>
    <w:rsid w:val="005B434B"/>
    <w:rsid w:val="005B5CF2"/>
    <w:rsid w:val="005B7640"/>
    <w:rsid w:val="005C3913"/>
    <w:rsid w:val="006B5C30"/>
    <w:rsid w:val="00704796"/>
    <w:rsid w:val="00720F9D"/>
    <w:rsid w:val="00737F1F"/>
    <w:rsid w:val="007B36F5"/>
    <w:rsid w:val="007E20EF"/>
    <w:rsid w:val="0081437E"/>
    <w:rsid w:val="00854D22"/>
    <w:rsid w:val="00884E06"/>
    <w:rsid w:val="008D102C"/>
    <w:rsid w:val="008D14C0"/>
    <w:rsid w:val="00920182"/>
    <w:rsid w:val="009641B8"/>
    <w:rsid w:val="009B76D7"/>
    <w:rsid w:val="009F684F"/>
    <w:rsid w:val="00A27A9F"/>
    <w:rsid w:val="00A3685D"/>
    <w:rsid w:val="00A55475"/>
    <w:rsid w:val="00A6011A"/>
    <w:rsid w:val="00AB12A1"/>
    <w:rsid w:val="00AD6C5E"/>
    <w:rsid w:val="00AF5390"/>
    <w:rsid w:val="00B40EB1"/>
    <w:rsid w:val="00B657BD"/>
    <w:rsid w:val="00B72501"/>
    <w:rsid w:val="00BD04E6"/>
    <w:rsid w:val="00D07298"/>
    <w:rsid w:val="00DA1CE2"/>
    <w:rsid w:val="00DC1BAE"/>
    <w:rsid w:val="00E011E9"/>
    <w:rsid w:val="00E037CD"/>
    <w:rsid w:val="00E55E8D"/>
    <w:rsid w:val="00E8234D"/>
    <w:rsid w:val="00E92194"/>
    <w:rsid w:val="00EF5BB9"/>
    <w:rsid w:val="00F07897"/>
    <w:rsid w:val="00F46728"/>
    <w:rsid w:val="00F570F1"/>
    <w:rsid w:val="00F6354E"/>
    <w:rsid w:val="00FD21F1"/>
    <w:rsid w:val="00FF4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DA40"/>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a0"/>
    <w:rsid w:val="005B434B"/>
    <w:pPr>
      <w:keepNext/>
      <w:spacing w:after="200" w:line="225" w:lineRule="atLeast"/>
      <w:jc w:val="center"/>
    </w:pPr>
    <w:rPr>
      <w:rFonts w:ascii="Linux Libertine O" w:eastAsia="Cambria" w:hAnsi="Linux Libertine O" w:cs="Linux Libertine O"/>
      <w:sz w:val="18"/>
      <w:szCs w:val="24"/>
    </w:rPr>
  </w:style>
  <w:style w:type="paragraph" w:styleId="a">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a0"/>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a4">
    <w:name w:val="Hyperlink"/>
    <w:rsid w:val="005B434B"/>
    <w:rPr>
      <w:rFonts w:ascii="Linux Libertine O" w:hAnsi="Linux Libertine O" w:cs="Linux Libertine O" w:hint="default"/>
      <w:color w:val="0000FF"/>
      <w:u w:val="single"/>
    </w:rPr>
  </w:style>
  <w:style w:type="paragraph" w:styleId="a5">
    <w:name w:val="Subtitle"/>
    <w:basedOn w:val="a0"/>
    <w:next w:val="a0"/>
    <w:link w:val="a6"/>
    <w:qFormat/>
    <w:rsid w:val="005B434B"/>
    <w:pPr>
      <w:spacing w:after="360" w:line="333" w:lineRule="atLeast"/>
    </w:pPr>
    <w:rPr>
      <w:rFonts w:ascii="Linux Biolinum O" w:eastAsia="MS Gothic" w:hAnsi="Linux Biolinum O" w:cs="Linux Biolinum O"/>
      <w:iCs/>
      <w:sz w:val="18"/>
      <w:szCs w:val="24"/>
    </w:rPr>
  </w:style>
  <w:style w:type="character" w:customStyle="1" w:styleId="a6">
    <w:name w:val="副标题 字符"/>
    <w:basedOn w:val="a1"/>
    <w:link w:val="a5"/>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1"/>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a0"/>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a0"/>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a0"/>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a0"/>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a0"/>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a0"/>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a0"/>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a0"/>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a0"/>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a7">
    <w:name w:val="footer"/>
    <w:basedOn w:val="a0"/>
    <w:link w:val="a8"/>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a8">
    <w:name w:val="页脚 字符"/>
    <w:basedOn w:val="a1"/>
    <w:link w:val="a7"/>
    <w:uiPriority w:val="99"/>
    <w:rsid w:val="005B434B"/>
    <w:rPr>
      <w:rFonts w:ascii="Linux Libertine O" w:eastAsia="MS Mincho" w:hAnsi="Linux Libertine O" w:cs="Linux Libertine O"/>
      <w:sz w:val="18"/>
      <w:szCs w:val="24"/>
      <w:lang w:eastAsia="ja-JP"/>
    </w:rPr>
  </w:style>
  <w:style w:type="numbering" w:styleId="111111">
    <w:name w:val="Outline List 2"/>
    <w:basedOn w:val="a3"/>
    <w:uiPriority w:val="99"/>
    <w:semiHidden/>
    <w:unhideWhenUsed/>
    <w:rsid w:val="005B434B"/>
    <w:pPr>
      <w:numPr>
        <w:numId w:val="2"/>
      </w:numPr>
    </w:pPr>
  </w:style>
  <w:style w:type="table" w:styleId="a9">
    <w:name w:val="Table Grid"/>
    <w:basedOn w:val="a2"/>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1"/>
    <w:link w:val="CCSHead"/>
    <w:rsid w:val="005B434B"/>
    <w:rPr>
      <w:rFonts w:ascii="Linux Libertine O" w:eastAsia="Cambria" w:hAnsi="Linux Libertine O" w:cs="Linux Libertine O"/>
      <w:b/>
      <w:sz w:val="16"/>
    </w:rPr>
  </w:style>
  <w:style w:type="character" w:customStyle="1" w:styleId="KeyWordHeadchar">
    <w:name w:val="KeyWordHead char"/>
    <w:basedOn w:val="a1"/>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1"/>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1"/>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10">
    <w:name w:val="标题 1 字符"/>
    <w:basedOn w:val="a1"/>
    <w:link w:val="1"/>
    <w:uiPriority w:val="9"/>
    <w:rsid w:val="005B434B"/>
    <w:rPr>
      <w:rFonts w:asciiTheme="majorHAnsi" w:eastAsiaTheme="majorEastAsia" w:hAnsiTheme="majorHAnsi" w:cstheme="majorBidi"/>
      <w:color w:val="2E74B5" w:themeColor="accent1" w:themeShade="BF"/>
      <w:sz w:val="32"/>
      <w:szCs w:val="32"/>
    </w:rPr>
  </w:style>
  <w:style w:type="character" w:customStyle="1" w:styleId="20">
    <w:name w:val="标题 2 字符"/>
    <w:basedOn w:val="a1"/>
    <w:link w:val="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1"/>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a0"/>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a0"/>
    <w:link w:val="TableFootnoteChar"/>
    <w:rsid w:val="005C3913"/>
    <w:pPr>
      <w:spacing w:after="200" w:line="240" w:lineRule="auto"/>
    </w:pPr>
    <w:rPr>
      <w:rFonts w:eastAsia="Cambria"/>
    </w:rPr>
  </w:style>
  <w:style w:type="paragraph" w:styleId="aa">
    <w:name w:val="caption"/>
    <w:basedOn w:val="a0"/>
    <w:next w:val="a0"/>
    <w:uiPriority w:val="35"/>
    <w:unhideWhenUsed/>
    <w:qFormat/>
    <w:rsid w:val="00524ACE"/>
    <w:pPr>
      <w:spacing w:after="200" w:line="240" w:lineRule="auto"/>
    </w:pPr>
    <w:rPr>
      <w:i/>
      <w:iCs/>
      <w:color w:val="44546A" w:themeColor="text2"/>
      <w:sz w:val="18"/>
      <w:szCs w:val="18"/>
    </w:rPr>
  </w:style>
  <w:style w:type="paragraph" w:styleId="ab">
    <w:name w:val="header"/>
    <w:basedOn w:val="a0"/>
    <w:link w:val="ac"/>
    <w:uiPriority w:val="99"/>
    <w:unhideWhenUsed/>
    <w:rsid w:val="00235856"/>
    <w:pPr>
      <w:tabs>
        <w:tab w:val="center" w:pos="4680"/>
        <w:tab w:val="right" w:pos="9360"/>
      </w:tabs>
      <w:spacing w:after="0" w:line="240" w:lineRule="auto"/>
    </w:pPr>
  </w:style>
  <w:style w:type="character" w:customStyle="1" w:styleId="ac">
    <w:name w:val="页眉 字符"/>
    <w:basedOn w:val="a1"/>
    <w:link w:val="ab"/>
    <w:uiPriority w:val="99"/>
    <w:rsid w:val="00235856"/>
  </w:style>
  <w:style w:type="paragraph" w:styleId="ad">
    <w:name w:val="Title"/>
    <w:basedOn w:val="a0"/>
    <w:next w:val="a0"/>
    <w:link w:val="ae"/>
    <w:uiPriority w:val="10"/>
    <w:qFormat/>
    <w:rsid w:val="002358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标题 字符"/>
    <w:basedOn w:val="a1"/>
    <w:link w:val="ad"/>
    <w:uiPriority w:val="10"/>
    <w:rsid w:val="002358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esl.cs.umass.edu/data/data-umasscitationfiel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2663</Words>
  <Characters>14865</Characters>
  <Application>Microsoft Office Word</Application>
  <DocSecurity>0</DocSecurity>
  <Lines>243</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Ziyu Zhao</cp:lastModifiedBy>
  <cp:revision>2</cp:revision>
  <dcterms:created xsi:type="dcterms:W3CDTF">2022-11-10T06:43:00Z</dcterms:created>
  <dcterms:modified xsi:type="dcterms:W3CDTF">2022-11-10T06:43:00Z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7fd1164b0d4cc768942781fd6432a997222ea257a367d55513ee1eb89396e4b1</vt:lpwstr>
  </property>
</Properties>
</file>