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MIMIC-III 项目需求分析文档</w:t>
      </w:r>
    </w:p>
    <w:p>
      <w:pPr>
        <w:spacing w:after="120"/>
        <w:jc w:val="center"/>
      </w:pPr>
      <w:r>
        <w:rPr>
          <w:rFonts w:ascii="Arial" w:cs="Arial" w:eastAsia="Arial" w:hAnsi="Arial"/>
          <w:color w:val="808080"/>
          <w:sz w:val="26"/>
          <w:szCs w:val="26"/>
        </w:rPr>
        <w:t xml:space="preserve">Requirements Analysis — Level 1 / 2 / 3</w:t>
      </w:r>
    </w:p>
    <w:p>
      <w:pPr>
        <w:spacing w:after="8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基于 MIMIC-III Clinical Database (Demo Subset)</w:t>
      </w:r>
    </w:p>
    <w:p>
      <w:pPr>
        <w:spacing w:after="40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日期：2026-04-23</w:t>
      </w:r>
    </w:p>
    <w:p>
      <w:r>
        <w:br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0. 项目背景与整体架构</w:t>
      </w:r>
    </w:p>
    <w:p>
      <w:pPr>
        <w:pBdr>
          <w:bottom w:val="single" w:color="2E75B6" w:sz="6" w:space="1"/>
        </w:pBdr>
        <w:spacing w:after="120" w:before="16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本项目以 MIMIC-III Demo 数据集（来自 Beth Israel Deaconess Medical Center ICU 的去标识化临床数据）为基础，要求参赛者在约 1.5 小时内完成从原始数据到可交互可视化和统计模型的全流程。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数据集概况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患者数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~100（demo 子集）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住院次数（Admissions）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ICU 入住次数（ICU Stays）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~136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实验室检查记录（Lab Events）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~76,000 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体征记录（Chart Events）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~758,000 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用药记录（Prescriptions）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~10,000 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诊断编码（Diagnoses ICD-9）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~1,700 条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核心数据表关系（简述）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PATIENTS → ADMISSIONS → ICUSTAYS（一患者可多次入院，一次入院可多次进入 ICU）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ADMISSIONS / ICUSTAYS ← LABEVENTS / CHARTEVENTS / PRESCRIPTIONS / DIAGNOSES_ICD（一次就诊对应多条临床事件）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整体任务分级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7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核心产出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探索与理解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可视化仪表板 + ERD 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 必做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建模分析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两个预测模型 + 交互式 HTML 仪表板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 必做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开放挑战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eDISH 图 + 患者故事分析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 加分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建议优先保证 Level 1 和 Level 2 的完整性与质量，Level 3 作为加分项酌情完成。</w:t>
      </w:r>
    </w:p>
    <w:p>
      <w:r>
        <w:br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Level 1 — 探索与理解</w:t>
      </w:r>
    </w:p>
    <w:p>
      <w:pPr>
        <w:pBdr>
          <w:bottom w:val="single" w:color="2E75B6" w:sz="6" w:space="1"/>
        </w:pBdr>
        <w:spacing w:after="120" w:before="16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目标：快速建立对数据集的整体认知，产出第一份可视化成果，验证数据加载与清洗流程的正确性。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1a. 探索性仪表板（EDA Dashboard）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需求描述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构建包含以下 6 个图表模块的仪表板，支持在浏览器中直接查看（HTML 或 Jupyter Notebook 均可）。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图表模块清单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1500"/>
        <w:gridCol w:w="1400"/>
        <w:gridCol w:w="1760"/>
        <w:gridCol w:w="2200"/>
      </w:tblGrid>
      <w:tr>
        <w:trPr>
          <w:tblHeader/>
        </w:trP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图表名称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图表类型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院内死亡率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ADMISSIONS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数字卡片 / 饼图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hospital_expire_flag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正确显示死亡人数及百分比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10 常见诊断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DIAGNOSES_ICD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横向条形图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icd9_code / 诊断描述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映射 ICD-9 描述文本，按频次降序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ICU 住院时长按护理单元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ICUSTAYS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分组箱线图 / 柱状图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los, first_careunit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区分 MICU/SICU/CCU/CSRU 等单元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死亡率按入院类型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ADMISSIONS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分组柱状图 / 堆叠图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admission_type, hospital_expire_flag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覆盖 EMERGENCY / ELECTIVE / URGENT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实验室指标分布（3-4项）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LABEVENTS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直方图 / 小提琴图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itemid, valuenum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选取肌酐、WBC、血红蛋白等有临床意义的指标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ICU 住院时长分布 + 中位线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ICUSTAYS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直方图 + 参考线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标注中位数数值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技术要点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数据加载：用 pandas 读取 CSV，注意 ADMISSIONS 中时间字段为 datetime 类型，需解析后计算住院时长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ICD-9 描述映射：可使用 D_ICD_DIAGNOSES.csv 关联 icd9_code → long_title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推荐可视化库：Plotly（交互）或 Matplotlib/Seaborn（静态）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仪表板框架：Plotly Dash / Panel / 单页 HTML 均可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已知数据坑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hospital_expire_flag 在部分行可能为 NULL，需做缺失处理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ICU los 字段单位为天（小数），直方图建议以 0.5 天为 bin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Lab 指标存在异常值（如负数、超生理范围），需做范围过滤或 log 转换后再绘图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📋 验收标准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6 个图表全部可渲染，无报错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图表有标题、轴标签、图例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ICD-9 诊断显示可读文字（非原始编码）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死亡率数字与原始数据一致（可手动抽查）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1b. 实体关系图（ERD）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需求描述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创建一张可视化图（HTML、图片或文字图均可），展示核心数据表之间的关联关系，聚焦主键/外键连接。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需要覆盖的核心表及关系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主键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与其他表的关联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ADMISSIONS, ICUSTAYS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ADMISSIONS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hadm_id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← PATIENTS; → LABEVENTS, DIAGNOSES_ICD, PRESCRIPTIONS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ICUSTAYS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icustay_id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← PATIENTS/ADMISSIONS; → CHARTEVENTS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LABEVENTS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(subject_id, hadm_id)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← ADMISSIONS; → D_LABITEMS (itemid)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CHARTEVENTS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(subject_id, icustay_id)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← ICUSTAYS; → D_ITEMS (itemid)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DIAGNOSES_ICD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(subject_id, hadm_id)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← ADMISSIONS; → D_ICD_DIAGNOSES (icd9_code)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PRESCRIPTIONS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(subject_id, hadm_id)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← ADMISSIONS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实现建议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工具选项 A：Python eralchemy / sqlalchemy_schemadisplay 自动生成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工具选项 B：graphviz / mermaid.js 手写 DSL 代码生成 SVG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工具选项 C：drawio / Lucidchart 手动绘制并导出为图片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📋 验收标准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涵盖至少 PATIENTS / ADMISSIONS / ICUSTAYS / LABEVENTS 四张核心表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标注主键（PK）和外键（FK）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图形可读、无文字重叠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Level 2 — 建模分析</w:t>
      </w:r>
    </w:p>
    <w:p>
      <w:pPr>
        <w:pBdr>
          <w:bottom w:val="single" w:color="2E75B6" w:sz="6" w:space="1"/>
        </w:pBdr>
        <w:spacing w:after="120" w:before="16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目标：基于特征工程构建两条预测模型轨道，并将结果以交互式 HTML 仪表板呈现。要求尝试多种算法/特征改进，提供完整的评估指标和结果解读。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Track A：院内死亡率预测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任务定义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7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目标变量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hospital_expire_flag（0 = 存活，1 = 院内死亡）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二分类（Binary Classification）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基线模型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逻辑回归（Logistic Regression）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改进方向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随机森林、XGBoost、特征选择、类别不平衡处理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特征工程详细说明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① 人口统计学特征（来自 PATIENTS + ADMISSIONS）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特征名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原始字段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PATIENTS.dob + ADMISSIONS.admittime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计算入院时年龄；&gt;89岁通常被置换为300，需特殊处理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性别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PATIENTS.gender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One-hot 编码（M/F）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入院类型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ADMISSIONS.admission_type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One-hot（EMERGENCY / ELECTIVE / URGENT）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② Charlson 合并症指数（来自 DIAGNOSES_ICD）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根据 ICD-9 编码映射到 Charlson 疾病分类，每类赋权重后求和。常用 Python 库：charlson 或手写映射表。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数据源：DIAGNOSES_ICD.csv（字段：icd9_code）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③ 入院后 24 小时实验室值（来自 LABEVENTS）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提取每次住院（hadm_id）从 admittime 起 24 小时内的实验室检查，以 min / max / mean 汇总。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指标名称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itemid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临床意义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肌酐 Creatinine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50912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肾功能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血尿素氮 BUN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51006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肾功能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白细胞计数 WBC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51301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感染/炎症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血小板 Platelets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51265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凝血功能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血红蛋白 Hemoglobin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51222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贫血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总胆红素 Bilirubin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50885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肝功能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乳酸 Lactate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50813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组织灌注/休克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每个指标生成 3 列：{指标}_min / {指标}_max / {指标}_mean，缺失值用全局中位数填充。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模型评估指标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参考阈值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AUROC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区分存活/死亡的能力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&gt;0.75 为可接受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 / Recall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死亡类别的精确率与召回率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死亡类别 Recall 需重点关注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F1-Score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精确率与召回率的调和均值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&gt;0.5 为基本水平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混淆矩阵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四象限计数可视化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可辅助理解误分类模式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特征重要性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回归系数 / 树模型 feature importance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解释哪些特征最影响死亡预测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改进方向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尝试 RandomForest / XGBoost / LightGBM，对比 AUROC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处理类别不平衡：SMOTE 过采样 或 class_weight="balanced"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添加更多特征：ICU 入住时长、护理单元类型、诊断数量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使用 SHAP 解释模型，可视化各特征贡献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📋 验收标准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特征矩阵包含人口统计 + Charlson + 7 项 Lab 的 min/max/mean（共 ≥ 24 个特征列）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报告逻辑回归 AUROC 并与改进模型对比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提供 ROC 曲线图和混淆矩阵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有缺失值处理说明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336A"/>
          <w:sz w:val="26"/>
          <w:szCs w:val="26"/>
        </w:rPr>
        <w:t xml:space="preserve">Track B：ICU 住院时长预测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任务定义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7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目标变量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ICUSTAYS.los（ICU 住院时长，单位：天）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回归（Regression）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基线模型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梯度提升树（Gradient Boosted Trees，如 XGBoost / LightGBM）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改进方向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特征扩充、超参调优、分位数回归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特征工程详细说明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44336A"/>
          <w:sz w:val="20"/>
          <w:szCs w:val="20"/>
        </w:rPr>
        <w:t xml:space="preserve">① 人口统计学 + 入院类型（同 Track A）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年龄、性别、入院类型，处理方式同 Track A。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44336A"/>
          <w:sz w:val="20"/>
          <w:szCs w:val="20"/>
        </w:rPr>
        <w:t xml:space="preserve">② 入院后 24 小时生命体征（来自 CHARTEVENTS）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提取每次 ICU 入住（icustay_id）从 intime 起 24 小时内的体征记录，以 min / max / mean 汇总。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体征名称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itemid（多个对应同一指标）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临床意义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心率 Heart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211, 220045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心血管状态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收缩压 Systolic BP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51, 220050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血流动力学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舒张压 Diastolic BP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8368, 220051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血流动力学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血氧饱和度 SpO2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646, 220277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呼吸功能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体温 Temperature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223761, 678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感染/代谢状态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呼吸频率 Resp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618, 220210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呼吸功能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注意：同一指标有多个 itemid（CareVue 与 MetaVision 系统混合），需合并后统一处理。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每个体征生成 3 列：{体征}_min / {体征}_max / {体征}_mean。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44336A"/>
          <w:sz w:val="20"/>
          <w:szCs w:val="20"/>
        </w:rPr>
        <w:t xml:space="preserve">③ 诊断特征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诊断数量（count of ICD-9 codes per admission）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Charlson 合并症指数（同 Track A 计算方式）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模型评估指标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MAE（平均绝对误差）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预测误差的平均绝对值，单位为天，直观可解释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RMSE（均方根误差）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对大偏差更敏感，ICU 长尾分布场景下需关注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R²（决定系数）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模型解释方差的比例，越接近1越好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特征重要性图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可视化哪些特征对 LOS 预测贡献最大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改进方向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对 los 做 log 变换（因其为右偏分布），训练后反变换预测值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添加 Track A 中的 Lab 特征以丰富输入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尝试分位数回归（Quantile Regression）估计 LOS 的置信区间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超参调优：学习率、树深度、子采样比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336A" w:sz="1"/>
              <w:left w:val="single" w:color="44336A" w:sz="1"/>
              <w:bottom w:val="single" w:color="44336A" w:sz="1"/>
              <w:right w:val="single" w:color="44336A" w:sz="1"/>
            </w:tcBorders>
            <w:shd w:fill="E8E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336A"/>
                <w:sz w:val="22"/>
                <w:szCs w:val="22"/>
              </w:rPr>
              <w:t xml:space="preserve">📋 验收标准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特征矩阵包含人口统计 + 6 项体征 min/max/mean + 诊断特征（共 ≥ 22 列）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报告 MAE、RMSE、R² 并与 baseline（均值预测）对比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提供特征重要性可视化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正确处理多 itemid 合并问题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Level 2 交互式 HTML 仪表板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两个 Track 的模型结果均需整合进同一交互式 HTML 仪表板，要求：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Track A 区域：ROC 曲线、混淆矩阵、SHAP/特征重要性条形图、关键评估指标卡片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Track B 区域：预测值 vs. 实际值散点图、误差分布图、特征重要性图、MAE/RMSE/R² 卡片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仪表板需可在本地浏览器无需服务端独立打开（推荐 Plotly 导出为 standalone HTML）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Level 3 — 开放性挑战</w:t>
      </w:r>
    </w:p>
    <w:p>
      <w:pPr>
        <w:pBdr>
          <w:bottom w:val="single" w:color="2E75B6" w:sz="6" w:space="1"/>
        </w:pBdr>
        <w:spacing w:after="120" w:before="16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目标：在药物警戒和患者故事两个维度进行深度探索，无唯一正确答案，考察分析创造力和数据叙事能力。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3a. eDISH 图（药物性肝损伤评估）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背景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eDISH（evaluation of Drug-Induced Serious Hepatotoxicity）是 FDA 推荐的药物性肝毒性评估工具。Hy's Law 是判断潜在严重肝损伤的经典标准：ALT &gt; 3×ULN 且 Bilirubin &gt; 2×ULN（同时排除胆汁淤积）。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需求描述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峰值 ALT / ULN（ULN = 40 U/L），对数刻度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 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峰值总胆红素 / ULN（ULN = 1.2 mg/dL），对数刻度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数据单位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每个点代表一名患者（subject_id 维度聚合）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区域划分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象限：Temple's Corollary（左上）/ Hy's Law（右上）/ Normal（左下）/ Cholestasis（右下）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高亮标注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满足 Hy's Law 的患者用醒目颜色标注，悬停显示 subject_id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参考线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X=1（ALT 正常上限），X=3（Hy's Law 阈值），Y=1（Bilirubin 正常上限），Y=2（Hy's Law 阈值）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数据提取方式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ALT：LABEVENTS 中 itemid = 50861，按 subject_id 取 valuenum 的最大值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总胆红素：LABEVENTS 中 itemid = 50885，按 subject_id 取最大值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排除 valuenum 为 NULL 或 ≤ 0 的记录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延伸需求（可选）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肾脏安全 — KDIGO 分期（来自肌酐变化）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KDIGO 分期</w:t>
            </w:r>
          </w:p>
        </w:tc>
        <w:tc>
          <w:tcPr>
            <w:tcW w:type="dxa" w:w="7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判断标准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肌酐升高 ≥ 0.3 mg/dL，或升高至基线 1.5–1.9 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肌酐升高至基线 2.0–2.9 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肌酐升高至基线 ≥ 3 倍，或 ≥ 4.0 mg/dL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血液毒性 — CTCAE 分级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5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 3 阈值</w:t>
            </w:r>
          </w:p>
        </w:tc>
        <w:tc>
          <w:tcPr>
            <w:tcW w:type="dxa" w:w="35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 4 阈值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WBC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1.0 × 10⁹/L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0.5 × 10⁹/L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血红蛋白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8.0 g/dL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危及生命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血小板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 × 10⁹/L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25 × 10⁹/L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📋 验收标准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eDISH 散点图可正确渲染，坐标轴使用对数刻度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4 个象限有标注或背景色区分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Hy's Law 患者有高亮，数量与手动筛查一致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✅（加分）KDIGO 或 CTCAE 分级结果展示在同一面板或独立图表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3b. 患者数据叙事（Patient Story Analysis）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需求描述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将多维度实验室数据整合进行可视化或分析，发现有趣的规律、异常或患者个体叙事。这是开放性任务，以下为推荐方向：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推荐分析方向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分析思路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可能的有趣发现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 时序趋势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选取 2-3 名患者，绘制关键 Lab 指标（肌酐、乳酸、WBC）随 ICU 住院时间的变化曲线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可识别病情恶化/好转拐点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多指标相关性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计算 Lab 指标之间的 Pearson 相关矩阵并绘制热图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发现如乳酸与胆红素同步升高（多器官衰竭信号）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异常患者识别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通过 Z-score 或 IQR 方法识别各指标极端值患者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异常值往往对应高死亡风险或特殊病种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死亡 vs. 存活轨迹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对比死亡组与存活组的 Lab 均值变化曲线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直观呈现死亡患者的指标恶化趋势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聚类分析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对患者 Lab 特征做 K-Means 聚类，观察各簇的临床特征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可能发现隐藏的患者亚组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📋 验收标准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至少一个有意义的跨指标可视化或分析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有文字注释说明"这个图在讲什么故事"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发现至少 1 个有临床意义的规律或异常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附录：技术实施参考</w:t>
      </w:r>
    </w:p>
    <w:p>
      <w:pPr>
        <w:pBdr>
          <w:bottom w:val="single" w:color="2E75B6" w:sz="6" w:space="1"/>
        </w:pBdr>
        <w:spacing w:after="12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推荐技术栈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推荐工具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数据处理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pandas, numpy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基础必备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可视化（静态）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matplotlib, seaborn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快速出图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可视化（交互）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plotly, plotly.express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推荐用于 HTML 仪表板导出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机器学习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scikit-learn, xgboost, lightgbm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覆盖 Track A &amp; 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模型解释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用于特征重要性可视化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Charlson 指数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charlson 库 / 手写映射表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ERD 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eralchemy2 / graphviz / mermaid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任选一种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关键时间节点建议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建议耗时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环境搭建 &amp; 数据加载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repo 初始化，所有 CSV 可正常读取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1a EDA 仪表板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min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张图表渲染正常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1b ERD 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核心表关系图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2 特征工程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特征矩阵 DataFrame 已构建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2 Track A 建模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逻辑回归 + 一个改进模型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2 Track B 建模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GBM + 评估指标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2 HTML 仪表板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两个 Track 结果集成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3（余量）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剩余时间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eDISH 图 + 患者故事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常见陷阱清单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⚠️ CHARTEVENTS 文件体积极大（758K 行），建议先按 itemid 过滤再加载，避免 OOM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⚠️ PATIENTS 中 &gt;89 岁患者年龄被替换为 300，需在特征工程时 clip 到合理范围（如 89）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⚠️ LABEVENTS 中同一 hadm_id 24小时窗口需基于 admittime 而非 charttime 的绝对值计算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⚠️ CHARTEVENTS 的 itemid 在 CareVue 和 MetaVision 双系统中有不同编码，需合并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⚠️ 类别不平衡：死亡患者数量远少于存活，Track A 模型需关注少数类性能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第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808080"/>
        <w:sz w:val="18"/>
        <w:szCs w:val="18"/>
      </w:rPr>
      <w:t xml:space="preserve">MIMIC-III 项目需求分析文档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2026-04-23T18:05:34.108Z</dcterms:created>
  <dcterms:modified xsi:type="dcterms:W3CDTF">2026-04-23T18:05:34.108Z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