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3E7" w:rsidRPr="00BD5A3E" w:rsidRDefault="002653E7" w:rsidP="002653E7">
      <w:pPr>
        <w:ind w:left="-108"/>
        <w:jc w:val="center"/>
        <w:rPr>
          <w:color w:val="FF0000"/>
          <w:sz w:val="56"/>
          <w:szCs w:val="56"/>
        </w:rPr>
      </w:pPr>
    </w:p>
    <w:p w:rsidR="002653E7" w:rsidRPr="00BD5A3E" w:rsidRDefault="002653E7" w:rsidP="002653E7">
      <w:pPr>
        <w:ind w:left="-108"/>
        <w:jc w:val="center"/>
        <w:rPr>
          <w:color w:val="FF0000"/>
          <w:sz w:val="56"/>
          <w:szCs w:val="56"/>
        </w:rPr>
      </w:pPr>
      <w:r>
        <w:rPr>
          <w:noProof/>
          <w:color w:val="FF0000"/>
          <w:sz w:val="56"/>
          <w:szCs w:val="56"/>
        </w:rPr>
        <w:drawing>
          <wp:inline distT="0" distB="0" distL="0" distR="0" wp14:anchorId="207EF136" wp14:editId="40F8667B">
            <wp:extent cx="2197100" cy="7835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0322"/>
                    <a:stretch>
                      <a:fillRect/>
                    </a:stretch>
                  </pic:blipFill>
                  <pic:spPr bwMode="auto">
                    <a:xfrm>
                      <a:off x="0" y="0"/>
                      <a:ext cx="2197100" cy="783590"/>
                    </a:xfrm>
                    <a:prstGeom prst="rect">
                      <a:avLst/>
                    </a:prstGeom>
                    <a:noFill/>
                    <a:ln>
                      <a:noFill/>
                    </a:ln>
                  </pic:spPr>
                </pic:pic>
              </a:graphicData>
            </a:graphic>
          </wp:inline>
        </w:drawing>
      </w:r>
    </w:p>
    <w:p w:rsidR="002653E7" w:rsidRDefault="002653E7" w:rsidP="002653E7">
      <w:pPr>
        <w:ind w:left="-108"/>
        <w:jc w:val="center"/>
        <w:rPr>
          <w:color w:val="FF0000"/>
          <w:sz w:val="56"/>
          <w:szCs w:val="56"/>
        </w:rPr>
      </w:pPr>
    </w:p>
    <w:p w:rsidR="002653E7" w:rsidRDefault="002653E7" w:rsidP="002653E7">
      <w:pPr>
        <w:ind w:left="-108"/>
        <w:jc w:val="center"/>
        <w:rPr>
          <w:color w:val="FF0000"/>
          <w:sz w:val="56"/>
          <w:szCs w:val="56"/>
        </w:rPr>
      </w:pPr>
    </w:p>
    <w:p w:rsidR="002653E7" w:rsidRDefault="00433511" w:rsidP="002653E7">
      <w:pPr>
        <w:ind w:left="-108"/>
        <w:jc w:val="center"/>
        <w:rPr>
          <w:b/>
          <w:caps/>
          <w:color w:val="FF0000"/>
          <w:sz w:val="52"/>
          <w:szCs w:val="52"/>
        </w:rPr>
      </w:pPr>
      <w:r>
        <w:rPr>
          <w:b/>
          <w:caps/>
          <w:color w:val="FF0000"/>
          <w:sz w:val="52"/>
          <w:szCs w:val="52"/>
        </w:rPr>
        <w:t xml:space="preserve">SHUSA </w:t>
      </w:r>
      <w:r w:rsidR="002653E7">
        <w:rPr>
          <w:b/>
          <w:caps/>
          <w:color w:val="FF0000"/>
          <w:sz w:val="52"/>
          <w:szCs w:val="52"/>
        </w:rPr>
        <w:t>GROUP Risk Appetite metrics</w:t>
      </w:r>
    </w:p>
    <w:p w:rsidR="002653E7" w:rsidRDefault="002653E7" w:rsidP="002653E7">
      <w:pPr>
        <w:ind w:left="-108"/>
        <w:jc w:val="center"/>
        <w:rPr>
          <w:b/>
          <w:caps/>
          <w:color w:val="FF0000"/>
          <w:sz w:val="52"/>
          <w:szCs w:val="52"/>
        </w:rPr>
      </w:pPr>
      <w:r>
        <w:rPr>
          <w:b/>
          <w:caps/>
          <w:color w:val="FF0000"/>
          <w:sz w:val="52"/>
          <w:szCs w:val="52"/>
        </w:rPr>
        <w:t>glossary</w:t>
      </w:r>
    </w:p>
    <w:p w:rsidR="002653E7" w:rsidRDefault="002653E7" w:rsidP="002653E7"/>
    <w:p w:rsidR="002653E7" w:rsidRDefault="002653E7" w:rsidP="002653E7"/>
    <w:p w:rsidR="002653E7" w:rsidRDefault="002653E7" w:rsidP="002653E7"/>
    <w:p w:rsidR="002653E7" w:rsidRDefault="002653E7" w:rsidP="002653E7"/>
    <w:p w:rsidR="002653E7" w:rsidRDefault="002653E7" w:rsidP="002653E7"/>
    <w:p w:rsidR="002653E7" w:rsidRDefault="002653E7" w:rsidP="002653E7"/>
    <w:p w:rsidR="002653E7" w:rsidRDefault="002653E7" w:rsidP="002653E7"/>
    <w:p w:rsidR="00622FC2" w:rsidRDefault="00622FC2"/>
    <w:p w:rsidR="002653E7" w:rsidRDefault="002653E7"/>
    <w:p w:rsidR="002653E7" w:rsidRDefault="002653E7"/>
    <w:p w:rsidR="002653E7" w:rsidRDefault="002653E7"/>
    <w:p w:rsidR="002653E7" w:rsidRDefault="002653E7"/>
    <w:p w:rsidR="002653E7" w:rsidRDefault="002653E7"/>
    <w:p w:rsidR="002653E7" w:rsidRPr="00DE14CE" w:rsidRDefault="002653E7" w:rsidP="002653E7">
      <w:pPr>
        <w:pBdr>
          <w:bottom w:val="single" w:sz="4" w:space="1" w:color="FF0000"/>
        </w:pBdr>
        <w:spacing w:before="120" w:after="120"/>
        <w:rPr>
          <w:b/>
          <w:color w:val="FF0000"/>
          <w:sz w:val="28"/>
        </w:rPr>
      </w:pPr>
      <w:r w:rsidRPr="00DE14CE">
        <w:rPr>
          <w:b/>
          <w:color w:val="FF0000"/>
          <w:sz w:val="28"/>
        </w:rPr>
        <w:lastRenderedPageBreak/>
        <w:t>Table of Contents</w:t>
      </w:r>
    </w:p>
    <w:p w:rsidR="002653E7" w:rsidRPr="009E1AF5" w:rsidRDefault="002653E7" w:rsidP="002653E7">
      <w:pPr>
        <w:pStyle w:val="TOC1"/>
        <w:tabs>
          <w:tab w:val="left" w:pos="440"/>
          <w:tab w:val="right" w:leader="dot" w:pos="9350"/>
        </w:tabs>
        <w:rPr>
          <w:rFonts w:asciiTheme="minorHAnsi" w:eastAsiaTheme="minorEastAsia" w:hAnsiTheme="minorHAnsi" w:cstheme="minorBidi"/>
          <w:caps w:val="0"/>
          <w:noProof/>
          <w:color w:val="auto"/>
          <w:sz w:val="22"/>
        </w:rPr>
      </w:pPr>
      <w:r>
        <w:rPr>
          <w:caps w:val="0"/>
          <w:smallCaps/>
        </w:rPr>
        <w:fldChar w:fldCharType="begin"/>
      </w:r>
      <w:r>
        <w:rPr>
          <w:caps w:val="0"/>
          <w:smallCaps/>
        </w:rPr>
        <w:instrText xml:space="preserve"> TOC \h \z \t "SANUS 1,1,SAN US 2,2,SAN US 3,3" </w:instrText>
      </w:r>
      <w:r>
        <w:rPr>
          <w:caps w:val="0"/>
          <w:smallCaps/>
        </w:rPr>
        <w:fldChar w:fldCharType="separate"/>
      </w:r>
      <w:hyperlink w:anchor="_Toc434594238" w:history="1">
        <w:r w:rsidRPr="009E1AF5">
          <w:rPr>
            <w:rStyle w:val="Hyperlink"/>
            <w:noProof/>
            <w:lang w:bidi="en-US"/>
          </w:rPr>
          <w:t>1.</w:t>
        </w:r>
        <w:r w:rsidRPr="009E1AF5">
          <w:rPr>
            <w:rFonts w:asciiTheme="minorHAnsi" w:eastAsiaTheme="minorEastAsia" w:hAnsiTheme="minorHAnsi" w:cstheme="minorBidi"/>
            <w:caps w:val="0"/>
            <w:noProof/>
            <w:color w:val="auto"/>
            <w:sz w:val="22"/>
          </w:rPr>
          <w:tab/>
        </w:r>
        <w:r w:rsidRPr="009E1AF5">
          <w:rPr>
            <w:rStyle w:val="Hyperlink"/>
            <w:noProof/>
            <w:lang w:bidi="en-US"/>
          </w:rPr>
          <w:t>Introduction</w:t>
        </w:r>
        <w:r w:rsidRPr="009E1AF5">
          <w:rPr>
            <w:noProof/>
            <w:webHidden/>
          </w:rPr>
          <w:tab/>
        </w:r>
        <w:r w:rsidR="009A1A42">
          <w:rPr>
            <w:noProof/>
            <w:webHidden/>
          </w:rPr>
          <w:t>3</w:t>
        </w:r>
      </w:hyperlink>
    </w:p>
    <w:p w:rsidR="002653E7" w:rsidRPr="009E1AF5" w:rsidRDefault="00ED1FF6" w:rsidP="008270C8">
      <w:pPr>
        <w:pStyle w:val="TOC2"/>
        <w:rPr>
          <w:rFonts w:asciiTheme="minorHAnsi" w:eastAsiaTheme="minorEastAsia" w:hAnsiTheme="minorHAnsi" w:cstheme="minorBidi"/>
          <w:sz w:val="22"/>
          <w:szCs w:val="22"/>
        </w:rPr>
      </w:pPr>
      <w:hyperlink w:anchor="_Toc434594239" w:history="1">
        <w:r w:rsidR="002653E7" w:rsidRPr="009E1AF5">
          <w:rPr>
            <w:rStyle w:val="Hyperlink"/>
          </w:rPr>
          <w:t>1.1</w:t>
        </w:r>
        <w:r w:rsidR="002653E7" w:rsidRPr="009E1AF5">
          <w:rPr>
            <w:rFonts w:asciiTheme="minorHAnsi" w:eastAsiaTheme="minorEastAsia" w:hAnsiTheme="minorHAnsi" w:cstheme="minorBidi"/>
            <w:sz w:val="22"/>
            <w:szCs w:val="22"/>
          </w:rPr>
          <w:tab/>
        </w:r>
        <w:r w:rsidR="002653E7" w:rsidRPr="009E1AF5">
          <w:rPr>
            <w:rStyle w:val="Hyperlink"/>
          </w:rPr>
          <w:t>Purpose of the document</w:t>
        </w:r>
        <w:r w:rsidR="002653E7" w:rsidRPr="009E1AF5">
          <w:rPr>
            <w:webHidden/>
          </w:rPr>
          <w:tab/>
        </w:r>
        <w:r w:rsidR="009A1A42">
          <w:rPr>
            <w:webHidden/>
          </w:rPr>
          <w:t>3</w:t>
        </w:r>
      </w:hyperlink>
    </w:p>
    <w:p w:rsidR="002653E7" w:rsidRPr="009E1AF5" w:rsidRDefault="00ED1FF6" w:rsidP="008270C8">
      <w:pPr>
        <w:pStyle w:val="TOC2"/>
        <w:rPr>
          <w:rFonts w:asciiTheme="minorHAnsi" w:eastAsiaTheme="minorEastAsia" w:hAnsiTheme="minorHAnsi" w:cstheme="minorBidi"/>
          <w:sz w:val="22"/>
          <w:szCs w:val="22"/>
        </w:rPr>
      </w:pPr>
      <w:hyperlink w:anchor="_Toc434594240" w:history="1">
        <w:r w:rsidR="002653E7" w:rsidRPr="009E1AF5">
          <w:rPr>
            <w:rStyle w:val="Hyperlink"/>
          </w:rPr>
          <w:t>1.2</w:t>
        </w:r>
        <w:r w:rsidR="002653E7" w:rsidRPr="009E1AF5">
          <w:rPr>
            <w:rFonts w:asciiTheme="minorHAnsi" w:eastAsiaTheme="minorEastAsia" w:hAnsiTheme="minorHAnsi" w:cstheme="minorBidi"/>
            <w:sz w:val="22"/>
            <w:szCs w:val="22"/>
          </w:rPr>
          <w:tab/>
        </w:r>
        <w:r w:rsidR="002653E7" w:rsidRPr="009E1AF5">
          <w:rPr>
            <w:rStyle w:val="Hyperlink"/>
          </w:rPr>
          <w:t>Scope</w:t>
        </w:r>
        <w:r w:rsidR="002653E7" w:rsidRPr="009E1AF5">
          <w:rPr>
            <w:webHidden/>
          </w:rPr>
          <w:tab/>
        </w:r>
        <w:r w:rsidR="009A1A42">
          <w:rPr>
            <w:webHidden/>
          </w:rPr>
          <w:t>3</w:t>
        </w:r>
      </w:hyperlink>
    </w:p>
    <w:p w:rsidR="002653E7" w:rsidRPr="009E1AF5" w:rsidRDefault="00ED1FF6" w:rsidP="008270C8">
      <w:pPr>
        <w:pStyle w:val="TOC2"/>
        <w:rPr>
          <w:rFonts w:asciiTheme="minorHAnsi" w:eastAsiaTheme="minorEastAsia" w:hAnsiTheme="minorHAnsi" w:cstheme="minorBidi"/>
          <w:sz w:val="22"/>
          <w:szCs w:val="22"/>
        </w:rPr>
      </w:pPr>
      <w:hyperlink w:anchor="_Toc434594241" w:history="1">
        <w:r w:rsidR="002653E7" w:rsidRPr="009E1AF5">
          <w:rPr>
            <w:rStyle w:val="Hyperlink"/>
          </w:rPr>
          <w:t>1.3</w:t>
        </w:r>
        <w:r w:rsidR="002653E7" w:rsidRPr="009E1AF5">
          <w:rPr>
            <w:rFonts w:asciiTheme="minorHAnsi" w:eastAsiaTheme="minorEastAsia" w:hAnsiTheme="minorHAnsi" w:cstheme="minorBidi"/>
            <w:sz w:val="22"/>
            <w:szCs w:val="22"/>
          </w:rPr>
          <w:tab/>
        </w:r>
        <w:r w:rsidR="002653E7" w:rsidRPr="009E1AF5">
          <w:rPr>
            <w:rStyle w:val="Hyperlink"/>
          </w:rPr>
          <w:t>Document Ownership and Maintenance</w:t>
        </w:r>
        <w:r w:rsidR="002653E7" w:rsidRPr="009E1AF5">
          <w:rPr>
            <w:webHidden/>
          </w:rPr>
          <w:tab/>
        </w:r>
        <w:r w:rsidR="009A1A42">
          <w:rPr>
            <w:webHidden/>
          </w:rPr>
          <w:t>3</w:t>
        </w:r>
      </w:hyperlink>
    </w:p>
    <w:p w:rsidR="002653E7" w:rsidRPr="009E1AF5" w:rsidRDefault="00ED1FF6" w:rsidP="002653E7">
      <w:pPr>
        <w:pStyle w:val="TOC1"/>
        <w:tabs>
          <w:tab w:val="left" w:pos="440"/>
          <w:tab w:val="right" w:leader="dot" w:pos="9350"/>
        </w:tabs>
        <w:rPr>
          <w:rFonts w:asciiTheme="minorHAnsi" w:eastAsiaTheme="minorEastAsia" w:hAnsiTheme="minorHAnsi" w:cstheme="minorBidi"/>
          <w:caps w:val="0"/>
          <w:noProof/>
          <w:color w:val="auto"/>
          <w:sz w:val="22"/>
        </w:rPr>
      </w:pPr>
      <w:hyperlink w:anchor="_Toc434594242" w:history="1">
        <w:r w:rsidR="002653E7" w:rsidRPr="009E1AF5">
          <w:rPr>
            <w:rStyle w:val="Hyperlink"/>
            <w:noProof/>
            <w:lang w:val="it-IT" w:bidi="en-US"/>
          </w:rPr>
          <w:t>2.</w:t>
        </w:r>
        <w:r w:rsidR="002653E7" w:rsidRPr="009E1AF5">
          <w:rPr>
            <w:rFonts w:asciiTheme="minorHAnsi" w:eastAsiaTheme="minorEastAsia" w:hAnsiTheme="minorHAnsi" w:cstheme="minorBidi"/>
            <w:caps w:val="0"/>
            <w:noProof/>
            <w:color w:val="auto"/>
            <w:sz w:val="22"/>
          </w:rPr>
          <w:tab/>
        </w:r>
        <w:r w:rsidR="002653E7" w:rsidRPr="009E1AF5">
          <w:rPr>
            <w:rStyle w:val="Hyperlink"/>
            <w:noProof/>
            <w:lang w:val="it-IT" w:bidi="en-US"/>
          </w:rPr>
          <w:t>Group RAS  metrics summary table</w:t>
        </w:r>
        <w:r w:rsidR="002653E7" w:rsidRPr="009E1AF5">
          <w:rPr>
            <w:noProof/>
            <w:webHidden/>
          </w:rPr>
          <w:tab/>
        </w:r>
        <w:r w:rsidR="009A1A42">
          <w:rPr>
            <w:noProof/>
            <w:webHidden/>
          </w:rPr>
          <w:t>4</w:t>
        </w:r>
      </w:hyperlink>
    </w:p>
    <w:p w:rsidR="002653E7" w:rsidRPr="009E1AF5" w:rsidRDefault="00ED1FF6" w:rsidP="002653E7">
      <w:pPr>
        <w:pStyle w:val="TOC1"/>
        <w:tabs>
          <w:tab w:val="left" w:pos="440"/>
          <w:tab w:val="right" w:leader="dot" w:pos="9350"/>
        </w:tabs>
        <w:rPr>
          <w:rFonts w:asciiTheme="minorHAnsi" w:eastAsiaTheme="minorEastAsia" w:hAnsiTheme="minorHAnsi" w:cstheme="minorBidi"/>
          <w:caps w:val="0"/>
          <w:noProof/>
          <w:color w:val="auto"/>
          <w:sz w:val="22"/>
        </w:rPr>
      </w:pPr>
      <w:hyperlink w:anchor="_Toc434594243" w:history="1">
        <w:r w:rsidR="002653E7" w:rsidRPr="009E1AF5">
          <w:rPr>
            <w:rStyle w:val="Hyperlink"/>
            <w:noProof/>
            <w:lang w:bidi="en-US"/>
          </w:rPr>
          <w:t>3.</w:t>
        </w:r>
        <w:r w:rsidR="002653E7" w:rsidRPr="009E1AF5">
          <w:rPr>
            <w:rFonts w:asciiTheme="minorHAnsi" w:eastAsiaTheme="minorEastAsia" w:hAnsiTheme="minorHAnsi" w:cstheme="minorBidi"/>
            <w:caps w:val="0"/>
            <w:noProof/>
            <w:color w:val="auto"/>
            <w:sz w:val="22"/>
          </w:rPr>
          <w:tab/>
        </w:r>
        <w:r w:rsidR="008270C8" w:rsidRPr="009E1AF5">
          <w:rPr>
            <w:rStyle w:val="Hyperlink"/>
            <w:noProof/>
            <w:lang w:bidi="en-US"/>
          </w:rPr>
          <w:t>Loss volatility</w:t>
        </w:r>
        <w:r w:rsidR="002653E7" w:rsidRPr="009E1AF5">
          <w:rPr>
            <w:noProof/>
            <w:webHidden/>
          </w:rPr>
          <w:tab/>
        </w:r>
        <w:r w:rsidR="009A1A42">
          <w:rPr>
            <w:noProof/>
            <w:webHidden/>
          </w:rPr>
          <w:t>5</w:t>
        </w:r>
      </w:hyperlink>
    </w:p>
    <w:p w:rsidR="002653E7" w:rsidRPr="009E1AF5" w:rsidRDefault="00ED1FF6" w:rsidP="008270C8">
      <w:pPr>
        <w:pStyle w:val="TOC2"/>
        <w:rPr>
          <w:rFonts w:asciiTheme="minorHAnsi" w:eastAsiaTheme="minorEastAsia" w:hAnsiTheme="minorHAnsi" w:cstheme="minorBidi"/>
          <w:sz w:val="22"/>
          <w:szCs w:val="22"/>
        </w:rPr>
      </w:pPr>
      <w:hyperlink w:anchor="_Toc434594244" w:history="1">
        <w:r w:rsidR="002653E7" w:rsidRPr="009E1AF5">
          <w:rPr>
            <w:rStyle w:val="Hyperlink"/>
          </w:rPr>
          <w:t>3.1</w:t>
        </w:r>
        <w:r w:rsidR="002653E7" w:rsidRPr="009E1AF5">
          <w:rPr>
            <w:rFonts w:asciiTheme="minorHAnsi" w:eastAsiaTheme="minorEastAsia" w:hAnsiTheme="minorHAnsi" w:cstheme="minorBidi"/>
            <w:sz w:val="22"/>
            <w:szCs w:val="22"/>
          </w:rPr>
          <w:tab/>
        </w:r>
        <w:r w:rsidR="008270C8" w:rsidRPr="009E1AF5">
          <w:rPr>
            <w:rStyle w:val="Hyperlink"/>
          </w:rPr>
          <w:t>Loss in Stress/Profit before taxes</w:t>
        </w:r>
        <w:r w:rsidR="002653E7" w:rsidRPr="009E1AF5">
          <w:rPr>
            <w:webHidden/>
          </w:rPr>
          <w:tab/>
        </w:r>
        <w:r w:rsidR="002653E7" w:rsidRPr="009E1AF5">
          <w:rPr>
            <w:webHidden/>
          </w:rPr>
          <w:fldChar w:fldCharType="begin"/>
        </w:r>
        <w:r w:rsidR="002653E7" w:rsidRPr="009E1AF5">
          <w:rPr>
            <w:webHidden/>
          </w:rPr>
          <w:instrText xml:space="preserve"> PAGEREF _Toc434594244 \h </w:instrText>
        </w:r>
        <w:r w:rsidR="002653E7" w:rsidRPr="009E1AF5">
          <w:rPr>
            <w:webHidden/>
          </w:rPr>
        </w:r>
        <w:r w:rsidR="002653E7" w:rsidRPr="009E1AF5">
          <w:rPr>
            <w:webHidden/>
          </w:rPr>
          <w:fldChar w:fldCharType="separate"/>
        </w:r>
        <w:r w:rsidR="009A1A42">
          <w:rPr>
            <w:bCs/>
            <w:webHidden/>
          </w:rPr>
          <w:t>5</w:t>
        </w:r>
        <w:r w:rsidR="002653E7" w:rsidRPr="009E1AF5">
          <w:rPr>
            <w:webHidden/>
          </w:rPr>
          <w:fldChar w:fldCharType="end"/>
        </w:r>
      </w:hyperlink>
    </w:p>
    <w:p w:rsidR="002653E7" w:rsidRPr="009E1AF5" w:rsidRDefault="00ED1FF6" w:rsidP="008270C8">
      <w:pPr>
        <w:pStyle w:val="TOC2"/>
      </w:pPr>
      <w:hyperlink w:anchor="_Toc434594246" w:history="1">
        <w:r w:rsidR="008270C8" w:rsidRPr="009E1AF5">
          <w:rPr>
            <w:rStyle w:val="Hyperlink"/>
            <w:color w:val="auto"/>
          </w:rPr>
          <w:t>3.2</w:t>
        </w:r>
        <w:r w:rsidR="002653E7" w:rsidRPr="009E1AF5">
          <w:rPr>
            <w:rFonts w:asciiTheme="minorHAnsi" w:eastAsiaTheme="minorEastAsia" w:hAnsiTheme="minorHAnsi" w:cstheme="minorBidi"/>
            <w:sz w:val="22"/>
            <w:szCs w:val="22"/>
          </w:rPr>
          <w:tab/>
        </w:r>
        <w:r w:rsidR="008270C8" w:rsidRPr="009E1AF5">
          <w:rPr>
            <w:rStyle w:val="Hyperlink"/>
            <w:color w:val="auto"/>
          </w:rPr>
          <w:t>Gross OpRisk Losses/Gross Margin</w:t>
        </w:r>
        <w:r w:rsidR="002653E7" w:rsidRPr="009E1AF5">
          <w:rPr>
            <w:webHidden/>
          </w:rPr>
          <w:tab/>
        </w:r>
        <w:r w:rsidR="002653E7" w:rsidRPr="009E1AF5">
          <w:rPr>
            <w:webHidden/>
          </w:rPr>
          <w:fldChar w:fldCharType="begin"/>
        </w:r>
        <w:r w:rsidR="002653E7" w:rsidRPr="009E1AF5">
          <w:rPr>
            <w:webHidden/>
          </w:rPr>
          <w:instrText xml:space="preserve"> PAGEREF _Toc434594246 \h </w:instrText>
        </w:r>
        <w:r w:rsidR="002653E7" w:rsidRPr="009E1AF5">
          <w:rPr>
            <w:webHidden/>
          </w:rPr>
        </w:r>
        <w:r w:rsidR="002653E7" w:rsidRPr="009E1AF5">
          <w:rPr>
            <w:webHidden/>
          </w:rPr>
          <w:fldChar w:fldCharType="separate"/>
        </w:r>
        <w:r w:rsidR="009A1A42">
          <w:rPr>
            <w:bCs/>
            <w:webHidden/>
          </w:rPr>
          <w:t>6</w:t>
        </w:r>
        <w:r w:rsidR="002653E7" w:rsidRPr="009E1AF5">
          <w:rPr>
            <w:webHidden/>
          </w:rPr>
          <w:fldChar w:fldCharType="end"/>
        </w:r>
      </w:hyperlink>
    </w:p>
    <w:p w:rsidR="008270C8" w:rsidRPr="009E1AF5" w:rsidRDefault="00ED1FF6" w:rsidP="008270C8">
      <w:pPr>
        <w:pStyle w:val="TOC2"/>
        <w:rPr>
          <w:rFonts w:asciiTheme="minorHAnsi" w:eastAsiaTheme="minorEastAsia" w:hAnsiTheme="minorHAnsi" w:cstheme="minorBidi"/>
          <w:sz w:val="22"/>
          <w:szCs w:val="22"/>
        </w:rPr>
      </w:pPr>
      <w:hyperlink w:anchor="_Toc434594246" w:history="1">
        <w:r w:rsidR="008270C8" w:rsidRPr="009E1AF5">
          <w:rPr>
            <w:rStyle w:val="Hyperlink"/>
            <w:color w:val="auto"/>
          </w:rPr>
          <w:t>3.3</w:t>
        </w:r>
        <w:r w:rsidR="008270C8" w:rsidRPr="009E1AF5">
          <w:rPr>
            <w:rFonts w:asciiTheme="minorHAnsi" w:eastAsiaTheme="minorEastAsia" w:hAnsiTheme="minorHAnsi" w:cstheme="minorBidi"/>
            <w:sz w:val="22"/>
            <w:szCs w:val="22"/>
          </w:rPr>
          <w:tab/>
        </w:r>
        <w:r w:rsidR="008270C8" w:rsidRPr="009E1AF5">
          <w:rPr>
            <w:rStyle w:val="Hyperlink"/>
            <w:color w:val="auto"/>
          </w:rPr>
          <w:t>Net OpRisk Losses/Gross Margin</w:t>
        </w:r>
        <w:r w:rsidR="008270C8" w:rsidRPr="009E1AF5">
          <w:rPr>
            <w:webHidden/>
          </w:rPr>
          <w:tab/>
        </w:r>
        <w:r w:rsidR="008270C8" w:rsidRPr="009E1AF5">
          <w:rPr>
            <w:webHidden/>
          </w:rPr>
          <w:fldChar w:fldCharType="begin"/>
        </w:r>
        <w:r w:rsidR="008270C8" w:rsidRPr="009E1AF5">
          <w:rPr>
            <w:webHidden/>
          </w:rPr>
          <w:instrText xml:space="preserve"> PAGEREF _Toc434594246 \h </w:instrText>
        </w:r>
        <w:r w:rsidR="008270C8" w:rsidRPr="009E1AF5">
          <w:rPr>
            <w:webHidden/>
          </w:rPr>
        </w:r>
        <w:r w:rsidR="008270C8" w:rsidRPr="009E1AF5">
          <w:rPr>
            <w:webHidden/>
          </w:rPr>
          <w:fldChar w:fldCharType="separate"/>
        </w:r>
        <w:r w:rsidR="009A1A42">
          <w:rPr>
            <w:bCs/>
            <w:webHidden/>
          </w:rPr>
          <w:t>7</w:t>
        </w:r>
        <w:r w:rsidR="008270C8" w:rsidRPr="009E1AF5">
          <w:rPr>
            <w:webHidden/>
          </w:rPr>
          <w:fldChar w:fldCharType="end"/>
        </w:r>
      </w:hyperlink>
    </w:p>
    <w:p w:rsidR="002653E7" w:rsidRPr="009E1AF5" w:rsidRDefault="00ED1FF6" w:rsidP="002653E7">
      <w:pPr>
        <w:pStyle w:val="TOC1"/>
        <w:tabs>
          <w:tab w:val="left" w:pos="440"/>
          <w:tab w:val="right" w:leader="dot" w:pos="9350"/>
        </w:tabs>
        <w:rPr>
          <w:rFonts w:asciiTheme="minorHAnsi" w:eastAsiaTheme="minorEastAsia" w:hAnsiTheme="minorHAnsi" w:cstheme="minorBidi"/>
          <w:caps w:val="0"/>
          <w:noProof/>
          <w:color w:val="auto"/>
          <w:sz w:val="22"/>
        </w:rPr>
      </w:pPr>
      <w:hyperlink w:anchor="_Toc434594248" w:history="1">
        <w:r w:rsidR="002653E7" w:rsidRPr="009E1AF5">
          <w:rPr>
            <w:rStyle w:val="Hyperlink"/>
            <w:noProof/>
            <w:lang w:bidi="en-US"/>
          </w:rPr>
          <w:t>4.</w:t>
        </w:r>
        <w:r w:rsidR="002653E7" w:rsidRPr="009E1AF5">
          <w:rPr>
            <w:rFonts w:asciiTheme="minorHAnsi" w:eastAsiaTheme="minorEastAsia" w:hAnsiTheme="minorHAnsi" w:cstheme="minorBidi"/>
            <w:caps w:val="0"/>
            <w:noProof/>
            <w:color w:val="auto"/>
            <w:sz w:val="22"/>
          </w:rPr>
          <w:tab/>
        </w:r>
        <w:r w:rsidR="008270C8" w:rsidRPr="009E1AF5">
          <w:rPr>
            <w:rStyle w:val="Hyperlink"/>
            <w:noProof/>
            <w:lang w:bidi="en-US"/>
          </w:rPr>
          <w:t xml:space="preserve">Solvency </w:t>
        </w:r>
        <w:r w:rsidR="002653E7" w:rsidRPr="009E1AF5">
          <w:rPr>
            <w:rStyle w:val="Hyperlink"/>
            <w:noProof/>
            <w:lang w:bidi="en-US"/>
          </w:rPr>
          <w:t>metrics</w:t>
        </w:r>
        <w:r w:rsidR="002653E7" w:rsidRPr="009E1AF5">
          <w:rPr>
            <w:noProof/>
            <w:webHidden/>
          </w:rPr>
          <w:tab/>
        </w:r>
        <w:r w:rsidR="002653E7" w:rsidRPr="009E1AF5">
          <w:rPr>
            <w:noProof/>
            <w:webHidden/>
          </w:rPr>
          <w:fldChar w:fldCharType="begin"/>
        </w:r>
        <w:r w:rsidR="002653E7" w:rsidRPr="009E1AF5">
          <w:rPr>
            <w:noProof/>
            <w:webHidden/>
          </w:rPr>
          <w:instrText xml:space="preserve"> PAGEREF _Toc434594248 \h </w:instrText>
        </w:r>
        <w:r w:rsidR="002653E7" w:rsidRPr="009E1AF5">
          <w:rPr>
            <w:noProof/>
            <w:webHidden/>
          </w:rPr>
        </w:r>
        <w:r w:rsidR="002653E7" w:rsidRPr="009E1AF5">
          <w:rPr>
            <w:noProof/>
            <w:webHidden/>
          </w:rPr>
          <w:fldChar w:fldCharType="separate"/>
        </w:r>
        <w:r w:rsidR="007C38BA">
          <w:rPr>
            <w:bCs/>
            <w:noProof/>
            <w:webHidden/>
          </w:rPr>
          <w:t>8</w:t>
        </w:r>
        <w:r w:rsidR="00531B7B" w:rsidRPr="009E1AF5">
          <w:rPr>
            <w:bCs/>
            <w:noProof/>
            <w:webHidden/>
          </w:rPr>
          <w:t>.</w:t>
        </w:r>
        <w:r w:rsidR="002653E7" w:rsidRPr="009E1AF5">
          <w:rPr>
            <w:noProof/>
            <w:webHidden/>
          </w:rPr>
          <w:fldChar w:fldCharType="end"/>
        </w:r>
      </w:hyperlink>
    </w:p>
    <w:p w:rsidR="002653E7" w:rsidRPr="009E1AF5" w:rsidRDefault="00ED1FF6" w:rsidP="008270C8">
      <w:pPr>
        <w:pStyle w:val="TOC2"/>
        <w:rPr>
          <w:rFonts w:asciiTheme="minorHAnsi" w:eastAsiaTheme="minorEastAsia" w:hAnsiTheme="minorHAnsi" w:cstheme="minorBidi"/>
          <w:sz w:val="22"/>
          <w:szCs w:val="22"/>
        </w:rPr>
      </w:pPr>
      <w:hyperlink w:anchor="_Toc434594252" w:history="1">
        <w:r w:rsidR="008270C8" w:rsidRPr="009E1AF5">
          <w:rPr>
            <w:rStyle w:val="Hyperlink"/>
          </w:rPr>
          <w:t>4.1</w:t>
        </w:r>
        <w:r w:rsidR="002653E7" w:rsidRPr="009E1AF5">
          <w:rPr>
            <w:rFonts w:asciiTheme="minorHAnsi" w:eastAsiaTheme="minorEastAsia" w:hAnsiTheme="minorHAnsi" w:cstheme="minorBidi"/>
            <w:sz w:val="22"/>
            <w:szCs w:val="22"/>
          </w:rPr>
          <w:tab/>
        </w:r>
        <w:r w:rsidR="008270C8" w:rsidRPr="009E1AF5">
          <w:rPr>
            <w:rStyle w:val="Hyperlink"/>
          </w:rPr>
          <w:t>CET1 under Base/CET1 under stress</w:t>
        </w:r>
        <w:r w:rsidR="002653E7" w:rsidRPr="009E1AF5">
          <w:rPr>
            <w:webHidden/>
          </w:rPr>
          <w:tab/>
        </w:r>
        <w:r w:rsidR="002653E7" w:rsidRPr="009E1AF5">
          <w:rPr>
            <w:webHidden/>
          </w:rPr>
          <w:fldChar w:fldCharType="begin"/>
        </w:r>
        <w:r w:rsidR="002653E7" w:rsidRPr="009E1AF5">
          <w:rPr>
            <w:webHidden/>
          </w:rPr>
          <w:instrText xml:space="preserve"> PAGEREF _Toc434594252 \h </w:instrText>
        </w:r>
        <w:r w:rsidR="002653E7" w:rsidRPr="009E1AF5">
          <w:rPr>
            <w:webHidden/>
          </w:rPr>
        </w:r>
        <w:r w:rsidR="002653E7" w:rsidRPr="009E1AF5">
          <w:rPr>
            <w:webHidden/>
          </w:rPr>
          <w:fldChar w:fldCharType="separate"/>
        </w:r>
        <w:r w:rsidR="003B6A89">
          <w:rPr>
            <w:bCs/>
            <w:webHidden/>
          </w:rPr>
          <w:t>8</w:t>
        </w:r>
        <w:r w:rsidR="002653E7" w:rsidRPr="009E1AF5">
          <w:rPr>
            <w:webHidden/>
          </w:rPr>
          <w:fldChar w:fldCharType="end"/>
        </w:r>
      </w:hyperlink>
    </w:p>
    <w:p w:rsidR="002653E7" w:rsidRPr="009E1AF5" w:rsidRDefault="00ED1FF6" w:rsidP="008270C8">
      <w:pPr>
        <w:pStyle w:val="TOC2"/>
        <w:rPr>
          <w:rFonts w:asciiTheme="minorHAnsi" w:eastAsiaTheme="minorEastAsia" w:hAnsiTheme="minorHAnsi" w:cstheme="minorBidi"/>
          <w:sz w:val="22"/>
          <w:szCs w:val="22"/>
        </w:rPr>
      </w:pPr>
      <w:hyperlink w:anchor="_Toc434594253" w:history="1">
        <w:r w:rsidR="008270C8" w:rsidRPr="009E1AF5">
          <w:rPr>
            <w:rStyle w:val="Hyperlink"/>
          </w:rPr>
          <w:t>4.2</w:t>
        </w:r>
        <w:r w:rsidR="002653E7" w:rsidRPr="009E1AF5">
          <w:rPr>
            <w:rFonts w:asciiTheme="minorHAnsi" w:eastAsiaTheme="minorEastAsia" w:hAnsiTheme="minorHAnsi" w:cstheme="minorBidi"/>
            <w:sz w:val="22"/>
            <w:szCs w:val="22"/>
          </w:rPr>
          <w:tab/>
        </w:r>
        <w:r w:rsidR="00F27004" w:rsidRPr="009E1AF5">
          <w:rPr>
            <w:rStyle w:val="Hyperlink"/>
          </w:rPr>
          <w:t>Tier 1 Leverage Current/Tier 1 Leverage stress</w:t>
        </w:r>
        <w:r w:rsidR="002653E7" w:rsidRPr="009E1AF5">
          <w:rPr>
            <w:webHidden/>
          </w:rPr>
          <w:tab/>
        </w:r>
        <w:r w:rsidR="002653E7" w:rsidRPr="009E1AF5">
          <w:rPr>
            <w:webHidden/>
          </w:rPr>
          <w:fldChar w:fldCharType="begin"/>
        </w:r>
        <w:r w:rsidR="002653E7" w:rsidRPr="009E1AF5">
          <w:rPr>
            <w:webHidden/>
          </w:rPr>
          <w:instrText xml:space="preserve"> PAGEREF _Toc434594253 \h </w:instrText>
        </w:r>
        <w:r w:rsidR="002653E7" w:rsidRPr="009E1AF5">
          <w:rPr>
            <w:webHidden/>
          </w:rPr>
        </w:r>
        <w:r w:rsidR="002653E7" w:rsidRPr="009E1AF5">
          <w:rPr>
            <w:webHidden/>
          </w:rPr>
          <w:fldChar w:fldCharType="separate"/>
        </w:r>
        <w:r w:rsidR="003B6A89">
          <w:rPr>
            <w:bCs/>
            <w:webHidden/>
          </w:rPr>
          <w:t>9</w:t>
        </w:r>
        <w:r w:rsidR="002653E7" w:rsidRPr="009E1AF5">
          <w:rPr>
            <w:webHidden/>
          </w:rPr>
          <w:fldChar w:fldCharType="end"/>
        </w:r>
      </w:hyperlink>
    </w:p>
    <w:p w:rsidR="002653E7" w:rsidRPr="009E1AF5" w:rsidRDefault="00ED1FF6" w:rsidP="002653E7">
      <w:pPr>
        <w:pStyle w:val="TOC1"/>
        <w:tabs>
          <w:tab w:val="left" w:pos="440"/>
          <w:tab w:val="right" w:leader="dot" w:pos="9350"/>
        </w:tabs>
        <w:rPr>
          <w:rFonts w:asciiTheme="minorHAnsi" w:eastAsiaTheme="minorEastAsia" w:hAnsiTheme="minorHAnsi" w:cstheme="minorBidi"/>
          <w:caps w:val="0"/>
          <w:noProof/>
          <w:color w:val="auto"/>
          <w:sz w:val="22"/>
        </w:rPr>
      </w:pPr>
      <w:hyperlink w:anchor="_Toc434594261" w:history="1">
        <w:r w:rsidR="002653E7" w:rsidRPr="009E1AF5">
          <w:rPr>
            <w:rStyle w:val="Hyperlink"/>
            <w:noProof/>
            <w:lang w:bidi="en-US"/>
          </w:rPr>
          <w:t>6.</w:t>
        </w:r>
        <w:r w:rsidR="002653E7" w:rsidRPr="009E1AF5">
          <w:rPr>
            <w:rFonts w:asciiTheme="minorHAnsi" w:eastAsiaTheme="minorEastAsia" w:hAnsiTheme="minorHAnsi" w:cstheme="minorBidi"/>
            <w:caps w:val="0"/>
            <w:noProof/>
            <w:color w:val="auto"/>
            <w:sz w:val="22"/>
          </w:rPr>
          <w:tab/>
        </w:r>
        <w:r w:rsidR="002653E7" w:rsidRPr="009E1AF5">
          <w:rPr>
            <w:rStyle w:val="Hyperlink"/>
            <w:noProof/>
            <w:lang w:bidi="en-US"/>
          </w:rPr>
          <w:t>Liquidity risk metrics</w:t>
        </w:r>
        <w:r w:rsidR="002653E7" w:rsidRPr="009E1AF5">
          <w:rPr>
            <w:noProof/>
            <w:webHidden/>
          </w:rPr>
          <w:tab/>
        </w:r>
        <w:r w:rsidR="002653E7" w:rsidRPr="009E1AF5">
          <w:rPr>
            <w:noProof/>
            <w:webHidden/>
          </w:rPr>
          <w:fldChar w:fldCharType="begin"/>
        </w:r>
        <w:r w:rsidR="002653E7" w:rsidRPr="009E1AF5">
          <w:rPr>
            <w:noProof/>
            <w:webHidden/>
          </w:rPr>
          <w:instrText xml:space="preserve"> PAGEREF _Toc434594261 \h </w:instrText>
        </w:r>
        <w:r w:rsidR="002653E7" w:rsidRPr="009E1AF5">
          <w:rPr>
            <w:noProof/>
            <w:webHidden/>
          </w:rPr>
        </w:r>
        <w:r w:rsidR="002653E7" w:rsidRPr="009E1AF5">
          <w:rPr>
            <w:noProof/>
            <w:webHidden/>
          </w:rPr>
          <w:fldChar w:fldCharType="separate"/>
        </w:r>
        <w:r w:rsidR="007C38BA">
          <w:rPr>
            <w:bCs/>
            <w:noProof/>
            <w:webHidden/>
          </w:rPr>
          <w:t>10</w:t>
        </w:r>
        <w:r w:rsidR="002653E7" w:rsidRPr="009E1AF5">
          <w:rPr>
            <w:noProof/>
            <w:webHidden/>
          </w:rPr>
          <w:fldChar w:fldCharType="end"/>
        </w:r>
      </w:hyperlink>
    </w:p>
    <w:p w:rsidR="002653E7" w:rsidRPr="009E1AF5" w:rsidRDefault="00ED1FF6" w:rsidP="008270C8">
      <w:pPr>
        <w:pStyle w:val="TOC2"/>
        <w:rPr>
          <w:rFonts w:asciiTheme="minorHAnsi" w:eastAsiaTheme="minorEastAsia" w:hAnsiTheme="minorHAnsi" w:cstheme="minorBidi"/>
          <w:sz w:val="22"/>
          <w:szCs w:val="22"/>
        </w:rPr>
      </w:pPr>
      <w:hyperlink w:anchor="_Toc434594262" w:history="1">
        <w:r w:rsidR="002653E7" w:rsidRPr="009E1AF5">
          <w:rPr>
            <w:rStyle w:val="Hyperlink"/>
          </w:rPr>
          <w:t>6.1</w:t>
        </w:r>
        <w:r w:rsidR="002653E7" w:rsidRPr="009E1AF5">
          <w:rPr>
            <w:rFonts w:asciiTheme="minorHAnsi" w:eastAsiaTheme="minorEastAsia" w:hAnsiTheme="minorHAnsi" w:cstheme="minorBidi"/>
            <w:sz w:val="22"/>
            <w:szCs w:val="22"/>
          </w:rPr>
          <w:tab/>
        </w:r>
        <w:r w:rsidR="00F27004" w:rsidRPr="009E1AF5">
          <w:rPr>
            <w:rStyle w:val="Hyperlink"/>
          </w:rPr>
          <w:t>Trading Portfolio</w:t>
        </w:r>
        <w:r w:rsidR="002653E7" w:rsidRPr="009E1AF5">
          <w:rPr>
            <w:webHidden/>
          </w:rPr>
          <w:tab/>
        </w:r>
        <w:r w:rsidR="002653E7" w:rsidRPr="009E1AF5">
          <w:rPr>
            <w:webHidden/>
          </w:rPr>
          <w:fldChar w:fldCharType="begin"/>
        </w:r>
        <w:r w:rsidR="002653E7" w:rsidRPr="009E1AF5">
          <w:rPr>
            <w:webHidden/>
          </w:rPr>
          <w:instrText xml:space="preserve"> PAGEREF _Toc434594262 \h </w:instrText>
        </w:r>
        <w:r w:rsidR="002653E7" w:rsidRPr="009E1AF5">
          <w:rPr>
            <w:webHidden/>
          </w:rPr>
        </w:r>
        <w:r w:rsidR="002653E7" w:rsidRPr="009E1AF5">
          <w:rPr>
            <w:webHidden/>
          </w:rPr>
          <w:fldChar w:fldCharType="separate"/>
        </w:r>
        <w:r w:rsidR="003B6A89">
          <w:rPr>
            <w:bCs/>
            <w:webHidden/>
          </w:rPr>
          <w:t>10</w:t>
        </w:r>
        <w:r w:rsidR="002653E7" w:rsidRPr="009E1AF5">
          <w:rPr>
            <w:webHidden/>
          </w:rPr>
          <w:fldChar w:fldCharType="end"/>
        </w:r>
      </w:hyperlink>
    </w:p>
    <w:p w:rsidR="002653E7" w:rsidRPr="009E1AF5" w:rsidRDefault="00ED1FF6" w:rsidP="008270C8">
      <w:pPr>
        <w:pStyle w:val="TOC2"/>
        <w:rPr>
          <w:rFonts w:asciiTheme="minorHAnsi" w:eastAsiaTheme="minorEastAsia" w:hAnsiTheme="minorHAnsi" w:cstheme="minorBidi"/>
          <w:sz w:val="22"/>
          <w:szCs w:val="22"/>
        </w:rPr>
      </w:pPr>
      <w:hyperlink w:anchor="_Toc434594263" w:history="1">
        <w:r w:rsidR="002653E7" w:rsidRPr="009E1AF5">
          <w:rPr>
            <w:rStyle w:val="Hyperlink"/>
          </w:rPr>
          <w:t>6.2</w:t>
        </w:r>
        <w:r w:rsidR="002653E7" w:rsidRPr="009E1AF5">
          <w:rPr>
            <w:rFonts w:asciiTheme="minorHAnsi" w:eastAsiaTheme="minorEastAsia" w:hAnsiTheme="minorHAnsi" w:cstheme="minorBidi"/>
            <w:sz w:val="22"/>
            <w:szCs w:val="22"/>
          </w:rPr>
          <w:tab/>
        </w:r>
        <w:r w:rsidR="00F27004" w:rsidRPr="009E1AF5">
          <w:rPr>
            <w:rStyle w:val="Hyperlink"/>
          </w:rPr>
          <w:t>CVA</w:t>
        </w:r>
        <w:r w:rsidR="002653E7" w:rsidRPr="009E1AF5">
          <w:rPr>
            <w:webHidden/>
          </w:rPr>
          <w:tab/>
        </w:r>
        <w:r w:rsidR="003B6A89">
          <w:rPr>
            <w:webHidden/>
          </w:rPr>
          <w:t>11</w:t>
        </w:r>
      </w:hyperlink>
    </w:p>
    <w:p w:rsidR="002653E7" w:rsidRPr="009E1AF5" w:rsidRDefault="00ED1FF6" w:rsidP="008270C8">
      <w:pPr>
        <w:pStyle w:val="TOC2"/>
        <w:rPr>
          <w:rFonts w:asciiTheme="minorHAnsi" w:eastAsiaTheme="minorEastAsia" w:hAnsiTheme="minorHAnsi" w:cstheme="minorBidi"/>
          <w:sz w:val="22"/>
          <w:szCs w:val="22"/>
        </w:rPr>
      </w:pPr>
      <w:hyperlink w:anchor="_Toc434594264" w:history="1">
        <w:r w:rsidR="002653E7" w:rsidRPr="009E1AF5">
          <w:rPr>
            <w:rStyle w:val="Hyperlink"/>
          </w:rPr>
          <w:t>6.3</w:t>
        </w:r>
        <w:r w:rsidR="002653E7" w:rsidRPr="009E1AF5">
          <w:rPr>
            <w:rFonts w:asciiTheme="minorHAnsi" w:eastAsiaTheme="minorEastAsia" w:hAnsiTheme="minorHAnsi" w:cstheme="minorBidi"/>
            <w:sz w:val="22"/>
            <w:szCs w:val="22"/>
          </w:rPr>
          <w:tab/>
        </w:r>
        <w:r w:rsidR="002653E7" w:rsidRPr="009E1AF5">
          <w:rPr>
            <w:rStyle w:val="Hyperlink"/>
          </w:rPr>
          <w:t>Structural Funding Ratio (SFR)</w:t>
        </w:r>
        <w:r w:rsidR="002653E7" w:rsidRPr="009E1AF5">
          <w:rPr>
            <w:webHidden/>
          </w:rPr>
          <w:tab/>
        </w:r>
        <w:r w:rsidR="002653E7" w:rsidRPr="009E1AF5">
          <w:rPr>
            <w:webHidden/>
          </w:rPr>
          <w:fldChar w:fldCharType="begin"/>
        </w:r>
        <w:r w:rsidR="002653E7" w:rsidRPr="009E1AF5">
          <w:rPr>
            <w:webHidden/>
          </w:rPr>
          <w:instrText xml:space="preserve"> PAGEREF _Toc434594264 \h </w:instrText>
        </w:r>
        <w:r w:rsidR="002653E7" w:rsidRPr="009E1AF5">
          <w:rPr>
            <w:webHidden/>
          </w:rPr>
        </w:r>
        <w:r w:rsidR="002653E7" w:rsidRPr="009E1AF5">
          <w:rPr>
            <w:webHidden/>
          </w:rPr>
          <w:fldChar w:fldCharType="separate"/>
        </w:r>
        <w:r w:rsidR="003B6A89">
          <w:rPr>
            <w:bCs/>
            <w:webHidden/>
          </w:rPr>
          <w:t>12</w:t>
        </w:r>
        <w:r w:rsidR="002653E7" w:rsidRPr="009E1AF5">
          <w:rPr>
            <w:webHidden/>
          </w:rPr>
          <w:fldChar w:fldCharType="end"/>
        </w:r>
      </w:hyperlink>
    </w:p>
    <w:p w:rsidR="002653E7" w:rsidRPr="009E1AF5" w:rsidRDefault="00ED1FF6" w:rsidP="008270C8">
      <w:pPr>
        <w:pStyle w:val="TOC2"/>
      </w:pPr>
      <w:hyperlink w:anchor="_Toc434594265" w:history="1">
        <w:r w:rsidR="002653E7" w:rsidRPr="009E1AF5">
          <w:rPr>
            <w:rStyle w:val="Hyperlink"/>
          </w:rPr>
          <w:t>6.4</w:t>
        </w:r>
        <w:r w:rsidR="002653E7" w:rsidRPr="009E1AF5">
          <w:rPr>
            <w:rFonts w:asciiTheme="minorHAnsi" w:eastAsiaTheme="minorEastAsia" w:hAnsiTheme="minorHAnsi" w:cstheme="minorBidi"/>
            <w:sz w:val="22"/>
            <w:szCs w:val="22"/>
          </w:rPr>
          <w:tab/>
        </w:r>
        <w:r w:rsidR="002653E7" w:rsidRPr="009E1AF5">
          <w:rPr>
            <w:rStyle w:val="Hyperlink"/>
          </w:rPr>
          <w:t>Available SCUSA committed liquidity / average projected net originations</w:t>
        </w:r>
        <w:r w:rsidR="002653E7" w:rsidRPr="009E1AF5">
          <w:rPr>
            <w:webHidden/>
          </w:rPr>
          <w:tab/>
        </w:r>
        <w:r w:rsidR="002653E7" w:rsidRPr="009E1AF5">
          <w:rPr>
            <w:webHidden/>
          </w:rPr>
          <w:fldChar w:fldCharType="begin"/>
        </w:r>
        <w:r w:rsidR="002653E7" w:rsidRPr="009E1AF5">
          <w:rPr>
            <w:webHidden/>
          </w:rPr>
          <w:instrText xml:space="preserve"> PAGEREF _Toc434594265 \h </w:instrText>
        </w:r>
        <w:r w:rsidR="002653E7" w:rsidRPr="009E1AF5">
          <w:rPr>
            <w:webHidden/>
          </w:rPr>
        </w:r>
        <w:r w:rsidR="002653E7" w:rsidRPr="009E1AF5">
          <w:rPr>
            <w:webHidden/>
          </w:rPr>
          <w:fldChar w:fldCharType="separate"/>
        </w:r>
        <w:r w:rsidR="003B6A89">
          <w:rPr>
            <w:bCs/>
            <w:webHidden/>
          </w:rPr>
          <w:t>12</w:t>
        </w:r>
        <w:r w:rsidR="002653E7" w:rsidRPr="009E1AF5">
          <w:rPr>
            <w:webHidden/>
          </w:rPr>
          <w:fldChar w:fldCharType="end"/>
        </w:r>
      </w:hyperlink>
    </w:p>
    <w:p w:rsidR="00F27004" w:rsidRPr="009E1AF5" w:rsidRDefault="00ED1FF6" w:rsidP="00F27004">
      <w:pPr>
        <w:pStyle w:val="TOC2"/>
        <w:rPr>
          <w:rFonts w:asciiTheme="minorHAnsi" w:eastAsiaTheme="minorEastAsia" w:hAnsiTheme="minorHAnsi" w:cstheme="minorBidi"/>
          <w:sz w:val="22"/>
          <w:szCs w:val="22"/>
        </w:rPr>
      </w:pPr>
      <w:hyperlink w:anchor="_Toc434594265" w:history="1">
        <w:r w:rsidR="00F27004" w:rsidRPr="009E1AF5">
          <w:rPr>
            <w:rStyle w:val="Hyperlink"/>
          </w:rPr>
          <w:t>6.5</w:t>
        </w:r>
        <w:r w:rsidR="00F27004" w:rsidRPr="009E1AF5">
          <w:rPr>
            <w:rFonts w:asciiTheme="minorHAnsi" w:eastAsiaTheme="minorEastAsia" w:hAnsiTheme="minorHAnsi" w:cstheme="minorBidi"/>
            <w:sz w:val="22"/>
            <w:szCs w:val="22"/>
          </w:rPr>
          <w:tab/>
        </w:r>
        <w:r w:rsidR="00F27004" w:rsidRPr="009E1AF5">
          <w:rPr>
            <w:rStyle w:val="Hyperlink"/>
          </w:rPr>
          <w:t>Stressed Survival Period: Local Systemic</w:t>
        </w:r>
        <w:r w:rsidR="00F27004" w:rsidRPr="009E1AF5">
          <w:rPr>
            <w:webHidden/>
          </w:rPr>
          <w:tab/>
        </w:r>
        <w:r w:rsidR="00DD0365">
          <w:rPr>
            <w:webHidden/>
          </w:rPr>
          <w:t>13</w:t>
        </w:r>
      </w:hyperlink>
    </w:p>
    <w:p w:rsidR="00F27004" w:rsidRPr="009E1AF5" w:rsidRDefault="00ED1FF6" w:rsidP="00F27004">
      <w:pPr>
        <w:pStyle w:val="TOC2"/>
        <w:rPr>
          <w:rFonts w:asciiTheme="minorHAnsi" w:eastAsiaTheme="minorEastAsia" w:hAnsiTheme="minorHAnsi" w:cstheme="minorBidi"/>
          <w:sz w:val="22"/>
          <w:szCs w:val="22"/>
        </w:rPr>
      </w:pPr>
      <w:hyperlink w:anchor="_Toc434594265" w:history="1">
        <w:r w:rsidR="00F27004" w:rsidRPr="009E1AF5">
          <w:rPr>
            <w:rStyle w:val="Hyperlink"/>
          </w:rPr>
          <w:t>6.6</w:t>
        </w:r>
        <w:r w:rsidR="00F27004" w:rsidRPr="009E1AF5">
          <w:rPr>
            <w:rFonts w:asciiTheme="minorHAnsi" w:eastAsiaTheme="minorEastAsia" w:hAnsiTheme="minorHAnsi" w:cstheme="minorBidi"/>
            <w:sz w:val="22"/>
            <w:szCs w:val="22"/>
          </w:rPr>
          <w:tab/>
        </w:r>
        <w:r w:rsidR="00F27004" w:rsidRPr="009E1AF5">
          <w:rPr>
            <w:rStyle w:val="Hyperlink"/>
          </w:rPr>
          <w:t>Stressed Survival Period: Idiostyncratic</w:t>
        </w:r>
        <w:r w:rsidR="00F27004" w:rsidRPr="009E1AF5">
          <w:rPr>
            <w:webHidden/>
          </w:rPr>
          <w:tab/>
        </w:r>
        <w:r w:rsidR="00DD0365">
          <w:rPr>
            <w:webHidden/>
          </w:rPr>
          <w:t>13</w:t>
        </w:r>
      </w:hyperlink>
    </w:p>
    <w:p w:rsidR="00F27004" w:rsidRPr="009E1AF5" w:rsidRDefault="00ED1FF6" w:rsidP="00F27004">
      <w:pPr>
        <w:pStyle w:val="TOC2"/>
        <w:rPr>
          <w:rFonts w:asciiTheme="minorHAnsi" w:eastAsiaTheme="minorEastAsia" w:hAnsiTheme="minorHAnsi" w:cstheme="minorBidi"/>
          <w:sz w:val="22"/>
          <w:szCs w:val="22"/>
        </w:rPr>
      </w:pPr>
      <w:hyperlink w:anchor="_Toc434594265" w:history="1">
        <w:r w:rsidR="00F27004" w:rsidRPr="009E1AF5">
          <w:rPr>
            <w:rStyle w:val="Hyperlink"/>
          </w:rPr>
          <w:t>6.7</w:t>
        </w:r>
        <w:r w:rsidR="00F27004" w:rsidRPr="009E1AF5">
          <w:rPr>
            <w:rFonts w:asciiTheme="minorHAnsi" w:eastAsiaTheme="minorEastAsia" w:hAnsiTheme="minorHAnsi" w:cstheme="minorBidi"/>
            <w:sz w:val="22"/>
            <w:szCs w:val="22"/>
          </w:rPr>
          <w:tab/>
        </w:r>
        <w:r w:rsidR="00F27004" w:rsidRPr="009E1AF5">
          <w:rPr>
            <w:rStyle w:val="Hyperlink"/>
          </w:rPr>
          <w:t>Stressed Survival Period: Systemic Global</w:t>
        </w:r>
        <w:r w:rsidR="00F27004" w:rsidRPr="009E1AF5">
          <w:rPr>
            <w:webHidden/>
          </w:rPr>
          <w:tab/>
        </w:r>
        <w:r w:rsidR="00DD0365">
          <w:rPr>
            <w:webHidden/>
          </w:rPr>
          <w:t>13</w:t>
        </w:r>
      </w:hyperlink>
    </w:p>
    <w:p w:rsidR="00F27004" w:rsidRPr="009E1AF5" w:rsidRDefault="00ED1FF6" w:rsidP="00F27004">
      <w:pPr>
        <w:pStyle w:val="TOC2"/>
      </w:pPr>
      <w:hyperlink w:anchor="_Toc434594265" w:history="1">
        <w:r w:rsidR="00F27004" w:rsidRPr="009E1AF5">
          <w:rPr>
            <w:rStyle w:val="Hyperlink"/>
          </w:rPr>
          <w:t>6.8</w:t>
        </w:r>
        <w:r w:rsidR="00F27004" w:rsidRPr="009E1AF5">
          <w:rPr>
            <w:rFonts w:asciiTheme="minorHAnsi" w:eastAsiaTheme="minorEastAsia" w:hAnsiTheme="minorHAnsi" w:cstheme="minorBidi"/>
            <w:sz w:val="22"/>
            <w:szCs w:val="22"/>
          </w:rPr>
          <w:tab/>
        </w:r>
        <w:r w:rsidR="00F27004" w:rsidRPr="009E1AF5">
          <w:rPr>
            <w:rStyle w:val="Hyperlink"/>
          </w:rPr>
          <w:t>Survival Horizon under stress</w:t>
        </w:r>
        <w:r w:rsidR="00F27004" w:rsidRPr="009E1AF5">
          <w:rPr>
            <w:webHidden/>
          </w:rPr>
          <w:tab/>
        </w:r>
        <w:r w:rsidR="00DD0365">
          <w:rPr>
            <w:webHidden/>
          </w:rPr>
          <w:t>14</w:t>
        </w:r>
      </w:hyperlink>
    </w:p>
    <w:p w:rsidR="00F27004" w:rsidRPr="009E1AF5" w:rsidRDefault="00ED1FF6" w:rsidP="00F27004">
      <w:pPr>
        <w:pStyle w:val="TOC2"/>
        <w:rPr>
          <w:rFonts w:asciiTheme="minorHAnsi" w:eastAsiaTheme="minorEastAsia" w:hAnsiTheme="minorHAnsi" w:cstheme="minorBidi"/>
          <w:sz w:val="22"/>
          <w:szCs w:val="22"/>
        </w:rPr>
      </w:pPr>
      <w:hyperlink w:anchor="_Toc434594265" w:history="1">
        <w:r w:rsidR="00F27004" w:rsidRPr="009E1AF5">
          <w:rPr>
            <w:rStyle w:val="Hyperlink"/>
          </w:rPr>
          <w:t>6.9</w:t>
        </w:r>
        <w:r w:rsidR="00F27004" w:rsidRPr="009E1AF5">
          <w:rPr>
            <w:rFonts w:asciiTheme="minorHAnsi" w:eastAsiaTheme="minorEastAsia" w:hAnsiTheme="minorHAnsi" w:cstheme="minorBidi"/>
            <w:sz w:val="22"/>
            <w:szCs w:val="22"/>
          </w:rPr>
          <w:tab/>
        </w:r>
        <w:r w:rsidR="00F27004" w:rsidRPr="009E1AF5">
          <w:rPr>
            <w:rStyle w:val="Hyperlink"/>
          </w:rPr>
          <w:t>Liquidity Coverage Ratio</w:t>
        </w:r>
        <w:r w:rsidR="00F27004" w:rsidRPr="009E1AF5">
          <w:rPr>
            <w:webHidden/>
          </w:rPr>
          <w:tab/>
        </w:r>
        <w:r w:rsidR="00DD0365">
          <w:rPr>
            <w:webHidden/>
          </w:rPr>
          <w:t>15</w:t>
        </w:r>
      </w:hyperlink>
    </w:p>
    <w:p w:rsidR="002653E7" w:rsidRPr="009E1AF5" w:rsidRDefault="00ED1FF6" w:rsidP="002653E7">
      <w:pPr>
        <w:pStyle w:val="TOC1"/>
        <w:tabs>
          <w:tab w:val="left" w:pos="440"/>
          <w:tab w:val="right" w:leader="dot" w:pos="9350"/>
        </w:tabs>
        <w:rPr>
          <w:rFonts w:asciiTheme="minorHAnsi" w:eastAsiaTheme="minorEastAsia" w:hAnsiTheme="minorHAnsi" w:cstheme="minorBidi"/>
          <w:caps w:val="0"/>
          <w:noProof/>
          <w:color w:val="auto"/>
          <w:sz w:val="22"/>
        </w:rPr>
      </w:pPr>
      <w:hyperlink w:anchor="_Toc434594271" w:history="1">
        <w:r w:rsidR="002653E7" w:rsidRPr="009E1AF5">
          <w:rPr>
            <w:rStyle w:val="Hyperlink"/>
            <w:noProof/>
            <w:lang w:bidi="en-US"/>
          </w:rPr>
          <w:t>9.</w:t>
        </w:r>
        <w:r w:rsidR="002653E7" w:rsidRPr="009E1AF5">
          <w:rPr>
            <w:rFonts w:asciiTheme="minorHAnsi" w:eastAsiaTheme="minorEastAsia" w:hAnsiTheme="minorHAnsi" w:cstheme="minorBidi"/>
            <w:caps w:val="0"/>
            <w:noProof/>
            <w:color w:val="auto"/>
            <w:sz w:val="22"/>
          </w:rPr>
          <w:tab/>
        </w:r>
        <w:r w:rsidR="008270C8" w:rsidRPr="009E1AF5">
          <w:rPr>
            <w:rStyle w:val="Hyperlink"/>
            <w:noProof/>
            <w:lang w:bidi="en-US"/>
          </w:rPr>
          <w:t>Concentration</w:t>
        </w:r>
        <w:r w:rsidR="002653E7" w:rsidRPr="009E1AF5">
          <w:rPr>
            <w:rStyle w:val="Hyperlink"/>
            <w:noProof/>
            <w:lang w:bidi="en-US"/>
          </w:rPr>
          <w:t xml:space="preserve"> risk metrics</w:t>
        </w:r>
        <w:r w:rsidR="002653E7" w:rsidRPr="009E1AF5">
          <w:rPr>
            <w:noProof/>
            <w:webHidden/>
          </w:rPr>
          <w:tab/>
        </w:r>
        <w:r w:rsidR="002653E7" w:rsidRPr="009E1AF5">
          <w:rPr>
            <w:noProof/>
            <w:webHidden/>
          </w:rPr>
          <w:fldChar w:fldCharType="begin"/>
        </w:r>
        <w:r w:rsidR="002653E7" w:rsidRPr="009E1AF5">
          <w:rPr>
            <w:noProof/>
            <w:webHidden/>
          </w:rPr>
          <w:instrText xml:space="preserve"> PAGEREF _Toc434594271 \h </w:instrText>
        </w:r>
        <w:r w:rsidR="002653E7" w:rsidRPr="009E1AF5">
          <w:rPr>
            <w:noProof/>
            <w:webHidden/>
          </w:rPr>
        </w:r>
        <w:r w:rsidR="002653E7" w:rsidRPr="009E1AF5">
          <w:rPr>
            <w:noProof/>
            <w:webHidden/>
          </w:rPr>
          <w:fldChar w:fldCharType="separate"/>
        </w:r>
        <w:r w:rsidR="007C38BA">
          <w:rPr>
            <w:bCs/>
            <w:noProof/>
            <w:webHidden/>
          </w:rPr>
          <w:t>1</w:t>
        </w:r>
        <w:r w:rsidR="00DD0365">
          <w:rPr>
            <w:bCs/>
            <w:noProof/>
            <w:webHidden/>
          </w:rPr>
          <w:t>6</w:t>
        </w:r>
        <w:r w:rsidR="00531B7B" w:rsidRPr="009E1AF5">
          <w:rPr>
            <w:bCs/>
            <w:noProof/>
            <w:webHidden/>
          </w:rPr>
          <w:t>.</w:t>
        </w:r>
        <w:r w:rsidR="002653E7" w:rsidRPr="009E1AF5">
          <w:rPr>
            <w:noProof/>
            <w:webHidden/>
          </w:rPr>
          <w:fldChar w:fldCharType="end"/>
        </w:r>
      </w:hyperlink>
    </w:p>
    <w:p w:rsidR="002653E7" w:rsidRPr="009E1AF5" w:rsidRDefault="00ED1FF6" w:rsidP="008270C8">
      <w:pPr>
        <w:pStyle w:val="TOC2"/>
        <w:rPr>
          <w:rFonts w:asciiTheme="minorHAnsi" w:eastAsiaTheme="minorEastAsia" w:hAnsiTheme="minorHAnsi" w:cstheme="minorBidi"/>
          <w:sz w:val="22"/>
          <w:szCs w:val="22"/>
        </w:rPr>
      </w:pPr>
      <w:hyperlink w:anchor="_Toc434594273" w:history="1">
        <w:r w:rsidR="00F27004" w:rsidRPr="009E1AF5">
          <w:rPr>
            <w:rStyle w:val="Hyperlink"/>
          </w:rPr>
          <w:t>9.1</w:t>
        </w:r>
        <w:r w:rsidR="002653E7" w:rsidRPr="009E1AF5">
          <w:rPr>
            <w:rFonts w:asciiTheme="minorHAnsi" w:eastAsiaTheme="minorEastAsia" w:hAnsiTheme="minorHAnsi" w:cstheme="minorBidi"/>
            <w:sz w:val="22"/>
            <w:szCs w:val="22"/>
          </w:rPr>
          <w:tab/>
        </w:r>
        <w:r w:rsidR="00F27004" w:rsidRPr="009E1AF5">
          <w:rPr>
            <w:rStyle w:val="Hyperlink"/>
          </w:rPr>
          <w:t>GBM Concentration</w:t>
        </w:r>
        <w:r w:rsidR="002653E7" w:rsidRPr="009E1AF5">
          <w:rPr>
            <w:webHidden/>
          </w:rPr>
          <w:tab/>
        </w:r>
        <w:r w:rsidR="002653E7" w:rsidRPr="009E1AF5">
          <w:rPr>
            <w:webHidden/>
          </w:rPr>
          <w:fldChar w:fldCharType="begin"/>
        </w:r>
        <w:r w:rsidR="002653E7" w:rsidRPr="009E1AF5">
          <w:rPr>
            <w:webHidden/>
          </w:rPr>
          <w:instrText xml:space="preserve"> PAGEREF _Toc434594273 \h </w:instrText>
        </w:r>
        <w:r w:rsidR="002653E7" w:rsidRPr="009E1AF5">
          <w:rPr>
            <w:webHidden/>
          </w:rPr>
        </w:r>
        <w:r w:rsidR="002653E7" w:rsidRPr="009E1AF5">
          <w:rPr>
            <w:webHidden/>
          </w:rPr>
          <w:fldChar w:fldCharType="separate"/>
        </w:r>
        <w:r w:rsidR="003B6A89">
          <w:rPr>
            <w:bCs/>
            <w:webHidden/>
          </w:rPr>
          <w:t>1</w:t>
        </w:r>
        <w:r w:rsidR="00DD0365">
          <w:rPr>
            <w:bCs/>
            <w:webHidden/>
          </w:rPr>
          <w:t>6</w:t>
        </w:r>
        <w:r w:rsidR="002653E7" w:rsidRPr="009E1AF5">
          <w:rPr>
            <w:webHidden/>
          </w:rPr>
          <w:fldChar w:fldCharType="end"/>
        </w:r>
      </w:hyperlink>
    </w:p>
    <w:p w:rsidR="002653E7" w:rsidRPr="009E1AF5" w:rsidRDefault="00ED1FF6" w:rsidP="008270C8">
      <w:pPr>
        <w:pStyle w:val="TOC2"/>
        <w:rPr>
          <w:rFonts w:asciiTheme="minorHAnsi" w:eastAsiaTheme="minorEastAsia" w:hAnsiTheme="minorHAnsi" w:cstheme="minorBidi"/>
          <w:sz w:val="22"/>
          <w:szCs w:val="22"/>
        </w:rPr>
      </w:pPr>
      <w:hyperlink w:anchor="_Toc434594274" w:history="1">
        <w:r w:rsidR="00F27004" w:rsidRPr="009E1AF5">
          <w:rPr>
            <w:rStyle w:val="Hyperlink"/>
          </w:rPr>
          <w:t>9.2</w:t>
        </w:r>
        <w:r w:rsidR="002653E7" w:rsidRPr="009E1AF5">
          <w:rPr>
            <w:rFonts w:asciiTheme="minorHAnsi" w:eastAsiaTheme="minorEastAsia" w:hAnsiTheme="minorHAnsi" w:cstheme="minorBidi"/>
            <w:sz w:val="22"/>
            <w:szCs w:val="22"/>
          </w:rPr>
          <w:tab/>
        </w:r>
        <w:r w:rsidR="00F27004" w:rsidRPr="009E1AF5">
          <w:rPr>
            <w:rStyle w:val="Hyperlink"/>
          </w:rPr>
          <w:t>Single Name</w:t>
        </w:r>
        <w:r w:rsidR="002653E7" w:rsidRPr="009E1AF5">
          <w:rPr>
            <w:webHidden/>
          </w:rPr>
          <w:tab/>
        </w:r>
        <w:r w:rsidR="002653E7" w:rsidRPr="009E1AF5">
          <w:rPr>
            <w:webHidden/>
          </w:rPr>
          <w:fldChar w:fldCharType="begin"/>
        </w:r>
        <w:r w:rsidR="002653E7" w:rsidRPr="009E1AF5">
          <w:rPr>
            <w:webHidden/>
          </w:rPr>
          <w:instrText xml:space="preserve"> PAGEREF _Toc434594274 \h </w:instrText>
        </w:r>
        <w:r w:rsidR="002653E7" w:rsidRPr="009E1AF5">
          <w:rPr>
            <w:webHidden/>
          </w:rPr>
        </w:r>
        <w:r w:rsidR="002653E7" w:rsidRPr="009E1AF5">
          <w:rPr>
            <w:webHidden/>
          </w:rPr>
          <w:fldChar w:fldCharType="separate"/>
        </w:r>
        <w:r w:rsidR="003B6A89">
          <w:rPr>
            <w:bCs/>
            <w:webHidden/>
          </w:rPr>
          <w:t>1</w:t>
        </w:r>
        <w:r w:rsidR="00DD0365">
          <w:rPr>
            <w:bCs/>
            <w:webHidden/>
          </w:rPr>
          <w:t>6</w:t>
        </w:r>
        <w:r w:rsidR="002653E7" w:rsidRPr="009E1AF5">
          <w:rPr>
            <w:webHidden/>
          </w:rPr>
          <w:fldChar w:fldCharType="end"/>
        </w:r>
      </w:hyperlink>
    </w:p>
    <w:p w:rsidR="002653E7" w:rsidRPr="009E1AF5" w:rsidRDefault="00ED1FF6" w:rsidP="008270C8">
      <w:pPr>
        <w:pStyle w:val="TOC2"/>
      </w:pPr>
      <w:hyperlink w:anchor="_Toc434594275" w:history="1">
        <w:r w:rsidR="00F27004" w:rsidRPr="009E1AF5">
          <w:rPr>
            <w:rStyle w:val="Hyperlink"/>
          </w:rPr>
          <w:t>9.3</w:t>
        </w:r>
        <w:r w:rsidR="002653E7" w:rsidRPr="009E1AF5">
          <w:rPr>
            <w:rFonts w:asciiTheme="minorHAnsi" w:eastAsiaTheme="minorEastAsia" w:hAnsiTheme="minorHAnsi" w:cstheme="minorBidi"/>
            <w:sz w:val="22"/>
            <w:szCs w:val="22"/>
          </w:rPr>
          <w:tab/>
        </w:r>
        <w:r w:rsidR="00F27004" w:rsidRPr="009E1AF5">
          <w:rPr>
            <w:rStyle w:val="Hyperlink"/>
          </w:rPr>
          <w:t>Top5</w:t>
        </w:r>
        <w:r w:rsidR="002653E7" w:rsidRPr="009E1AF5">
          <w:rPr>
            <w:webHidden/>
          </w:rPr>
          <w:tab/>
        </w:r>
        <w:r w:rsidR="002653E7" w:rsidRPr="009E1AF5">
          <w:rPr>
            <w:webHidden/>
          </w:rPr>
          <w:fldChar w:fldCharType="begin"/>
        </w:r>
        <w:r w:rsidR="002653E7" w:rsidRPr="009E1AF5">
          <w:rPr>
            <w:webHidden/>
          </w:rPr>
          <w:instrText xml:space="preserve"> PAGEREF _Toc434594275 \h </w:instrText>
        </w:r>
        <w:r w:rsidR="002653E7" w:rsidRPr="009E1AF5">
          <w:rPr>
            <w:webHidden/>
          </w:rPr>
        </w:r>
        <w:r w:rsidR="002653E7" w:rsidRPr="009E1AF5">
          <w:rPr>
            <w:webHidden/>
          </w:rPr>
          <w:fldChar w:fldCharType="separate"/>
        </w:r>
        <w:r w:rsidR="003B6A89">
          <w:rPr>
            <w:bCs/>
            <w:webHidden/>
          </w:rPr>
          <w:t>15</w:t>
        </w:r>
        <w:r w:rsidR="002653E7" w:rsidRPr="009E1AF5">
          <w:rPr>
            <w:webHidden/>
          </w:rPr>
          <w:fldChar w:fldCharType="end"/>
        </w:r>
      </w:hyperlink>
    </w:p>
    <w:p w:rsidR="00F27004" w:rsidRPr="009E1AF5" w:rsidRDefault="00ED1FF6" w:rsidP="00F27004">
      <w:pPr>
        <w:pStyle w:val="TOC2"/>
        <w:rPr>
          <w:rFonts w:asciiTheme="minorHAnsi" w:eastAsiaTheme="minorEastAsia" w:hAnsiTheme="minorHAnsi" w:cstheme="minorBidi"/>
          <w:sz w:val="22"/>
          <w:szCs w:val="22"/>
        </w:rPr>
      </w:pPr>
      <w:hyperlink w:anchor="_Toc434594275" w:history="1">
        <w:r w:rsidR="00F27004" w:rsidRPr="009E1AF5">
          <w:rPr>
            <w:rStyle w:val="Hyperlink"/>
          </w:rPr>
          <w:t>9.3</w:t>
        </w:r>
        <w:r w:rsidR="00F27004" w:rsidRPr="009E1AF5">
          <w:rPr>
            <w:rFonts w:asciiTheme="minorHAnsi" w:eastAsiaTheme="minorEastAsia" w:hAnsiTheme="minorHAnsi" w:cstheme="minorBidi"/>
            <w:sz w:val="22"/>
            <w:szCs w:val="22"/>
          </w:rPr>
          <w:tab/>
        </w:r>
        <w:r w:rsidR="00F27004" w:rsidRPr="009E1AF5">
          <w:rPr>
            <w:rStyle w:val="Hyperlink"/>
          </w:rPr>
          <w:t>Top20</w:t>
        </w:r>
        <w:r w:rsidR="00F27004" w:rsidRPr="009E1AF5">
          <w:rPr>
            <w:webHidden/>
          </w:rPr>
          <w:tab/>
        </w:r>
        <w:r w:rsidR="00F27004" w:rsidRPr="009E1AF5">
          <w:rPr>
            <w:webHidden/>
          </w:rPr>
          <w:fldChar w:fldCharType="begin"/>
        </w:r>
        <w:r w:rsidR="00F27004" w:rsidRPr="009E1AF5">
          <w:rPr>
            <w:webHidden/>
          </w:rPr>
          <w:instrText xml:space="preserve"> PAGEREF _Toc434594275 \h </w:instrText>
        </w:r>
        <w:r w:rsidR="00F27004" w:rsidRPr="009E1AF5">
          <w:rPr>
            <w:webHidden/>
          </w:rPr>
        </w:r>
        <w:r w:rsidR="00F27004" w:rsidRPr="009E1AF5">
          <w:rPr>
            <w:webHidden/>
          </w:rPr>
          <w:fldChar w:fldCharType="separate"/>
        </w:r>
        <w:r w:rsidR="003B6A89">
          <w:rPr>
            <w:bCs/>
            <w:webHidden/>
          </w:rPr>
          <w:t>16</w:t>
        </w:r>
        <w:r w:rsidR="00F27004" w:rsidRPr="009E1AF5">
          <w:rPr>
            <w:webHidden/>
          </w:rPr>
          <w:fldChar w:fldCharType="end"/>
        </w:r>
      </w:hyperlink>
    </w:p>
    <w:p w:rsidR="00F27004" w:rsidRPr="009E1AF5" w:rsidRDefault="00ED1FF6" w:rsidP="00F27004">
      <w:pPr>
        <w:pStyle w:val="TOC2"/>
        <w:rPr>
          <w:rFonts w:asciiTheme="minorHAnsi" w:eastAsiaTheme="minorEastAsia" w:hAnsiTheme="minorHAnsi" w:cstheme="minorBidi"/>
          <w:sz w:val="22"/>
          <w:szCs w:val="22"/>
        </w:rPr>
      </w:pPr>
      <w:hyperlink w:anchor="_Toc434594275" w:history="1">
        <w:r w:rsidR="00F27004" w:rsidRPr="009E1AF5">
          <w:rPr>
            <w:rStyle w:val="Hyperlink"/>
          </w:rPr>
          <w:t>9.3</w:t>
        </w:r>
        <w:r w:rsidR="00F27004" w:rsidRPr="009E1AF5">
          <w:rPr>
            <w:rFonts w:asciiTheme="minorHAnsi" w:eastAsiaTheme="minorEastAsia" w:hAnsiTheme="minorHAnsi" w:cstheme="minorBidi"/>
            <w:sz w:val="22"/>
            <w:szCs w:val="22"/>
          </w:rPr>
          <w:tab/>
        </w:r>
        <w:r w:rsidR="00F27004" w:rsidRPr="009E1AF5">
          <w:rPr>
            <w:rStyle w:val="Hyperlink"/>
          </w:rPr>
          <w:t>Maximum individual exposure with clients with rating &lt;5.0</w:t>
        </w:r>
        <w:r w:rsidR="00F27004" w:rsidRPr="009E1AF5">
          <w:rPr>
            <w:webHidden/>
          </w:rPr>
          <w:tab/>
        </w:r>
        <w:r w:rsidR="00F27004" w:rsidRPr="009E1AF5">
          <w:rPr>
            <w:webHidden/>
          </w:rPr>
          <w:fldChar w:fldCharType="begin"/>
        </w:r>
        <w:r w:rsidR="00F27004" w:rsidRPr="009E1AF5">
          <w:rPr>
            <w:webHidden/>
          </w:rPr>
          <w:instrText xml:space="preserve"> PAGEREF _Toc434594275 \h </w:instrText>
        </w:r>
        <w:r w:rsidR="00F27004" w:rsidRPr="009E1AF5">
          <w:rPr>
            <w:webHidden/>
          </w:rPr>
        </w:r>
        <w:r w:rsidR="00F27004" w:rsidRPr="009E1AF5">
          <w:rPr>
            <w:webHidden/>
          </w:rPr>
          <w:fldChar w:fldCharType="separate"/>
        </w:r>
        <w:r w:rsidR="003B6A89">
          <w:rPr>
            <w:bCs/>
            <w:webHidden/>
          </w:rPr>
          <w:t>16</w:t>
        </w:r>
        <w:r w:rsidR="00F27004" w:rsidRPr="009E1AF5">
          <w:rPr>
            <w:webHidden/>
          </w:rPr>
          <w:fldChar w:fldCharType="end"/>
        </w:r>
      </w:hyperlink>
    </w:p>
    <w:p w:rsidR="00F27004" w:rsidRPr="009E1AF5" w:rsidRDefault="00ED1FF6" w:rsidP="00F27004">
      <w:pPr>
        <w:pStyle w:val="TOC2"/>
      </w:pPr>
      <w:hyperlink w:anchor="_Toc434594275" w:history="1">
        <w:r w:rsidR="00F27004" w:rsidRPr="009E1AF5">
          <w:rPr>
            <w:rStyle w:val="Hyperlink"/>
          </w:rPr>
          <w:t>9.3</w:t>
        </w:r>
        <w:r w:rsidR="00F27004" w:rsidRPr="009E1AF5">
          <w:rPr>
            <w:rFonts w:asciiTheme="minorHAnsi" w:eastAsiaTheme="minorEastAsia" w:hAnsiTheme="minorHAnsi" w:cstheme="minorBidi"/>
            <w:sz w:val="22"/>
            <w:szCs w:val="22"/>
          </w:rPr>
          <w:tab/>
        </w:r>
        <w:r w:rsidR="00F27004" w:rsidRPr="009E1AF5">
          <w:rPr>
            <w:rStyle w:val="Hyperlink"/>
          </w:rPr>
          <w:t>Max. industry concentration over Total Portfolio</w:t>
        </w:r>
        <w:r w:rsidR="00F27004" w:rsidRPr="009E1AF5">
          <w:rPr>
            <w:webHidden/>
          </w:rPr>
          <w:tab/>
        </w:r>
        <w:r w:rsidR="00F27004" w:rsidRPr="009E1AF5">
          <w:rPr>
            <w:webHidden/>
          </w:rPr>
          <w:fldChar w:fldCharType="begin"/>
        </w:r>
        <w:r w:rsidR="00F27004" w:rsidRPr="009E1AF5">
          <w:rPr>
            <w:webHidden/>
          </w:rPr>
          <w:instrText xml:space="preserve"> PAGEREF _Toc434594275 \h </w:instrText>
        </w:r>
        <w:r w:rsidR="00F27004" w:rsidRPr="009E1AF5">
          <w:rPr>
            <w:webHidden/>
          </w:rPr>
        </w:r>
        <w:r w:rsidR="00F27004" w:rsidRPr="009E1AF5">
          <w:rPr>
            <w:webHidden/>
          </w:rPr>
          <w:fldChar w:fldCharType="separate"/>
        </w:r>
        <w:r w:rsidR="003B6A89">
          <w:rPr>
            <w:bCs/>
            <w:webHidden/>
          </w:rPr>
          <w:t>17</w:t>
        </w:r>
        <w:r w:rsidR="00F27004" w:rsidRPr="009E1AF5">
          <w:rPr>
            <w:webHidden/>
          </w:rPr>
          <w:fldChar w:fldCharType="end"/>
        </w:r>
      </w:hyperlink>
    </w:p>
    <w:p w:rsidR="00F27004" w:rsidRPr="009E1AF5" w:rsidRDefault="00ED1FF6" w:rsidP="00F27004">
      <w:pPr>
        <w:pStyle w:val="TOC2"/>
      </w:pPr>
      <w:hyperlink w:anchor="_Toc434594275" w:history="1">
        <w:r w:rsidR="00F27004" w:rsidRPr="009E1AF5">
          <w:rPr>
            <w:rStyle w:val="Hyperlink"/>
          </w:rPr>
          <w:t>9.3</w:t>
        </w:r>
        <w:r w:rsidR="00F27004" w:rsidRPr="009E1AF5">
          <w:rPr>
            <w:rFonts w:asciiTheme="minorHAnsi" w:eastAsiaTheme="minorEastAsia" w:hAnsiTheme="minorHAnsi" w:cstheme="minorBidi"/>
            <w:sz w:val="22"/>
            <w:szCs w:val="22"/>
          </w:rPr>
          <w:tab/>
        </w:r>
        <w:r w:rsidR="00F27004" w:rsidRPr="009E1AF5">
          <w:rPr>
            <w:rStyle w:val="Hyperlink"/>
          </w:rPr>
          <w:t>Max. industry concentration over Total Portfolio excl retail</w:t>
        </w:r>
        <w:r w:rsidR="00F27004" w:rsidRPr="009E1AF5">
          <w:rPr>
            <w:webHidden/>
          </w:rPr>
          <w:tab/>
        </w:r>
        <w:r w:rsidR="00F27004" w:rsidRPr="009E1AF5">
          <w:rPr>
            <w:webHidden/>
          </w:rPr>
          <w:fldChar w:fldCharType="begin"/>
        </w:r>
        <w:r w:rsidR="00F27004" w:rsidRPr="009E1AF5">
          <w:rPr>
            <w:webHidden/>
          </w:rPr>
          <w:instrText xml:space="preserve"> PAGEREF _Toc434594275 \h </w:instrText>
        </w:r>
        <w:r w:rsidR="00F27004" w:rsidRPr="009E1AF5">
          <w:rPr>
            <w:webHidden/>
          </w:rPr>
        </w:r>
        <w:r w:rsidR="00F27004" w:rsidRPr="009E1AF5">
          <w:rPr>
            <w:webHidden/>
          </w:rPr>
          <w:fldChar w:fldCharType="separate"/>
        </w:r>
        <w:r w:rsidR="003B6A89">
          <w:rPr>
            <w:bCs/>
            <w:webHidden/>
          </w:rPr>
          <w:t>18</w:t>
        </w:r>
        <w:r w:rsidR="00F27004" w:rsidRPr="009E1AF5">
          <w:rPr>
            <w:webHidden/>
          </w:rPr>
          <w:fldChar w:fldCharType="end"/>
        </w:r>
      </w:hyperlink>
    </w:p>
    <w:p w:rsidR="009E1AF5" w:rsidRPr="009E1AF5" w:rsidRDefault="00ED1FF6" w:rsidP="009E1AF5">
      <w:pPr>
        <w:pStyle w:val="TOC2"/>
        <w:rPr>
          <w:rFonts w:asciiTheme="minorHAnsi" w:eastAsiaTheme="minorEastAsia" w:hAnsiTheme="minorHAnsi" w:cstheme="minorBidi"/>
          <w:sz w:val="22"/>
          <w:szCs w:val="22"/>
        </w:rPr>
      </w:pPr>
      <w:hyperlink w:anchor="_Toc434594275" w:history="1">
        <w:r w:rsidR="009E1AF5" w:rsidRPr="009E1AF5">
          <w:rPr>
            <w:rStyle w:val="Hyperlink"/>
          </w:rPr>
          <w:t>9.3</w:t>
        </w:r>
        <w:r w:rsidR="009E1AF5" w:rsidRPr="009E1AF5">
          <w:rPr>
            <w:rFonts w:asciiTheme="minorHAnsi" w:eastAsiaTheme="minorEastAsia" w:hAnsiTheme="minorHAnsi" w:cstheme="minorBidi"/>
            <w:sz w:val="22"/>
            <w:szCs w:val="22"/>
          </w:rPr>
          <w:tab/>
        </w:r>
        <w:r w:rsidR="009E1AF5">
          <w:rPr>
            <w:rStyle w:val="Hyperlink"/>
          </w:rPr>
          <w:t>CRE ($10.5B)</w:t>
        </w:r>
        <w:r w:rsidR="009E1AF5" w:rsidRPr="009E1AF5">
          <w:rPr>
            <w:webHidden/>
          </w:rPr>
          <w:tab/>
        </w:r>
        <w:r w:rsidR="009E1AF5" w:rsidRPr="009E1AF5">
          <w:rPr>
            <w:webHidden/>
          </w:rPr>
          <w:fldChar w:fldCharType="begin"/>
        </w:r>
        <w:r w:rsidR="009E1AF5" w:rsidRPr="009E1AF5">
          <w:rPr>
            <w:webHidden/>
          </w:rPr>
          <w:instrText xml:space="preserve"> PAGEREF _Toc434594275 \h </w:instrText>
        </w:r>
        <w:r w:rsidR="009E1AF5" w:rsidRPr="009E1AF5">
          <w:rPr>
            <w:webHidden/>
          </w:rPr>
        </w:r>
        <w:r w:rsidR="009E1AF5" w:rsidRPr="009E1AF5">
          <w:rPr>
            <w:webHidden/>
          </w:rPr>
          <w:fldChar w:fldCharType="separate"/>
        </w:r>
        <w:r w:rsidR="003B6A89">
          <w:rPr>
            <w:bCs/>
            <w:webHidden/>
          </w:rPr>
          <w:t>19</w:t>
        </w:r>
        <w:r w:rsidR="009E1AF5" w:rsidRPr="009E1AF5">
          <w:rPr>
            <w:webHidden/>
          </w:rPr>
          <w:fldChar w:fldCharType="end"/>
        </w:r>
      </w:hyperlink>
    </w:p>
    <w:p w:rsidR="009E1AF5" w:rsidRPr="00F27004" w:rsidRDefault="00ED1FF6" w:rsidP="009E1AF5">
      <w:pPr>
        <w:pStyle w:val="TOC2"/>
        <w:rPr>
          <w:rFonts w:asciiTheme="minorHAnsi" w:eastAsiaTheme="minorEastAsia" w:hAnsiTheme="minorHAnsi" w:cstheme="minorBidi"/>
          <w:sz w:val="22"/>
          <w:szCs w:val="22"/>
        </w:rPr>
      </w:pPr>
      <w:hyperlink w:anchor="_Toc434594275" w:history="1">
        <w:r w:rsidR="009E1AF5" w:rsidRPr="009E1AF5">
          <w:rPr>
            <w:rStyle w:val="Hyperlink"/>
          </w:rPr>
          <w:t>9.3</w:t>
        </w:r>
        <w:r w:rsidR="009E1AF5" w:rsidRPr="009E1AF5">
          <w:rPr>
            <w:rFonts w:asciiTheme="minorHAnsi" w:eastAsiaTheme="minorEastAsia" w:hAnsiTheme="minorHAnsi" w:cstheme="minorBidi"/>
            <w:sz w:val="22"/>
            <w:szCs w:val="22"/>
          </w:rPr>
          <w:tab/>
        </w:r>
        <w:r w:rsidR="009E1AF5">
          <w:rPr>
            <w:rStyle w:val="Hyperlink"/>
          </w:rPr>
          <w:t>Multifamily ($105B)</w:t>
        </w:r>
        <w:r w:rsidR="009E1AF5" w:rsidRPr="009E1AF5">
          <w:rPr>
            <w:webHidden/>
          </w:rPr>
          <w:tab/>
        </w:r>
        <w:r w:rsidR="009E1AF5" w:rsidRPr="009E1AF5">
          <w:rPr>
            <w:webHidden/>
          </w:rPr>
          <w:fldChar w:fldCharType="begin"/>
        </w:r>
        <w:r w:rsidR="009E1AF5" w:rsidRPr="009E1AF5">
          <w:rPr>
            <w:webHidden/>
          </w:rPr>
          <w:instrText xml:space="preserve"> PAGEREF _Toc434594275 \h </w:instrText>
        </w:r>
        <w:r w:rsidR="009E1AF5" w:rsidRPr="009E1AF5">
          <w:rPr>
            <w:webHidden/>
          </w:rPr>
        </w:r>
        <w:r w:rsidR="009E1AF5" w:rsidRPr="009E1AF5">
          <w:rPr>
            <w:webHidden/>
          </w:rPr>
          <w:fldChar w:fldCharType="separate"/>
        </w:r>
        <w:r w:rsidR="003B6A89">
          <w:rPr>
            <w:bCs/>
            <w:webHidden/>
          </w:rPr>
          <w:t>20</w:t>
        </w:r>
        <w:r w:rsidR="009E1AF5" w:rsidRPr="009E1AF5">
          <w:rPr>
            <w:webHidden/>
          </w:rPr>
          <w:fldChar w:fldCharType="end"/>
        </w:r>
      </w:hyperlink>
    </w:p>
    <w:p w:rsidR="009E1AF5" w:rsidRPr="00F27004" w:rsidRDefault="00ED1FF6" w:rsidP="009E1AF5">
      <w:pPr>
        <w:pStyle w:val="TOC2"/>
        <w:rPr>
          <w:rFonts w:asciiTheme="minorHAnsi" w:eastAsiaTheme="minorEastAsia" w:hAnsiTheme="minorHAnsi" w:cstheme="minorBidi"/>
          <w:sz w:val="22"/>
          <w:szCs w:val="22"/>
        </w:rPr>
      </w:pPr>
      <w:hyperlink w:anchor="_Toc434594275" w:history="1">
        <w:r w:rsidR="009E1AF5">
          <w:rPr>
            <w:rStyle w:val="Hyperlink"/>
          </w:rPr>
          <w:t>9.3</w:t>
        </w:r>
        <w:r w:rsidR="009E1AF5">
          <w:rPr>
            <w:rFonts w:asciiTheme="minorHAnsi" w:eastAsiaTheme="minorEastAsia" w:hAnsiTheme="minorHAnsi" w:cstheme="minorBidi"/>
            <w:sz w:val="22"/>
            <w:szCs w:val="22"/>
          </w:rPr>
          <w:tab/>
        </w:r>
        <w:r w:rsidR="009E1AF5">
          <w:rPr>
            <w:rStyle w:val="Hyperlink"/>
          </w:rPr>
          <w:t>SCUSA subprime assets over SHUSA Net Credit Exposure</w:t>
        </w:r>
        <w:r w:rsidR="009E1AF5">
          <w:rPr>
            <w:webHidden/>
          </w:rPr>
          <w:tab/>
        </w:r>
        <w:r w:rsidR="009E1AF5">
          <w:rPr>
            <w:webHidden/>
          </w:rPr>
          <w:fldChar w:fldCharType="begin"/>
        </w:r>
        <w:r w:rsidR="009E1AF5">
          <w:rPr>
            <w:webHidden/>
          </w:rPr>
          <w:instrText xml:space="preserve"> PAGEREF _Toc434594275 \h </w:instrText>
        </w:r>
        <w:r w:rsidR="009E1AF5">
          <w:rPr>
            <w:webHidden/>
          </w:rPr>
        </w:r>
        <w:r w:rsidR="009E1AF5">
          <w:rPr>
            <w:webHidden/>
          </w:rPr>
          <w:fldChar w:fldCharType="separate"/>
        </w:r>
        <w:r w:rsidR="003B6A89">
          <w:rPr>
            <w:bCs/>
            <w:webHidden/>
          </w:rPr>
          <w:t>21</w:t>
        </w:r>
        <w:r w:rsidR="009E1AF5">
          <w:rPr>
            <w:webHidden/>
          </w:rPr>
          <w:fldChar w:fldCharType="end"/>
        </w:r>
      </w:hyperlink>
    </w:p>
    <w:p w:rsidR="00F27004" w:rsidRPr="009E1AF5" w:rsidRDefault="00ED1FF6" w:rsidP="009E1AF5">
      <w:pPr>
        <w:pStyle w:val="TOC2"/>
        <w:rPr>
          <w:rFonts w:asciiTheme="minorHAnsi" w:eastAsiaTheme="minorEastAsia" w:hAnsiTheme="minorHAnsi" w:cstheme="minorBidi"/>
          <w:sz w:val="22"/>
          <w:szCs w:val="22"/>
        </w:rPr>
      </w:pPr>
      <w:hyperlink w:anchor="_Toc434594275" w:history="1">
        <w:r w:rsidR="009E1AF5">
          <w:rPr>
            <w:rStyle w:val="Hyperlink"/>
          </w:rPr>
          <w:t>9.3</w:t>
        </w:r>
        <w:r w:rsidR="009E1AF5">
          <w:rPr>
            <w:rFonts w:asciiTheme="minorHAnsi" w:eastAsiaTheme="minorEastAsia" w:hAnsiTheme="minorHAnsi" w:cstheme="minorBidi"/>
            <w:sz w:val="22"/>
            <w:szCs w:val="22"/>
          </w:rPr>
          <w:tab/>
        </w:r>
        <w:r w:rsidR="009E1AF5">
          <w:rPr>
            <w:rStyle w:val="Hyperlink"/>
          </w:rPr>
          <w:t>SCUSA RWAs/CET1-11% of CET1</w:t>
        </w:r>
        <w:r w:rsidR="009E1AF5">
          <w:rPr>
            <w:webHidden/>
          </w:rPr>
          <w:tab/>
        </w:r>
        <w:r w:rsidR="009E1AF5">
          <w:rPr>
            <w:webHidden/>
          </w:rPr>
          <w:fldChar w:fldCharType="begin"/>
        </w:r>
        <w:r w:rsidR="009E1AF5">
          <w:rPr>
            <w:webHidden/>
          </w:rPr>
          <w:instrText xml:space="preserve"> PAGEREF _Toc434594275 \h </w:instrText>
        </w:r>
        <w:r w:rsidR="009E1AF5">
          <w:rPr>
            <w:webHidden/>
          </w:rPr>
        </w:r>
        <w:r w:rsidR="009E1AF5">
          <w:rPr>
            <w:webHidden/>
          </w:rPr>
          <w:fldChar w:fldCharType="separate"/>
        </w:r>
        <w:r w:rsidR="003B6A89">
          <w:rPr>
            <w:bCs/>
            <w:webHidden/>
          </w:rPr>
          <w:t>22</w:t>
        </w:r>
        <w:r w:rsidR="009E1AF5">
          <w:rPr>
            <w:webHidden/>
          </w:rPr>
          <w:fldChar w:fldCharType="end"/>
        </w:r>
      </w:hyperlink>
    </w:p>
    <w:p w:rsidR="002653E7" w:rsidRDefault="00ED1FF6" w:rsidP="002653E7">
      <w:pPr>
        <w:pStyle w:val="TOC1"/>
        <w:tabs>
          <w:tab w:val="left" w:pos="660"/>
          <w:tab w:val="right" w:leader="dot" w:pos="9350"/>
        </w:tabs>
        <w:rPr>
          <w:rFonts w:asciiTheme="minorHAnsi" w:eastAsiaTheme="minorEastAsia" w:hAnsiTheme="minorHAnsi" w:cstheme="minorBidi"/>
          <w:b w:val="0"/>
          <w:caps w:val="0"/>
          <w:noProof/>
          <w:color w:val="auto"/>
          <w:sz w:val="22"/>
        </w:rPr>
      </w:pPr>
      <w:hyperlink w:anchor="_Toc434594276" w:history="1">
        <w:r w:rsidR="002653E7" w:rsidRPr="009A202C">
          <w:rPr>
            <w:rStyle w:val="Hyperlink"/>
            <w:noProof/>
            <w:lang w:bidi="en-US"/>
          </w:rPr>
          <w:t>10.</w:t>
        </w:r>
        <w:r w:rsidR="002653E7">
          <w:rPr>
            <w:rFonts w:asciiTheme="minorHAnsi" w:eastAsiaTheme="minorEastAsia" w:hAnsiTheme="minorHAnsi" w:cstheme="minorBidi"/>
            <w:b w:val="0"/>
            <w:caps w:val="0"/>
            <w:noProof/>
            <w:color w:val="auto"/>
            <w:sz w:val="22"/>
          </w:rPr>
          <w:tab/>
        </w:r>
        <w:r w:rsidR="008270C8">
          <w:rPr>
            <w:rStyle w:val="Hyperlink"/>
            <w:noProof/>
            <w:lang w:bidi="en-US"/>
          </w:rPr>
          <w:t>Qualitative Elements</w:t>
        </w:r>
        <w:r w:rsidR="002653E7">
          <w:rPr>
            <w:noProof/>
            <w:webHidden/>
          </w:rPr>
          <w:tab/>
        </w:r>
        <w:r w:rsidR="002653E7">
          <w:rPr>
            <w:noProof/>
            <w:webHidden/>
          </w:rPr>
          <w:fldChar w:fldCharType="begin"/>
        </w:r>
        <w:r w:rsidR="002653E7">
          <w:rPr>
            <w:noProof/>
            <w:webHidden/>
          </w:rPr>
          <w:instrText xml:space="preserve"> PAGEREF _Toc434594276 \h </w:instrText>
        </w:r>
        <w:r w:rsidR="002653E7">
          <w:rPr>
            <w:noProof/>
            <w:webHidden/>
          </w:rPr>
        </w:r>
        <w:r w:rsidR="002653E7">
          <w:rPr>
            <w:noProof/>
            <w:webHidden/>
          </w:rPr>
          <w:fldChar w:fldCharType="separate"/>
        </w:r>
        <w:r w:rsidR="007C38BA">
          <w:rPr>
            <w:b w:val="0"/>
            <w:bCs/>
            <w:noProof/>
            <w:webHidden/>
          </w:rPr>
          <w:t>23</w:t>
        </w:r>
        <w:r w:rsidR="002653E7">
          <w:rPr>
            <w:noProof/>
            <w:webHidden/>
          </w:rPr>
          <w:fldChar w:fldCharType="end"/>
        </w:r>
      </w:hyperlink>
    </w:p>
    <w:p w:rsidR="002653E7" w:rsidRDefault="00ED1FF6" w:rsidP="008270C8">
      <w:pPr>
        <w:pStyle w:val="TOC2"/>
      </w:pPr>
      <w:hyperlink w:anchor="_Toc434594277" w:history="1">
        <w:r w:rsidR="002653E7" w:rsidRPr="009A202C">
          <w:rPr>
            <w:rStyle w:val="Hyperlink"/>
          </w:rPr>
          <w:t>10.1</w:t>
        </w:r>
        <w:r w:rsidR="002653E7">
          <w:rPr>
            <w:rFonts w:asciiTheme="minorHAnsi" w:eastAsiaTheme="minorEastAsia" w:hAnsiTheme="minorHAnsi" w:cstheme="minorBidi"/>
            <w:sz w:val="22"/>
            <w:szCs w:val="22"/>
          </w:rPr>
          <w:tab/>
        </w:r>
        <w:r w:rsidR="009E1AF5">
          <w:rPr>
            <w:rStyle w:val="Hyperlink"/>
          </w:rPr>
          <w:t>SHUSA frequency of material Operational events&gt;$200k in potential loss</w:t>
        </w:r>
        <w:r w:rsidR="002653E7">
          <w:rPr>
            <w:webHidden/>
          </w:rPr>
          <w:tab/>
        </w:r>
        <w:r w:rsidR="002653E7">
          <w:rPr>
            <w:webHidden/>
          </w:rPr>
          <w:fldChar w:fldCharType="begin"/>
        </w:r>
        <w:r w:rsidR="002653E7">
          <w:rPr>
            <w:webHidden/>
          </w:rPr>
          <w:instrText xml:space="preserve"> PAGEREF _Toc434594277 \h </w:instrText>
        </w:r>
        <w:r w:rsidR="002653E7">
          <w:rPr>
            <w:webHidden/>
          </w:rPr>
        </w:r>
        <w:r w:rsidR="002653E7">
          <w:rPr>
            <w:webHidden/>
          </w:rPr>
          <w:fldChar w:fldCharType="separate"/>
        </w:r>
        <w:r w:rsidR="003B6A89">
          <w:rPr>
            <w:bCs/>
            <w:webHidden/>
          </w:rPr>
          <w:t>23</w:t>
        </w:r>
        <w:r w:rsidR="002653E7">
          <w:rPr>
            <w:webHidden/>
          </w:rPr>
          <w:fldChar w:fldCharType="end"/>
        </w:r>
      </w:hyperlink>
    </w:p>
    <w:p w:rsidR="009E1AF5" w:rsidRDefault="00ED1FF6" w:rsidP="009E1AF5">
      <w:pPr>
        <w:pStyle w:val="TOC2"/>
        <w:rPr>
          <w:rFonts w:asciiTheme="minorHAnsi" w:eastAsiaTheme="minorEastAsia" w:hAnsiTheme="minorHAnsi" w:cstheme="minorBidi"/>
          <w:sz w:val="22"/>
          <w:szCs w:val="22"/>
        </w:rPr>
      </w:pPr>
      <w:hyperlink w:anchor="_Toc434594277" w:history="1">
        <w:r w:rsidR="009E1AF5" w:rsidRPr="009A202C">
          <w:rPr>
            <w:rStyle w:val="Hyperlink"/>
          </w:rPr>
          <w:t>10.1</w:t>
        </w:r>
        <w:r w:rsidR="009E1AF5">
          <w:rPr>
            <w:rFonts w:asciiTheme="minorHAnsi" w:eastAsiaTheme="minorEastAsia" w:hAnsiTheme="minorHAnsi" w:cstheme="minorBidi"/>
            <w:sz w:val="22"/>
            <w:szCs w:val="22"/>
          </w:rPr>
          <w:tab/>
        </w:r>
        <w:r w:rsidR="009E1AF5">
          <w:rPr>
            <w:rStyle w:val="Hyperlink"/>
          </w:rPr>
          <w:t>SBNA frequency of material Operational events&gt;$200k in potential loss</w:t>
        </w:r>
        <w:r w:rsidR="009E1AF5">
          <w:rPr>
            <w:webHidden/>
          </w:rPr>
          <w:tab/>
        </w:r>
        <w:r w:rsidR="009E1AF5">
          <w:rPr>
            <w:webHidden/>
          </w:rPr>
          <w:fldChar w:fldCharType="begin"/>
        </w:r>
        <w:r w:rsidR="009E1AF5">
          <w:rPr>
            <w:webHidden/>
          </w:rPr>
          <w:instrText xml:space="preserve"> PAGEREF _Toc434594277 \h </w:instrText>
        </w:r>
        <w:r w:rsidR="009E1AF5">
          <w:rPr>
            <w:webHidden/>
          </w:rPr>
        </w:r>
        <w:r w:rsidR="009E1AF5">
          <w:rPr>
            <w:webHidden/>
          </w:rPr>
          <w:fldChar w:fldCharType="separate"/>
        </w:r>
        <w:r w:rsidR="003B6A89">
          <w:rPr>
            <w:bCs/>
            <w:webHidden/>
          </w:rPr>
          <w:t>24</w:t>
        </w:r>
        <w:r w:rsidR="009E1AF5">
          <w:rPr>
            <w:webHidden/>
          </w:rPr>
          <w:fldChar w:fldCharType="end"/>
        </w:r>
      </w:hyperlink>
    </w:p>
    <w:p w:rsidR="009E1AF5" w:rsidRDefault="00ED1FF6" w:rsidP="009E1AF5">
      <w:pPr>
        <w:pStyle w:val="TOC2"/>
        <w:rPr>
          <w:rFonts w:asciiTheme="minorHAnsi" w:eastAsiaTheme="minorEastAsia" w:hAnsiTheme="minorHAnsi" w:cstheme="minorBidi"/>
          <w:sz w:val="22"/>
          <w:szCs w:val="22"/>
        </w:rPr>
      </w:pPr>
      <w:hyperlink w:anchor="_Toc434594277" w:history="1">
        <w:r w:rsidR="009E1AF5" w:rsidRPr="009A202C">
          <w:rPr>
            <w:rStyle w:val="Hyperlink"/>
          </w:rPr>
          <w:t>10.1</w:t>
        </w:r>
        <w:r w:rsidR="009E1AF5">
          <w:rPr>
            <w:rFonts w:asciiTheme="minorHAnsi" w:eastAsiaTheme="minorEastAsia" w:hAnsiTheme="minorHAnsi" w:cstheme="minorBidi"/>
            <w:sz w:val="22"/>
            <w:szCs w:val="22"/>
          </w:rPr>
          <w:tab/>
        </w:r>
        <w:r w:rsidR="009E1AF5">
          <w:rPr>
            <w:rStyle w:val="Hyperlink"/>
          </w:rPr>
          <w:t>SCUSA frequency of material Operational events&gt;$200k in potential loss</w:t>
        </w:r>
        <w:r w:rsidR="009E1AF5">
          <w:rPr>
            <w:webHidden/>
          </w:rPr>
          <w:tab/>
        </w:r>
        <w:r w:rsidR="009E1AF5">
          <w:rPr>
            <w:webHidden/>
          </w:rPr>
          <w:fldChar w:fldCharType="begin"/>
        </w:r>
        <w:r w:rsidR="009E1AF5">
          <w:rPr>
            <w:webHidden/>
          </w:rPr>
          <w:instrText xml:space="preserve"> PAGEREF _Toc434594277 \h </w:instrText>
        </w:r>
        <w:r w:rsidR="009E1AF5">
          <w:rPr>
            <w:webHidden/>
          </w:rPr>
        </w:r>
        <w:r w:rsidR="009E1AF5">
          <w:rPr>
            <w:webHidden/>
          </w:rPr>
          <w:fldChar w:fldCharType="separate"/>
        </w:r>
        <w:r w:rsidR="003B6A89">
          <w:rPr>
            <w:bCs/>
            <w:webHidden/>
          </w:rPr>
          <w:t>24</w:t>
        </w:r>
        <w:r w:rsidR="009E1AF5">
          <w:rPr>
            <w:webHidden/>
          </w:rPr>
          <w:fldChar w:fldCharType="end"/>
        </w:r>
      </w:hyperlink>
    </w:p>
    <w:p w:rsidR="002653E7" w:rsidRDefault="002653E7" w:rsidP="002653E7">
      <w:r>
        <w:lastRenderedPageBreak/>
        <w:fldChar w:fldCharType="end"/>
      </w:r>
    </w:p>
    <w:p w:rsidR="002653E7" w:rsidRPr="00984105" w:rsidRDefault="002653E7" w:rsidP="002653E7">
      <w:pPr>
        <w:pStyle w:val="SANUS1"/>
        <w:numPr>
          <w:ilvl w:val="0"/>
          <w:numId w:val="1"/>
        </w:numPr>
      </w:pPr>
      <w:bookmarkStart w:id="0" w:name="_Toc373835312"/>
      <w:bookmarkStart w:id="1" w:name="_Toc434594238"/>
      <w:r w:rsidRPr="00984105">
        <w:t>Introduction</w:t>
      </w:r>
      <w:bookmarkEnd w:id="0"/>
      <w:bookmarkEnd w:id="1"/>
    </w:p>
    <w:p w:rsidR="002653E7" w:rsidRDefault="002653E7" w:rsidP="002653E7">
      <w:pPr>
        <w:pStyle w:val="SANUS2"/>
        <w:numPr>
          <w:ilvl w:val="1"/>
          <w:numId w:val="1"/>
        </w:numPr>
      </w:pPr>
      <w:bookmarkStart w:id="2" w:name="_Toc434594239"/>
      <w:r>
        <w:t>Purpose of the document</w:t>
      </w:r>
      <w:bookmarkEnd w:id="2"/>
    </w:p>
    <w:p w:rsidR="002653E7" w:rsidRDefault="002653E7" w:rsidP="002653E7">
      <w:pPr>
        <w:pStyle w:val="Normal1"/>
        <w:jc w:val="both"/>
      </w:pPr>
      <w:r w:rsidRPr="00206D41">
        <w:t xml:space="preserve">The </w:t>
      </w:r>
      <w:r w:rsidR="00433511">
        <w:t xml:space="preserve">SHUSA </w:t>
      </w:r>
      <w:r>
        <w:t xml:space="preserve">Group </w:t>
      </w:r>
      <w:r w:rsidRPr="00206D41">
        <w:t>Risk Appetite Metrics Glossary (“</w:t>
      </w:r>
      <w:r>
        <w:t xml:space="preserve">Group </w:t>
      </w:r>
      <w:r w:rsidRPr="00206D41">
        <w:t>Glossary”) details the quantitative metrics that are included in the</w:t>
      </w:r>
      <w:r>
        <w:t xml:space="preserve"> Group</w:t>
      </w:r>
      <w:r w:rsidRPr="00206D41">
        <w:t xml:space="preserve"> Risk Appetite </w:t>
      </w:r>
      <w:r>
        <w:t xml:space="preserve">report for </w:t>
      </w:r>
      <w:proofErr w:type="spellStart"/>
      <w:r>
        <w:t>Grupo</w:t>
      </w:r>
      <w:proofErr w:type="spellEnd"/>
      <w:r>
        <w:t xml:space="preserve"> Santander, Inc. (“SHUSA”). </w:t>
      </w:r>
    </w:p>
    <w:p w:rsidR="002653E7" w:rsidRPr="00206D41" w:rsidRDefault="002653E7" w:rsidP="002653E7">
      <w:pPr>
        <w:pStyle w:val="SANUS2"/>
        <w:numPr>
          <w:ilvl w:val="1"/>
          <w:numId w:val="1"/>
        </w:numPr>
      </w:pPr>
      <w:bookmarkStart w:id="3" w:name="_Toc434594240"/>
      <w:bookmarkStart w:id="4" w:name="_Toc401564541"/>
      <w:r w:rsidRPr="00206D41">
        <w:t>Scope</w:t>
      </w:r>
      <w:bookmarkEnd w:id="3"/>
    </w:p>
    <w:p w:rsidR="002653E7" w:rsidRDefault="002653E7" w:rsidP="002653E7">
      <w:pPr>
        <w:jc w:val="both"/>
        <w:rPr>
          <w:rFonts w:eastAsia="Times New Roman"/>
          <w:color w:val="000000" w:themeColor="text1"/>
        </w:rPr>
      </w:pPr>
      <w:r w:rsidRPr="00206D41">
        <w:rPr>
          <w:rFonts w:eastAsia="Times New Roman"/>
          <w:color w:val="000000" w:themeColor="text1"/>
        </w:rPr>
        <w:t xml:space="preserve">The </w:t>
      </w:r>
      <w:r>
        <w:rPr>
          <w:rFonts w:eastAsia="Times New Roman"/>
          <w:color w:val="000000" w:themeColor="text1"/>
        </w:rPr>
        <w:t xml:space="preserve">Group </w:t>
      </w:r>
      <w:r w:rsidRPr="00206D41">
        <w:rPr>
          <w:rFonts w:eastAsia="Times New Roman"/>
          <w:color w:val="000000" w:themeColor="text1"/>
        </w:rPr>
        <w:t xml:space="preserve">Glossary applies to SHUSA. </w:t>
      </w:r>
    </w:p>
    <w:p w:rsidR="002653E7" w:rsidRPr="00206D41" w:rsidRDefault="002653E7" w:rsidP="002653E7">
      <w:pPr>
        <w:jc w:val="both"/>
        <w:rPr>
          <w:rFonts w:eastAsia="Times New Roman"/>
          <w:color w:val="000000" w:themeColor="text1"/>
        </w:rPr>
      </w:pPr>
      <w:r>
        <w:rPr>
          <w:rFonts w:eastAsia="Times New Roman"/>
          <w:color w:val="000000" w:themeColor="text1"/>
        </w:rPr>
        <w:t>In the event of discrepancies, the SHUSA document will prevail.</w:t>
      </w:r>
    </w:p>
    <w:p w:rsidR="002653E7" w:rsidRPr="00206D41" w:rsidRDefault="002653E7" w:rsidP="002653E7">
      <w:pPr>
        <w:pStyle w:val="SANUS2"/>
        <w:numPr>
          <w:ilvl w:val="1"/>
          <w:numId w:val="1"/>
        </w:numPr>
      </w:pPr>
      <w:bookmarkStart w:id="5" w:name="_Toc373835317"/>
      <w:bookmarkStart w:id="6" w:name="_Toc401564550"/>
      <w:bookmarkStart w:id="7" w:name="_Toc434594241"/>
      <w:bookmarkEnd w:id="4"/>
      <w:r w:rsidRPr="00206D41">
        <w:t>Document Ownership and Maintenance</w:t>
      </w:r>
      <w:bookmarkEnd w:id="5"/>
      <w:bookmarkEnd w:id="6"/>
      <w:bookmarkEnd w:id="7"/>
    </w:p>
    <w:p w:rsidR="002653E7" w:rsidRPr="00206D41" w:rsidRDefault="002653E7" w:rsidP="002653E7">
      <w:pPr>
        <w:pStyle w:val="Normal1"/>
        <w:jc w:val="both"/>
      </w:pPr>
      <w:r w:rsidRPr="00206D41">
        <w:t>As owner, the SHUSA Director of Risk Appetite is responsible for the development and maintenance of this Glossary and holds primary responsibility for ensuring it is implemented and embedded on a day to day basis.</w:t>
      </w:r>
    </w:p>
    <w:p w:rsidR="002653E7" w:rsidRPr="00206D41" w:rsidRDefault="002653E7" w:rsidP="002653E7">
      <w:pPr>
        <w:pStyle w:val="Normal1"/>
        <w:jc w:val="both"/>
      </w:pPr>
      <w:r w:rsidRPr="00206D41">
        <w:t xml:space="preserve">The Glossary must be reviewed at least annually as part of the review of the Risk Appetite Statement and updated as necessary in the event of changes to the Risk Appetite metrics or to their calculations. </w:t>
      </w:r>
    </w:p>
    <w:p w:rsidR="002653E7" w:rsidRDefault="002653E7" w:rsidP="002653E7"/>
    <w:p w:rsidR="003C1E8B" w:rsidRDefault="003C1E8B" w:rsidP="002653E7"/>
    <w:p w:rsidR="003C1E8B" w:rsidRDefault="003C1E8B" w:rsidP="002653E7"/>
    <w:p w:rsidR="003C1E8B" w:rsidRDefault="003C1E8B" w:rsidP="002653E7"/>
    <w:p w:rsidR="003C1E8B" w:rsidRDefault="003C1E8B" w:rsidP="002653E7"/>
    <w:p w:rsidR="003C1E8B" w:rsidRDefault="003C1E8B" w:rsidP="002653E7"/>
    <w:p w:rsidR="003C1E8B" w:rsidRDefault="003C1E8B" w:rsidP="002653E7"/>
    <w:p w:rsidR="003C1E8B" w:rsidRDefault="003C1E8B" w:rsidP="002653E7"/>
    <w:p w:rsidR="003C1E8B" w:rsidRDefault="003C1E8B" w:rsidP="002653E7"/>
    <w:p w:rsidR="003C1E8B" w:rsidRDefault="003C1E8B" w:rsidP="002653E7"/>
    <w:p w:rsidR="003C1E8B" w:rsidRDefault="003C1E8B" w:rsidP="002653E7"/>
    <w:p w:rsidR="003B6A89" w:rsidRDefault="003B6A89" w:rsidP="002653E7"/>
    <w:p w:rsidR="003B6A89" w:rsidRDefault="003B6A89" w:rsidP="002653E7"/>
    <w:p w:rsidR="00DD0365" w:rsidRDefault="00433511" w:rsidP="003C1E8B">
      <w:pPr>
        <w:pStyle w:val="SANUS1"/>
        <w:numPr>
          <w:ilvl w:val="0"/>
          <w:numId w:val="1"/>
        </w:numPr>
        <w:rPr>
          <w:lang w:val="it-IT"/>
        </w:rPr>
      </w:pPr>
      <w:bookmarkStart w:id="8" w:name="_Toc434594242"/>
      <w:r>
        <w:rPr>
          <w:lang w:val="it-IT"/>
        </w:rPr>
        <w:lastRenderedPageBreak/>
        <w:t xml:space="preserve">SHUSA </w:t>
      </w:r>
      <w:r w:rsidR="003C1E8B" w:rsidRPr="003C1E8B">
        <w:rPr>
          <w:lang w:val="it-IT"/>
        </w:rPr>
        <w:t>G</w:t>
      </w:r>
      <w:r w:rsidR="003C1E8B">
        <w:rPr>
          <w:lang w:val="it-IT"/>
        </w:rPr>
        <w:t>ROUP</w:t>
      </w:r>
      <w:r w:rsidR="003C1E8B" w:rsidRPr="003C1E8B">
        <w:rPr>
          <w:lang w:val="it-IT"/>
        </w:rPr>
        <w:t xml:space="preserve"> </w:t>
      </w:r>
      <w:r w:rsidR="003C1E8B">
        <w:rPr>
          <w:lang w:val="it-IT"/>
        </w:rPr>
        <w:t>Risk appetite</w:t>
      </w:r>
      <w:r w:rsidR="003C1E8B" w:rsidRPr="003C1E8B">
        <w:rPr>
          <w:lang w:val="it-IT"/>
        </w:rPr>
        <w:t xml:space="preserve"> metrics summary table </w:t>
      </w:r>
      <w:bookmarkEnd w:id="8"/>
    </w:p>
    <w:p w:rsidR="003C1E8B" w:rsidRPr="00DD0365" w:rsidRDefault="003C1E8B" w:rsidP="00DD0365">
      <w:pPr>
        <w:rPr>
          <w:lang w:val="it-IT" w:bidi="en-US"/>
        </w:rPr>
      </w:pPr>
    </w:p>
    <w:tbl>
      <w:tblPr>
        <w:tblStyle w:val="TableGrid"/>
        <w:tblpPr w:leftFromText="180" w:rightFromText="180" w:vertAnchor="page" w:horzAnchor="margin" w:tblpY="2663"/>
        <w:tblW w:w="9609" w:type="dxa"/>
        <w:tblLook w:val="04A0" w:firstRow="1" w:lastRow="0" w:firstColumn="1" w:lastColumn="0" w:noHBand="0" w:noVBand="1"/>
      </w:tblPr>
      <w:tblGrid>
        <w:gridCol w:w="3089"/>
        <w:gridCol w:w="6520"/>
      </w:tblGrid>
      <w:tr w:rsidR="003C1E8B" w:rsidRPr="005B0172" w:rsidTr="000C1543">
        <w:trPr>
          <w:trHeight w:val="301"/>
        </w:trPr>
        <w:tc>
          <w:tcPr>
            <w:tcW w:w="3089" w:type="dxa"/>
            <w:shd w:val="clear" w:color="auto" w:fill="FF0000"/>
          </w:tcPr>
          <w:p w:rsidR="003C1E8B" w:rsidRPr="005B0172" w:rsidRDefault="003C1E8B" w:rsidP="000C1543">
            <w:pPr>
              <w:rPr>
                <w:rFonts w:asciiTheme="minorHAnsi" w:hAnsiTheme="minorHAnsi"/>
                <w:sz w:val="24"/>
                <w:szCs w:val="24"/>
              </w:rPr>
            </w:pPr>
          </w:p>
        </w:tc>
        <w:tc>
          <w:tcPr>
            <w:tcW w:w="6520" w:type="dxa"/>
            <w:shd w:val="clear" w:color="auto" w:fill="FF0000"/>
          </w:tcPr>
          <w:p w:rsidR="003C1E8B" w:rsidRPr="005B0172" w:rsidRDefault="003C1E8B" w:rsidP="000C1543">
            <w:pPr>
              <w:jc w:val="center"/>
              <w:rPr>
                <w:rFonts w:asciiTheme="minorHAnsi" w:hAnsiTheme="minorHAnsi"/>
                <w:b/>
                <w:sz w:val="24"/>
                <w:szCs w:val="24"/>
              </w:rPr>
            </w:pPr>
            <w:r w:rsidRPr="005B0172">
              <w:rPr>
                <w:rFonts w:asciiTheme="minorHAnsi" w:hAnsiTheme="minorHAnsi"/>
                <w:b/>
                <w:color w:val="FFFFFF" w:themeColor="background1"/>
                <w:sz w:val="24"/>
                <w:szCs w:val="24"/>
              </w:rPr>
              <w:t>METRICS</w:t>
            </w:r>
          </w:p>
        </w:tc>
      </w:tr>
      <w:tr w:rsidR="003C1E8B" w:rsidRPr="005B0172" w:rsidTr="000C1543">
        <w:trPr>
          <w:trHeight w:val="301"/>
        </w:trPr>
        <w:tc>
          <w:tcPr>
            <w:tcW w:w="3089" w:type="dxa"/>
            <w:vMerge w:val="restart"/>
            <w:vAlign w:val="center"/>
          </w:tcPr>
          <w:p w:rsidR="003C1E8B" w:rsidRPr="00DD0365" w:rsidRDefault="003C1E8B" w:rsidP="000C1543">
            <w:pPr>
              <w:jc w:val="center"/>
              <w:rPr>
                <w:rFonts w:asciiTheme="minorHAnsi" w:hAnsiTheme="minorHAnsi"/>
                <w:b/>
                <w:bCs/>
                <w:color w:val="000000"/>
              </w:rPr>
            </w:pPr>
            <w:r w:rsidRPr="00DD0365">
              <w:rPr>
                <w:rFonts w:asciiTheme="minorHAnsi" w:hAnsiTheme="minorHAnsi"/>
                <w:b/>
                <w:bCs/>
                <w:color w:val="000000"/>
              </w:rPr>
              <w:t>Losses Volatility</w:t>
            </w: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Loss in stress/Profit before taxes</w:t>
            </w:r>
          </w:p>
        </w:tc>
      </w:tr>
      <w:tr w:rsidR="003C1E8B" w:rsidRPr="005B0172" w:rsidTr="000C1543">
        <w:trPr>
          <w:trHeight w:val="162"/>
        </w:trPr>
        <w:tc>
          <w:tcPr>
            <w:tcW w:w="3089" w:type="dxa"/>
            <w:vMerge/>
            <w:vAlign w:val="center"/>
          </w:tcPr>
          <w:p w:rsidR="003C1E8B" w:rsidRPr="00DD0365" w:rsidRDefault="003C1E8B" w:rsidP="000C1543">
            <w:pPr>
              <w:rPr>
                <w:rFonts w:asciiTheme="minorHAnsi" w:hAnsiTheme="minorHAnsi"/>
                <w:b/>
                <w:bCs/>
                <w:color w:val="000000"/>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 xml:space="preserve">Gross </w:t>
            </w:r>
            <w:proofErr w:type="spellStart"/>
            <w:r w:rsidRPr="00DD0365">
              <w:rPr>
                <w:rFonts w:asciiTheme="minorHAnsi" w:hAnsiTheme="minorHAnsi"/>
                <w:color w:val="000000"/>
              </w:rPr>
              <w:t>OpRisk</w:t>
            </w:r>
            <w:proofErr w:type="spellEnd"/>
            <w:r w:rsidRPr="00DD0365">
              <w:rPr>
                <w:rFonts w:asciiTheme="minorHAnsi" w:hAnsiTheme="minorHAnsi"/>
                <w:color w:val="000000"/>
              </w:rPr>
              <w:t xml:space="preserve"> Losses/Gross Margin</w:t>
            </w:r>
          </w:p>
        </w:tc>
      </w:tr>
      <w:tr w:rsidR="003C1E8B" w:rsidRPr="005B0172" w:rsidTr="000C1543">
        <w:trPr>
          <w:trHeight w:val="162"/>
        </w:trPr>
        <w:tc>
          <w:tcPr>
            <w:tcW w:w="3089" w:type="dxa"/>
            <w:vMerge/>
            <w:vAlign w:val="center"/>
          </w:tcPr>
          <w:p w:rsidR="003C1E8B" w:rsidRPr="00DD0365" w:rsidRDefault="003C1E8B" w:rsidP="000C1543">
            <w:pPr>
              <w:rPr>
                <w:rFonts w:asciiTheme="minorHAnsi" w:hAnsiTheme="minorHAnsi"/>
                <w:b/>
                <w:bCs/>
                <w:color w:val="000000"/>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Net operational losses/Gross margin</w:t>
            </w:r>
          </w:p>
        </w:tc>
      </w:tr>
      <w:tr w:rsidR="003C1E8B" w:rsidRPr="005B0172" w:rsidTr="000C1543">
        <w:trPr>
          <w:trHeight w:val="301"/>
        </w:trPr>
        <w:tc>
          <w:tcPr>
            <w:tcW w:w="3089" w:type="dxa"/>
            <w:vMerge w:val="restart"/>
            <w:vAlign w:val="center"/>
          </w:tcPr>
          <w:p w:rsidR="003C1E8B" w:rsidRPr="00DD0365" w:rsidRDefault="003C1E8B" w:rsidP="000C1543">
            <w:pPr>
              <w:jc w:val="center"/>
              <w:rPr>
                <w:rFonts w:asciiTheme="minorHAnsi" w:hAnsiTheme="minorHAnsi"/>
              </w:rPr>
            </w:pPr>
            <w:r w:rsidRPr="00DD0365">
              <w:rPr>
                <w:rFonts w:asciiTheme="minorHAnsi" w:hAnsiTheme="minorHAnsi"/>
                <w:b/>
                <w:bCs/>
                <w:color w:val="000000"/>
              </w:rPr>
              <w:t>Solvency</w:t>
            </w: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CET 1 under Base</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CET 1 under Stress</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CET 1 current</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Tier 1 leverage Stress</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Tier 1 leverage current</w:t>
            </w:r>
          </w:p>
        </w:tc>
      </w:tr>
      <w:tr w:rsidR="003C1E8B" w:rsidRPr="005B0172" w:rsidTr="000C1543">
        <w:trPr>
          <w:trHeight w:val="282"/>
        </w:trPr>
        <w:tc>
          <w:tcPr>
            <w:tcW w:w="3089" w:type="dxa"/>
            <w:vMerge w:val="restart"/>
            <w:vAlign w:val="center"/>
          </w:tcPr>
          <w:p w:rsidR="003C1E8B" w:rsidRPr="00DD0365" w:rsidRDefault="003C1E8B" w:rsidP="000C1543">
            <w:pPr>
              <w:jc w:val="center"/>
              <w:rPr>
                <w:rFonts w:asciiTheme="minorHAnsi" w:hAnsiTheme="minorHAnsi"/>
                <w:b/>
              </w:rPr>
            </w:pPr>
            <w:r w:rsidRPr="00DD0365">
              <w:rPr>
                <w:rFonts w:asciiTheme="minorHAnsi" w:hAnsiTheme="minorHAnsi"/>
                <w:b/>
              </w:rPr>
              <w:t>Liquidity</w:t>
            </w: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Trading Portfolio</w:t>
            </w:r>
          </w:p>
        </w:tc>
      </w:tr>
      <w:tr w:rsidR="003C1E8B" w:rsidRPr="005B0172" w:rsidTr="000C1543">
        <w:trPr>
          <w:trHeight w:val="282"/>
        </w:trPr>
        <w:tc>
          <w:tcPr>
            <w:tcW w:w="3089" w:type="dxa"/>
            <w:vMerge/>
            <w:vAlign w:val="center"/>
          </w:tcPr>
          <w:p w:rsidR="003C1E8B" w:rsidRPr="00DD0365" w:rsidRDefault="003C1E8B" w:rsidP="000C1543">
            <w:pPr>
              <w:jc w:val="center"/>
              <w:rPr>
                <w:rFonts w:asciiTheme="minorHAnsi" w:hAnsiTheme="minorHAnsi"/>
                <w:b/>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CVA</w:t>
            </w:r>
          </w:p>
        </w:tc>
      </w:tr>
      <w:tr w:rsidR="003C1E8B" w:rsidRPr="005B0172" w:rsidTr="000C1543">
        <w:trPr>
          <w:trHeight w:val="282"/>
        </w:trPr>
        <w:tc>
          <w:tcPr>
            <w:tcW w:w="3089" w:type="dxa"/>
            <w:vMerge/>
            <w:vAlign w:val="center"/>
          </w:tcPr>
          <w:p w:rsidR="003C1E8B" w:rsidRPr="00DD0365" w:rsidRDefault="003C1E8B" w:rsidP="000C1543">
            <w:pPr>
              <w:jc w:val="center"/>
              <w:rPr>
                <w:rFonts w:asciiTheme="minorHAnsi" w:hAnsiTheme="minorHAnsi"/>
                <w:b/>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Structural Funding Ratio</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SCUSA - Available committed liquidity/average projected net originations</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Stressed Survival Period: Local Systemic</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Stressed Survival Period: Idiosyncratic</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Stressed Survival Period: Systemic Global</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Survival Horizon under Stress</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Liquidity Coverage Ratio</w:t>
            </w:r>
          </w:p>
        </w:tc>
      </w:tr>
      <w:tr w:rsidR="003C1E8B" w:rsidRPr="005B0172" w:rsidTr="000C1543">
        <w:trPr>
          <w:trHeight w:val="301"/>
        </w:trPr>
        <w:tc>
          <w:tcPr>
            <w:tcW w:w="3089" w:type="dxa"/>
            <w:vMerge w:val="restart"/>
            <w:vAlign w:val="center"/>
          </w:tcPr>
          <w:p w:rsidR="003C1E8B" w:rsidRPr="00DD0365" w:rsidRDefault="003C1E8B" w:rsidP="000C1543">
            <w:pPr>
              <w:tabs>
                <w:tab w:val="left" w:pos="2060"/>
              </w:tabs>
              <w:jc w:val="center"/>
              <w:rPr>
                <w:rFonts w:asciiTheme="minorHAnsi" w:hAnsiTheme="minorHAnsi"/>
                <w:b/>
              </w:rPr>
            </w:pPr>
            <w:r w:rsidRPr="00DD0365">
              <w:rPr>
                <w:rFonts w:asciiTheme="minorHAnsi" w:hAnsiTheme="minorHAnsi"/>
                <w:b/>
              </w:rPr>
              <w:t>Concentration</w:t>
            </w: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GBM concentration</w:t>
            </w:r>
          </w:p>
        </w:tc>
      </w:tr>
      <w:tr w:rsidR="003C1E8B" w:rsidRPr="005B0172" w:rsidTr="000C1543">
        <w:trPr>
          <w:trHeight w:val="301"/>
        </w:trPr>
        <w:tc>
          <w:tcPr>
            <w:tcW w:w="3089" w:type="dxa"/>
            <w:vMerge/>
            <w:vAlign w:val="center"/>
          </w:tcPr>
          <w:p w:rsidR="003C1E8B" w:rsidRPr="00DD0365" w:rsidRDefault="003C1E8B" w:rsidP="000C1543">
            <w:pPr>
              <w:tabs>
                <w:tab w:val="left" w:pos="2060"/>
              </w:tabs>
              <w:jc w:val="center"/>
              <w:rPr>
                <w:rFonts w:asciiTheme="minorHAnsi" w:hAnsiTheme="minorHAnsi"/>
                <w:b/>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Single Name</w:t>
            </w:r>
          </w:p>
        </w:tc>
      </w:tr>
      <w:tr w:rsidR="003C1E8B" w:rsidRPr="005B0172" w:rsidTr="000C1543">
        <w:trPr>
          <w:trHeight w:val="301"/>
        </w:trPr>
        <w:tc>
          <w:tcPr>
            <w:tcW w:w="3089" w:type="dxa"/>
            <w:vMerge/>
            <w:vAlign w:val="center"/>
          </w:tcPr>
          <w:p w:rsidR="003C1E8B" w:rsidRPr="00DD0365" w:rsidRDefault="003C1E8B" w:rsidP="000C1543">
            <w:pPr>
              <w:tabs>
                <w:tab w:val="left" w:pos="2060"/>
              </w:tabs>
              <w:jc w:val="center"/>
              <w:rPr>
                <w:rFonts w:asciiTheme="minorHAnsi" w:hAnsiTheme="minorHAnsi"/>
                <w:b/>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Top 5</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Top 20</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Maximum Individual exposure with clients with rating &lt; 5.0</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Max. industry concentration over: Total Portfolio</w:t>
            </w:r>
            <w:r w:rsidRPr="00DD0365">
              <w:rPr>
                <w:rFonts w:asciiTheme="minorHAnsi" w:hAnsiTheme="minorHAnsi"/>
                <w:color w:val="000000"/>
              </w:rPr>
              <w:br/>
              <w:t>(exc. CRE &amp; Multifamily)</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Max. industry concentration over: Total Portfolio excl. retail</w:t>
            </w:r>
            <w:r w:rsidRPr="00DD0365">
              <w:rPr>
                <w:rFonts w:asciiTheme="minorHAnsi" w:hAnsiTheme="minorHAnsi"/>
                <w:color w:val="000000"/>
              </w:rPr>
              <w:br/>
              <w:t>(exc. CRE &amp; Multifamily)</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F92D0F" w:rsidP="000C1543">
            <w:pPr>
              <w:rPr>
                <w:rFonts w:asciiTheme="minorHAnsi" w:hAnsiTheme="minorHAnsi"/>
                <w:color w:val="000000"/>
              </w:rPr>
            </w:pPr>
            <w:r w:rsidRPr="00DD0365">
              <w:rPr>
                <w:rFonts w:asciiTheme="minorHAnsi" w:hAnsiTheme="minorHAnsi"/>
                <w:color w:val="000000"/>
              </w:rPr>
              <w:t>CRE ($10.5 B</w:t>
            </w:r>
            <w:r w:rsidR="003C1E8B" w:rsidRPr="00DD0365">
              <w:rPr>
                <w:rFonts w:asciiTheme="minorHAnsi" w:hAnsiTheme="minorHAnsi"/>
                <w:color w:val="000000"/>
              </w:rPr>
              <w:t>)</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F92D0F">
            <w:pPr>
              <w:rPr>
                <w:rFonts w:asciiTheme="minorHAnsi" w:hAnsiTheme="minorHAnsi"/>
                <w:color w:val="000000"/>
              </w:rPr>
            </w:pPr>
            <w:r w:rsidRPr="00DD0365">
              <w:rPr>
                <w:rFonts w:asciiTheme="minorHAnsi" w:hAnsiTheme="minorHAnsi"/>
                <w:color w:val="000000"/>
              </w:rPr>
              <w:t>Multifamily ($10.5 B)</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SCUSA sub-prime assets over SHUSA Net Credit Exposure</w:t>
            </w:r>
          </w:p>
        </w:tc>
      </w:tr>
      <w:tr w:rsidR="003C1E8B" w:rsidRPr="005B0172" w:rsidTr="000C1543">
        <w:trPr>
          <w:trHeight w:val="162"/>
        </w:trPr>
        <w:tc>
          <w:tcPr>
            <w:tcW w:w="3089" w:type="dxa"/>
            <w:vMerge/>
          </w:tcPr>
          <w:p w:rsidR="003C1E8B" w:rsidRPr="00DD0365" w:rsidRDefault="003C1E8B" w:rsidP="000C1543">
            <w:pPr>
              <w:rPr>
                <w:rFonts w:asciiTheme="minorHAnsi" w:hAnsiTheme="minorHAnsi"/>
              </w:rPr>
            </w:pPr>
          </w:p>
        </w:tc>
        <w:tc>
          <w:tcPr>
            <w:tcW w:w="6520" w:type="dxa"/>
            <w:vAlign w:val="bottom"/>
          </w:tcPr>
          <w:p w:rsidR="003C1E8B" w:rsidRPr="00DD0365" w:rsidRDefault="003C1E8B" w:rsidP="000C1543">
            <w:pPr>
              <w:rPr>
                <w:rFonts w:asciiTheme="minorHAnsi" w:hAnsiTheme="minorHAnsi"/>
                <w:color w:val="000000"/>
              </w:rPr>
            </w:pPr>
            <w:r w:rsidRPr="00DD0365">
              <w:rPr>
                <w:rFonts w:asciiTheme="minorHAnsi" w:hAnsiTheme="minorHAnsi"/>
                <w:color w:val="000000"/>
              </w:rPr>
              <w:t>SCUSA RWAs/CET1 - 11% of CET1</w:t>
            </w:r>
          </w:p>
        </w:tc>
      </w:tr>
      <w:tr w:rsidR="000C1543" w:rsidRPr="005B0172" w:rsidTr="000C1543">
        <w:trPr>
          <w:trHeight w:val="584"/>
        </w:trPr>
        <w:tc>
          <w:tcPr>
            <w:tcW w:w="3089" w:type="dxa"/>
            <w:vMerge w:val="restart"/>
            <w:vAlign w:val="center"/>
          </w:tcPr>
          <w:p w:rsidR="000C1543" w:rsidRPr="00DD0365" w:rsidRDefault="000C1543" w:rsidP="000C1543">
            <w:pPr>
              <w:jc w:val="center"/>
              <w:rPr>
                <w:rFonts w:asciiTheme="minorHAnsi" w:hAnsiTheme="minorHAnsi"/>
                <w:b/>
              </w:rPr>
            </w:pPr>
            <w:r w:rsidRPr="00DD0365">
              <w:rPr>
                <w:rFonts w:asciiTheme="minorHAnsi" w:hAnsiTheme="minorHAnsi"/>
                <w:b/>
              </w:rPr>
              <w:t>Qualitative Elements</w:t>
            </w:r>
          </w:p>
        </w:tc>
        <w:tc>
          <w:tcPr>
            <w:tcW w:w="6520" w:type="dxa"/>
            <w:vAlign w:val="bottom"/>
          </w:tcPr>
          <w:p w:rsidR="000C1543" w:rsidRPr="00DD0365" w:rsidRDefault="000C1543" w:rsidP="000C1543">
            <w:pPr>
              <w:rPr>
                <w:rFonts w:asciiTheme="minorHAnsi" w:hAnsiTheme="minorHAnsi"/>
                <w:color w:val="000000"/>
              </w:rPr>
            </w:pPr>
            <w:r w:rsidRPr="00DD0365">
              <w:rPr>
                <w:rFonts w:asciiTheme="minorHAnsi" w:hAnsiTheme="minorHAnsi"/>
                <w:color w:val="000000"/>
              </w:rPr>
              <w:t>SHUSA - Frequency of material Operational events &gt;$200k in potential losses</w:t>
            </w:r>
          </w:p>
        </w:tc>
      </w:tr>
      <w:tr w:rsidR="000C1543" w:rsidRPr="005B0172" w:rsidTr="000C1543">
        <w:trPr>
          <w:trHeight w:val="603"/>
        </w:trPr>
        <w:tc>
          <w:tcPr>
            <w:tcW w:w="3089" w:type="dxa"/>
            <w:vMerge/>
          </w:tcPr>
          <w:p w:rsidR="000C1543" w:rsidRPr="00DD0365" w:rsidRDefault="000C1543" w:rsidP="000C1543">
            <w:pPr>
              <w:rPr>
                <w:rFonts w:asciiTheme="minorHAnsi" w:hAnsiTheme="minorHAnsi"/>
              </w:rPr>
            </w:pPr>
          </w:p>
        </w:tc>
        <w:tc>
          <w:tcPr>
            <w:tcW w:w="6520" w:type="dxa"/>
            <w:vAlign w:val="bottom"/>
          </w:tcPr>
          <w:p w:rsidR="000C1543" w:rsidRPr="00DD0365" w:rsidRDefault="000C1543" w:rsidP="000C1543">
            <w:pPr>
              <w:rPr>
                <w:rFonts w:asciiTheme="minorHAnsi" w:hAnsiTheme="minorHAnsi"/>
                <w:color w:val="000000"/>
              </w:rPr>
            </w:pPr>
            <w:r w:rsidRPr="00DD0365">
              <w:rPr>
                <w:rFonts w:asciiTheme="minorHAnsi" w:hAnsiTheme="minorHAnsi"/>
                <w:color w:val="000000"/>
              </w:rPr>
              <w:t>SBNA - Frequency of material Operational events &gt;$200k in potential losses</w:t>
            </w:r>
          </w:p>
        </w:tc>
      </w:tr>
      <w:tr w:rsidR="000C1543" w:rsidRPr="005B0172" w:rsidTr="000C1543">
        <w:trPr>
          <w:trHeight w:val="603"/>
        </w:trPr>
        <w:tc>
          <w:tcPr>
            <w:tcW w:w="3089" w:type="dxa"/>
            <w:vMerge/>
          </w:tcPr>
          <w:p w:rsidR="000C1543" w:rsidRPr="00DD0365" w:rsidRDefault="000C1543" w:rsidP="000C1543">
            <w:pPr>
              <w:rPr>
                <w:rFonts w:asciiTheme="minorHAnsi" w:hAnsiTheme="minorHAnsi"/>
              </w:rPr>
            </w:pPr>
          </w:p>
        </w:tc>
        <w:tc>
          <w:tcPr>
            <w:tcW w:w="6520" w:type="dxa"/>
            <w:vAlign w:val="bottom"/>
          </w:tcPr>
          <w:p w:rsidR="000C1543" w:rsidRPr="00DD0365" w:rsidRDefault="000C1543" w:rsidP="000C1543">
            <w:pPr>
              <w:rPr>
                <w:rFonts w:asciiTheme="minorHAnsi" w:hAnsiTheme="minorHAnsi"/>
                <w:color w:val="000000"/>
              </w:rPr>
            </w:pPr>
            <w:r w:rsidRPr="00DD0365">
              <w:rPr>
                <w:rFonts w:asciiTheme="minorHAnsi" w:hAnsiTheme="minorHAnsi"/>
                <w:color w:val="000000"/>
              </w:rPr>
              <w:t>SCUSA - Frequency of material Operational events &gt;$200k in potential losses</w:t>
            </w:r>
          </w:p>
        </w:tc>
      </w:tr>
    </w:tbl>
    <w:p w:rsidR="00DD0365" w:rsidRDefault="00DD0365" w:rsidP="00DD0365">
      <w:pPr>
        <w:pStyle w:val="SANUS1"/>
      </w:pPr>
      <w:bookmarkStart w:id="9" w:name="_Toc434594243"/>
    </w:p>
    <w:p w:rsidR="003C1E8B" w:rsidRDefault="003C1E8B" w:rsidP="00156855">
      <w:pPr>
        <w:pStyle w:val="SANUS1"/>
        <w:numPr>
          <w:ilvl w:val="0"/>
          <w:numId w:val="1"/>
        </w:numPr>
      </w:pPr>
      <w:r>
        <w:lastRenderedPageBreak/>
        <w:t>Loss Volatility</w:t>
      </w:r>
      <w:bookmarkEnd w:id="9"/>
    </w:p>
    <w:p w:rsidR="003C1E8B" w:rsidRPr="00CF6760" w:rsidRDefault="00C71F96" w:rsidP="00C71F96">
      <w:pPr>
        <w:pStyle w:val="ListParagraph"/>
        <w:numPr>
          <w:ilvl w:val="1"/>
          <w:numId w:val="1"/>
        </w:numPr>
        <w:rPr>
          <w:b/>
          <w:sz w:val="24"/>
        </w:rPr>
      </w:pPr>
      <w:r w:rsidRPr="00CF6760">
        <w:rPr>
          <w:b/>
          <w:sz w:val="24"/>
        </w:rPr>
        <w:t>Loss in Stress</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F92D0F" w:rsidRPr="00206D41" w:rsidTr="00F92D0F">
        <w:trPr>
          <w:trHeight w:val="261"/>
        </w:trPr>
        <w:tc>
          <w:tcPr>
            <w:tcW w:w="1728" w:type="dxa"/>
            <w:shd w:val="clear" w:color="auto" w:fill="auto"/>
          </w:tcPr>
          <w:p w:rsidR="00F92D0F" w:rsidRPr="00206D41" w:rsidRDefault="00F92D0F" w:rsidP="00F92D0F">
            <w:pPr>
              <w:rPr>
                <w:b/>
                <w:bCs/>
                <w:iCs/>
              </w:rPr>
            </w:pPr>
            <w:r>
              <w:rPr>
                <w:b/>
                <w:bCs/>
                <w:iCs/>
              </w:rPr>
              <w:t>DEFINITION</w:t>
            </w:r>
          </w:p>
        </w:tc>
        <w:tc>
          <w:tcPr>
            <w:tcW w:w="7470" w:type="dxa"/>
            <w:gridSpan w:val="3"/>
            <w:shd w:val="clear" w:color="auto" w:fill="auto"/>
          </w:tcPr>
          <w:p w:rsidR="00F92D0F" w:rsidRPr="00206D41" w:rsidRDefault="00F92D0F" w:rsidP="00F92D0F">
            <w:pPr>
              <w:spacing w:after="0" w:line="240" w:lineRule="auto"/>
              <w:rPr>
                <w:bCs/>
                <w:iCs/>
              </w:rPr>
            </w:pPr>
            <w:r w:rsidRPr="00206D41">
              <w:t>The impact to Profit before Tax (“PBT”) that SHUSA is wil</w:t>
            </w:r>
            <w:r>
              <w:t>ling and able to assume – e</w:t>
            </w:r>
            <w:r w:rsidRPr="00206D41">
              <w:t>xpressed as the percentage of the annual PBT that would be at risk</w:t>
            </w:r>
            <w:r>
              <w:t>,</w:t>
            </w:r>
            <w:r w:rsidRPr="00206D41">
              <w:t xml:space="preserve"> based on an adverse stressed scenario affecting the relevant risks.</w:t>
            </w:r>
          </w:p>
        </w:tc>
      </w:tr>
      <w:tr w:rsidR="000A71D3" w:rsidRPr="00206D41" w:rsidTr="00F92D0F">
        <w:trPr>
          <w:trHeight w:val="279"/>
        </w:trPr>
        <w:tc>
          <w:tcPr>
            <w:tcW w:w="1728" w:type="dxa"/>
            <w:shd w:val="clear" w:color="auto" w:fill="auto"/>
          </w:tcPr>
          <w:p w:rsidR="000A71D3" w:rsidRDefault="000A71D3" w:rsidP="00F92D0F">
            <w:pPr>
              <w:rPr>
                <w:b/>
                <w:bCs/>
                <w:iCs/>
              </w:rPr>
            </w:pPr>
            <w:r>
              <w:rPr>
                <w:b/>
                <w:bCs/>
                <w:iCs/>
              </w:rPr>
              <w:t>DIFFERENT FROM SHUSA</w:t>
            </w:r>
          </w:p>
        </w:tc>
        <w:tc>
          <w:tcPr>
            <w:tcW w:w="7470" w:type="dxa"/>
            <w:gridSpan w:val="3"/>
            <w:shd w:val="clear" w:color="auto" w:fill="auto"/>
          </w:tcPr>
          <w:p w:rsidR="000A71D3" w:rsidRDefault="000A71D3" w:rsidP="00F92D0F">
            <w:pPr>
              <w:spacing w:after="0" w:line="240" w:lineRule="auto"/>
              <w:rPr>
                <w:bCs/>
                <w:iCs/>
              </w:rPr>
            </w:pPr>
            <w:r>
              <w:rPr>
                <w:bCs/>
                <w:iCs/>
              </w:rPr>
              <w:t>SAME</w:t>
            </w:r>
          </w:p>
        </w:tc>
      </w:tr>
      <w:tr w:rsidR="00F92D0F" w:rsidRPr="00206D41" w:rsidTr="00F92D0F">
        <w:trPr>
          <w:trHeight w:val="279"/>
        </w:trPr>
        <w:tc>
          <w:tcPr>
            <w:tcW w:w="1728" w:type="dxa"/>
            <w:shd w:val="clear" w:color="auto" w:fill="auto"/>
          </w:tcPr>
          <w:p w:rsidR="00F92D0F" w:rsidRPr="00206D41" w:rsidRDefault="00F92D0F" w:rsidP="00F92D0F">
            <w:pPr>
              <w:rPr>
                <w:b/>
                <w:bCs/>
                <w:iCs/>
              </w:rPr>
            </w:pPr>
            <w:r>
              <w:rPr>
                <w:b/>
                <w:bCs/>
                <w:iCs/>
              </w:rPr>
              <w:t>RISK TYPE</w:t>
            </w:r>
          </w:p>
        </w:tc>
        <w:tc>
          <w:tcPr>
            <w:tcW w:w="7470" w:type="dxa"/>
            <w:gridSpan w:val="3"/>
            <w:shd w:val="clear" w:color="auto" w:fill="auto"/>
          </w:tcPr>
          <w:p w:rsidR="00F92D0F" w:rsidRPr="00206D41" w:rsidRDefault="00F92D0F" w:rsidP="00F92D0F">
            <w:pPr>
              <w:spacing w:after="0" w:line="240" w:lineRule="auto"/>
              <w:rPr>
                <w:bCs/>
                <w:iCs/>
              </w:rPr>
            </w:pPr>
            <w:r>
              <w:rPr>
                <w:bCs/>
                <w:iCs/>
              </w:rPr>
              <w:t>Strategic Risk</w:t>
            </w:r>
          </w:p>
        </w:tc>
      </w:tr>
      <w:tr w:rsidR="00F92D0F" w:rsidRPr="00206D41" w:rsidTr="00F92D0F">
        <w:trPr>
          <w:trHeight w:val="255"/>
        </w:trPr>
        <w:tc>
          <w:tcPr>
            <w:tcW w:w="1728" w:type="dxa"/>
            <w:vMerge w:val="restart"/>
            <w:shd w:val="clear" w:color="auto" w:fill="auto"/>
          </w:tcPr>
          <w:p w:rsidR="00F92D0F" w:rsidRPr="001F0F3D" w:rsidRDefault="00F92D0F" w:rsidP="00F92D0F">
            <w:pPr>
              <w:rPr>
                <w:b/>
                <w:bCs/>
                <w:iCs/>
              </w:rPr>
            </w:pPr>
            <w:r w:rsidRPr="001F0F3D">
              <w:rPr>
                <w:b/>
                <w:bCs/>
                <w:iCs/>
              </w:rPr>
              <w:t>ENTITY</w:t>
            </w:r>
          </w:p>
        </w:tc>
        <w:tc>
          <w:tcPr>
            <w:tcW w:w="2490" w:type="dxa"/>
            <w:shd w:val="clear" w:color="auto" w:fill="auto"/>
          </w:tcPr>
          <w:p w:rsidR="00F92D0F" w:rsidRPr="001F0F3D" w:rsidRDefault="00F92D0F" w:rsidP="00F92D0F">
            <w:pPr>
              <w:spacing w:after="0" w:line="240" w:lineRule="auto"/>
              <w:rPr>
                <w:b/>
                <w:bCs/>
                <w:iCs/>
              </w:rPr>
            </w:pPr>
            <w:r w:rsidRPr="001F0F3D">
              <w:rPr>
                <w:b/>
                <w:bCs/>
                <w:iCs/>
              </w:rPr>
              <w:t>SHUSA</w:t>
            </w:r>
          </w:p>
        </w:tc>
        <w:tc>
          <w:tcPr>
            <w:tcW w:w="2490" w:type="dxa"/>
            <w:shd w:val="clear" w:color="auto" w:fill="auto"/>
          </w:tcPr>
          <w:p w:rsidR="00F92D0F" w:rsidRPr="001F0F3D" w:rsidRDefault="00F92D0F" w:rsidP="00F92D0F">
            <w:pPr>
              <w:spacing w:after="0" w:line="240" w:lineRule="auto"/>
              <w:rPr>
                <w:b/>
                <w:bCs/>
                <w:iCs/>
              </w:rPr>
            </w:pPr>
            <w:r w:rsidRPr="001F0F3D">
              <w:rPr>
                <w:b/>
                <w:bCs/>
                <w:iCs/>
              </w:rPr>
              <w:t>SBNA</w:t>
            </w:r>
          </w:p>
        </w:tc>
        <w:tc>
          <w:tcPr>
            <w:tcW w:w="2490" w:type="dxa"/>
            <w:shd w:val="clear" w:color="auto" w:fill="auto"/>
          </w:tcPr>
          <w:p w:rsidR="00F92D0F" w:rsidRPr="001F0F3D" w:rsidRDefault="00F92D0F" w:rsidP="00F92D0F">
            <w:pPr>
              <w:spacing w:after="0" w:line="240" w:lineRule="auto"/>
              <w:rPr>
                <w:b/>
                <w:bCs/>
                <w:iCs/>
              </w:rPr>
            </w:pPr>
            <w:r>
              <w:rPr>
                <w:b/>
                <w:bCs/>
                <w:iCs/>
              </w:rPr>
              <w:t>SC</w:t>
            </w:r>
          </w:p>
        </w:tc>
      </w:tr>
      <w:tr w:rsidR="00F92D0F" w:rsidRPr="00206D41" w:rsidTr="00F92D0F">
        <w:trPr>
          <w:trHeight w:val="255"/>
        </w:trPr>
        <w:tc>
          <w:tcPr>
            <w:tcW w:w="1728" w:type="dxa"/>
            <w:vMerge/>
            <w:shd w:val="clear" w:color="auto" w:fill="auto"/>
          </w:tcPr>
          <w:p w:rsidR="00F92D0F" w:rsidRPr="001F0F3D"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No</w:t>
            </w:r>
          </w:p>
        </w:tc>
        <w:tc>
          <w:tcPr>
            <w:tcW w:w="2490" w:type="dxa"/>
            <w:shd w:val="clear" w:color="auto" w:fill="auto"/>
          </w:tcPr>
          <w:p w:rsidR="00F92D0F" w:rsidRPr="00206D41" w:rsidRDefault="00F92D0F" w:rsidP="00F92D0F">
            <w:pPr>
              <w:spacing w:after="0" w:line="240" w:lineRule="auto"/>
              <w:rPr>
                <w:bCs/>
                <w:iCs/>
              </w:rPr>
            </w:pPr>
            <w:r>
              <w:rPr>
                <w:bCs/>
                <w:iCs/>
              </w:rPr>
              <w:t>No</w:t>
            </w:r>
          </w:p>
        </w:tc>
      </w:tr>
      <w:tr w:rsidR="00F92D0F" w:rsidRPr="00206D41" w:rsidTr="00F92D0F">
        <w:trPr>
          <w:trHeight w:val="270"/>
        </w:trPr>
        <w:tc>
          <w:tcPr>
            <w:tcW w:w="1728" w:type="dxa"/>
            <w:vMerge w:val="restart"/>
            <w:shd w:val="clear" w:color="auto" w:fill="auto"/>
          </w:tcPr>
          <w:p w:rsidR="00F92D0F" w:rsidRPr="001F0F3D" w:rsidRDefault="00F92D0F" w:rsidP="00F92D0F">
            <w:pPr>
              <w:rPr>
                <w:b/>
              </w:rPr>
            </w:pPr>
            <w:r>
              <w:rPr>
                <w:b/>
              </w:rPr>
              <w:t>METRIC OWNER</w:t>
            </w:r>
          </w:p>
        </w:tc>
        <w:tc>
          <w:tcPr>
            <w:tcW w:w="2490" w:type="dxa"/>
            <w:shd w:val="clear" w:color="auto" w:fill="auto"/>
          </w:tcPr>
          <w:p w:rsidR="00F92D0F" w:rsidRPr="001F0F3D" w:rsidRDefault="00F92D0F" w:rsidP="00F92D0F">
            <w:pPr>
              <w:spacing w:after="0" w:line="240" w:lineRule="auto"/>
              <w:rPr>
                <w:b/>
                <w:bCs/>
                <w:iCs/>
              </w:rPr>
            </w:pPr>
            <w:r w:rsidRPr="001F0F3D">
              <w:rPr>
                <w:b/>
                <w:bCs/>
                <w:iCs/>
              </w:rPr>
              <w:t>SHUSA</w:t>
            </w:r>
          </w:p>
        </w:tc>
        <w:tc>
          <w:tcPr>
            <w:tcW w:w="2490" w:type="dxa"/>
            <w:shd w:val="clear" w:color="auto" w:fill="auto"/>
          </w:tcPr>
          <w:p w:rsidR="00F92D0F" w:rsidRPr="001F0F3D" w:rsidRDefault="00F92D0F" w:rsidP="00F92D0F">
            <w:pPr>
              <w:spacing w:after="0" w:line="240" w:lineRule="auto"/>
              <w:rPr>
                <w:b/>
                <w:bCs/>
                <w:iCs/>
              </w:rPr>
            </w:pPr>
            <w:r w:rsidRPr="001F0F3D">
              <w:rPr>
                <w:b/>
                <w:bCs/>
                <w:iCs/>
              </w:rPr>
              <w:t>SBNA</w:t>
            </w:r>
          </w:p>
        </w:tc>
        <w:tc>
          <w:tcPr>
            <w:tcW w:w="2490" w:type="dxa"/>
            <w:shd w:val="clear" w:color="auto" w:fill="auto"/>
          </w:tcPr>
          <w:p w:rsidR="00F92D0F" w:rsidRPr="001F0F3D" w:rsidRDefault="00F92D0F" w:rsidP="00F92D0F">
            <w:pPr>
              <w:spacing w:after="0" w:line="240" w:lineRule="auto"/>
              <w:rPr>
                <w:b/>
                <w:bCs/>
                <w:iCs/>
              </w:rPr>
            </w:pPr>
            <w:r w:rsidRPr="001F0F3D">
              <w:rPr>
                <w:b/>
                <w:bCs/>
                <w:iCs/>
              </w:rPr>
              <w:t>SC</w:t>
            </w:r>
          </w:p>
        </w:tc>
      </w:tr>
      <w:tr w:rsidR="00F92D0F" w:rsidRPr="00206D41" w:rsidTr="00F92D0F">
        <w:trPr>
          <w:trHeight w:val="252"/>
        </w:trPr>
        <w:tc>
          <w:tcPr>
            <w:tcW w:w="1728" w:type="dxa"/>
            <w:vMerge/>
            <w:shd w:val="clear" w:color="auto" w:fill="auto"/>
          </w:tcPr>
          <w:p w:rsidR="00F92D0F" w:rsidRPr="00206D41"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RAS Function</w:t>
            </w:r>
          </w:p>
        </w:tc>
        <w:tc>
          <w:tcPr>
            <w:tcW w:w="2490" w:type="dxa"/>
            <w:shd w:val="clear" w:color="auto" w:fill="auto"/>
          </w:tcPr>
          <w:p w:rsidR="00F92D0F" w:rsidRPr="00206D41" w:rsidRDefault="00F92D0F" w:rsidP="00F92D0F">
            <w:pPr>
              <w:spacing w:after="0" w:line="240" w:lineRule="auto"/>
              <w:rPr>
                <w:bCs/>
                <w:iCs/>
              </w:rPr>
            </w:pPr>
            <w:r>
              <w:rPr>
                <w:bCs/>
                <w:iCs/>
              </w:rPr>
              <w:t>N/A</w:t>
            </w:r>
          </w:p>
        </w:tc>
        <w:tc>
          <w:tcPr>
            <w:tcW w:w="2490" w:type="dxa"/>
            <w:shd w:val="clear" w:color="auto" w:fill="auto"/>
          </w:tcPr>
          <w:p w:rsidR="00F92D0F" w:rsidRPr="00206D41" w:rsidRDefault="00F92D0F" w:rsidP="00F92D0F">
            <w:pPr>
              <w:spacing w:after="0" w:line="240" w:lineRule="auto"/>
              <w:rPr>
                <w:bCs/>
                <w:iCs/>
              </w:rPr>
            </w:pPr>
            <w:r>
              <w:rPr>
                <w:bCs/>
                <w:iCs/>
              </w:rPr>
              <w:t>N/A</w:t>
            </w:r>
          </w:p>
        </w:tc>
      </w:tr>
      <w:tr w:rsidR="00F92D0F" w:rsidRPr="00206D41" w:rsidTr="00F92D0F">
        <w:trPr>
          <w:trHeight w:val="360"/>
        </w:trPr>
        <w:tc>
          <w:tcPr>
            <w:tcW w:w="1728" w:type="dxa"/>
            <w:shd w:val="clear" w:color="auto" w:fill="auto"/>
          </w:tcPr>
          <w:p w:rsidR="00F92D0F" w:rsidRPr="00206D41" w:rsidRDefault="00F92D0F" w:rsidP="00F92D0F">
            <w:pPr>
              <w:ind w:left="-60"/>
              <w:rPr>
                <w:b/>
                <w:bCs/>
                <w:iCs/>
              </w:rPr>
            </w:pPr>
            <w:r>
              <w:rPr>
                <w:b/>
                <w:bCs/>
                <w:iCs/>
              </w:rPr>
              <w:t>TRIGGER AND LIMIT SETTING</w:t>
            </w:r>
          </w:p>
        </w:tc>
        <w:tc>
          <w:tcPr>
            <w:tcW w:w="7470" w:type="dxa"/>
            <w:gridSpan w:val="3"/>
            <w:shd w:val="clear" w:color="auto" w:fill="auto"/>
          </w:tcPr>
          <w:p w:rsidR="00F92D0F" w:rsidRDefault="00F92D0F" w:rsidP="00F92D0F">
            <w:r w:rsidRPr="00206D41">
              <w:t xml:space="preserve">The metric is calculated </w:t>
            </w:r>
            <w:r>
              <w:t>once</w:t>
            </w:r>
            <w:r w:rsidRPr="00206D41">
              <w:t xml:space="preserve"> a year, to coincide with CCAR full year</w:t>
            </w:r>
            <w:r>
              <w:t>. It is presented as the annualized results of the full CCAR cycle, based on the FRB Adverse scenario:</w:t>
            </w:r>
          </w:p>
          <w:p w:rsidR="00F92D0F" w:rsidRPr="00E2205B" w:rsidRDefault="00ED1FF6" w:rsidP="00F92D0F">
            <w:pPr>
              <w:jc w:val="center"/>
              <w:rPr>
                <w:sz w:val="24"/>
                <w:szCs w:val="24"/>
              </w:rPr>
            </w:pPr>
            <m:oMath>
              <m:f>
                <m:fPr>
                  <m:ctrlPr>
                    <w:rPr>
                      <w:rFonts w:ascii="Cambria Math" w:hAnsi="Cambria Math"/>
                      <w:i/>
                      <w:sz w:val="24"/>
                      <w:szCs w:val="24"/>
                    </w:rPr>
                  </m:ctrlPr>
                </m:fPr>
                <m:num>
                  <m:r>
                    <w:rPr>
                      <w:rFonts w:ascii="Cambria Math" w:hAnsi="Cambria Math"/>
                      <w:sz w:val="24"/>
                      <w:szCs w:val="24"/>
                    </w:rPr>
                    <m:t xml:space="preserve">Annualized stressed losses under the CCAR FRB Adverse scenario </m:t>
                  </m:r>
                </m:num>
                <m:den>
                  <m:r>
                    <w:rPr>
                      <w:rFonts w:ascii="Cambria Math" w:hAnsi="Cambria Math"/>
                      <w:sz w:val="24"/>
                      <w:szCs w:val="24"/>
                    </w:rPr>
                    <m:t xml:space="preserve">Annualized Profit before Tax </m:t>
                  </m:r>
                  <m:d>
                    <m:dPr>
                      <m:ctrlPr>
                        <w:rPr>
                          <w:rFonts w:ascii="Cambria Math" w:hAnsi="Cambria Math"/>
                          <w:i/>
                          <w:sz w:val="24"/>
                          <w:szCs w:val="24"/>
                        </w:rPr>
                      </m:ctrlPr>
                    </m:dPr>
                    <m:e>
                      <m:r>
                        <w:rPr>
                          <w:rFonts w:ascii="Cambria Math" w:hAnsi="Cambria Math"/>
                          <w:sz w:val="24"/>
                          <w:szCs w:val="24"/>
                        </w:rPr>
                        <m:t>PBT</m:t>
                      </m:r>
                    </m:e>
                  </m:d>
                </m:den>
              </m:f>
            </m:oMath>
            <w:r w:rsidR="00F92D0F" w:rsidRPr="00E2205B">
              <w:rPr>
                <w:sz w:val="24"/>
                <w:szCs w:val="24"/>
              </w:rPr>
              <w:t xml:space="preserve"> </w:t>
            </w:r>
          </w:p>
          <w:p w:rsidR="00F92D0F" w:rsidRDefault="00F92D0F" w:rsidP="00F92D0F">
            <w:pPr>
              <w:pStyle w:val="ListParagraph"/>
              <w:numPr>
                <w:ilvl w:val="0"/>
                <w:numId w:val="13"/>
              </w:numPr>
            </w:pPr>
            <w:r>
              <w:t>The amber trigger is set at 100% which is the standard for the Santander Group based on their risk appetite</w:t>
            </w:r>
          </w:p>
          <w:p w:rsidR="00F92D0F" w:rsidRDefault="00F92D0F" w:rsidP="00F92D0F">
            <w:pPr>
              <w:pStyle w:val="ListParagraph"/>
              <w:numPr>
                <w:ilvl w:val="0"/>
                <w:numId w:val="13"/>
              </w:numPr>
            </w:pPr>
            <w:r>
              <w:t>The red trigger is set based on the outturn of the metric calculation and the current state of the strategic plans.</w:t>
            </w:r>
          </w:p>
          <w:p w:rsidR="00F92D0F" w:rsidRPr="0026766E" w:rsidRDefault="00F92D0F" w:rsidP="00F92D0F">
            <w:r>
              <w:t>The trigger and limit are reviewed by the Board at the annual setting of the RAS.</w:t>
            </w:r>
          </w:p>
        </w:tc>
      </w:tr>
      <w:tr w:rsidR="00F92D0F" w:rsidRPr="00206D41" w:rsidTr="00F92D0F">
        <w:trPr>
          <w:trHeight w:val="306"/>
        </w:trPr>
        <w:tc>
          <w:tcPr>
            <w:tcW w:w="1728" w:type="dxa"/>
            <w:shd w:val="clear" w:color="auto" w:fill="auto"/>
          </w:tcPr>
          <w:p w:rsidR="00F92D0F" w:rsidRPr="00206D41" w:rsidRDefault="00F92D0F" w:rsidP="00F92D0F">
            <w:pPr>
              <w:ind w:left="-60"/>
              <w:rPr>
                <w:b/>
                <w:bCs/>
                <w:iCs/>
              </w:rPr>
            </w:pPr>
            <w:r>
              <w:rPr>
                <w:b/>
                <w:bCs/>
                <w:iCs/>
              </w:rPr>
              <w:t xml:space="preserve">TESTING </w:t>
            </w:r>
            <w:r w:rsidRPr="00206D41">
              <w:rPr>
                <w:b/>
                <w:bCs/>
                <w:iCs/>
              </w:rPr>
              <w:t>FREQUENCY</w:t>
            </w:r>
          </w:p>
        </w:tc>
        <w:tc>
          <w:tcPr>
            <w:tcW w:w="7470" w:type="dxa"/>
            <w:gridSpan w:val="3"/>
            <w:shd w:val="clear" w:color="auto" w:fill="auto"/>
          </w:tcPr>
          <w:p w:rsidR="00F92D0F" w:rsidRDefault="00F92D0F" w:rsidP="00F92D0F">
            <w:pPr>
              <w:spacing w:after="0" w:line="240" w:lineRule="auto"/>
            </w:pPr>
            <w:r>
              <w:t xml:space="preserve">Annual </w:t>
            </w:r>
          </w:p>
          <w:p w:rsidR="00F92D0F" w:rsidRPr="00CF6760" w:rsidRDefault="00F92D0F" w:rsidP="00F92D0F">
            <w:pPr>
              <w:spacing w:after="0" w:line="240" w:lineRule="auto"/>
              <w:rPr>
                <w:color w:val="FF0000"/>
              </w:rPr>
            </w:pPr>
            <w:r>
              <w:t>T</w:t>
            </w:r>
            <w:r w:rsidRPr="00ED54CF">
              <w:t xml:space="preserve">he metric </w:t>
            </w:r>
            <w:r>
              <w:t xml:space="preserve">calculation is described in detail in Appendix 1. </w:t>
            </w:r>
            <w:r w:rsidR="00CF6760">
              <w:rPr>
                <w:color w:val="FF0000"/>
              </w:rPr>
              <w:t>(ADD THE APPENDIX?)</w:t>
            </w:r>
          </w:p>
          <w:p w:rsidR="00F92D0F" w:rsidRPr="00206D41" w:rsidRDefault="00F92D0F" w:rsidP="00F92D0F"/>
        </w:tc>
      </w:tr>
      <w:tr w:rsidR="00F92D0F" w:rsidRPr="00206D41" w:rsidTr="00F92D0F">
        <w:trPr>
          <w:trHeight w:val="525"/>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470" w:type="dxa"/>
            <w:gridSpan w:val="3"/>
            <w:shd w:val="clear" w:color="auto" w:fill="auto"/>
          </w:tcPr>
          <w:p w:rsidR="00F92D0F" w:rsidRPr="00206D41" w:rsidRDefault="00F92D0F" w:rsidP="00F92D0F">
            <w:pPr>
              <w:spacing w:after="0" w:line="240" w:lineRule="auto"/>
              <w:rPr>
                <w:bCs/>
                <w:iCs/>
              </w:rPr>
            </w:pPr>
            <w:r>
              <w:rPr>
                <w:bCs/>
                <w:iCs/>
              </w:rPr>
              <w:t>Set out in the appendix</w:t>
            </w:r>
          </w:p>
        </w:tc>
      </w:tr>
    </w:tbl>
    <w:p w:rsidR="00C71F96" w:rsidRDefault="00C71F96" w:rsidP="00C71F96"/>
    <w:p w:rsidR="003C1E8B" w:rsidRPr="00CF6760" w:rsidRDefault="00C71F96" w:rsidP="00C71F96">
      <w:pPr>
        <w:pStyle w:val="ListParagraph"/>
        <w:numPr>
          <w:ilvl w:val="1"/>
          <w:numId w:val="1"/>
        </w:numPr>
        <w:rPr>
          <w:b/>
          <w:sz w:val="24"/>
        </w:rPr>
      </w:pPr>
      <w:r w:rsidRPr="00CF6760">
        <w:rPr>
          <w:b/>
          <w:sz w:val="24"/>
        </w:rPr>
        <w:t>Gross operational risk losses /gross losses</w:t>
      </w:r>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304"/>
        <w:gridCol w:w="2772"/>
        <w:gridCol w:w="2772"/>
      </w:tblGrid>
      <w:tr w:rsidR="00F92D0F" w:rsidRPr="00206D41" w:rsidTr="00F92D0F">
        <w:trPr>
          <w:trHeight w:val="619"/>
        </w:trPr>
        <w:tc>
          <w:tcPr>
            <w:tcW w:w="1728" w:type="dxa"/>
            <w:shd w:val="clear" w:color="auto" w:fill="auto"/>
          </w:tcPr>
          <w:p w:rsidR="00F92D0F" w:rsidRPr="00206D41" w:rsidRDefault="00F92D0F" w:rsidP="00F92D0F">
            <w:pPr>
              <w:rPr>
                <w:b/>
                <w:bCs/>
                <w:iCs/>
              </w:rPr>
            </w:pPr>
            <w:r>
              <w:rPr>
                <w:b/>
                <w:bCs/>
                <w:iCs/>
              </w:rPr>
              <w:t>DEFINITION</w:t>
            </w:r>
          </w:p>
        </w:tc>
        <w:tc>
          <w:tcPr>
            <w:tcW w:w="7848" w:type="dxa"/>
            <w:gridSpan w:val="3"/>
            <w:shd w:val="clear" w:color="auto" w:fill="auto"/>
          </w:tcPr>
          <w:p w:rsidR="00F92D0F" w:rsidRPr="00206D41" w:rsidRDefault="00F92D0F" w:rsidP="00F92D0F">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Gross</w:t>
            </w:r>
            <w:r w:rsidRPr="00206D41">
              <w:rPr>
                <w:rFonts w:asciiTheme="minorHAnsi" w:eastAsiaTheme="minorHAnsi" w:hAnsiTheme="minorHAnsi" w:cstheme="minorBidi"/>
                <w:iCs/>
              </w:rPr>
              <w:t xml:space="preserve"> </w:t>
            </w:r>
            <w:r>
              <w:rPr>
                <w:rFonts w:asciiTheme="minorHAnsi" w:eastAsiaTheme="minorHAnsi" w:hAnsiTheme="minorHAnsi" w:cstheme="minorBidi"/>
                <w:iCs/>
              </w:rPr>
              <w:t>operational risk l</w:t>
            </w:r>
            <w:r w:rsidRPr="00206D41">
              <w:rPr>
                <w:rFonts w:asciiTheme="minorHAnsi" w:eastAsiaTheme="minorHAnsi" w:hAnsiTheme="minorHAnsi" w:cstheme="minorBidi"/>
                <w:iCs/>
              </w:rPr>
              <w:t>osses</w:t>
            </w:r>
            <w:r>
              <w:rPr>
                <w:rFonts w:asciiTheme="minorHAnsi" w:eastAsiaTheme="minorHAnsi" w:hAnsiTheme="minorHAnsi" w:cstheme="minorBidi"/>
                <w:iCs/>
              </w:rPr>
              <w:t xml:space="preserve">  as a percentage of gross margin within the same period</w:t>
            </w:r>
          </w:p>
        </w:tc>
      </w:tr>
      <w:tr w:rsidR="000A71D3" w:rsidRPr="00206D41" w:rsidTr="00F92D0F">
        <w:trPr>
          <w:trHeight w:val="523"/>
        </w:trPr>
        <w:tc>
          <w:tcPr>
            <w:tcW w:w="1728" w:type="dxa"/>
            <w:shd w:val="clear" w:color="auto" w:fill="auto"/>
          </w:tcPr>
          <w:p w:rsidR="000A71D3" w:rsidRDefault="000A71D3" w:rsidP="000A71D3">
            <w:pPr>
              <w:rPr>
                <w:b/>
                <w:bCs/>
                <w:iCs/>
              </w:rPr>
            </w:pPr>
            <w:r>
              <w:rPr>
                <w:b/>
                <w:bCs/>
                <w:iCs/>
              </w:rPr>
              <w:t>DIFFERENT FROM SHUSA</w:t>
            </w:r>
          </w:p>
        </w:tc>
        <w:tc>
          <w:tcPr>
            <w:tcW w:w="7848" w:type="dxa"/>
            <w:gridSpan w:val="3"/>
            <w:shd w:val="clear" w:color="auto" w:fill="auto"/>
          </w:tcPr>
          <w:p w:rsidR="000A71D3" w:rsidRDefault="000A71D3" w:rsidP="000A71D3">
            <w:pPr>
              <w:spacing w:after="0" w:line="240" w:lineRule="auto"/>
              <w:rPr>
                <w:bCs/>
                <w:iCs/>
              </w:rPr>
            </w:pPr>
            <w:r>
              <w:rPr>
                <w:bCs/>
                <w:iCs/>
              </w:rPr>
              <w:t>SAME</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 xml:space="preserve">ENTITY </w:t>
            </w:r>
          </w:p>
        </w:tc>
        <w:tc>
          <w:tcPr>
            <w:tcW w:w="2304" w:type="dxa"/>
            <w:shd w:val="clear" w:color="auto" w:fill="auto"/>
          </w:tcPr>
          <w:p w:rsidR="00F92D0F" w:rsidRPr="00B10D1A" w:rsidRDefault="00F92D0F" w:rsidP="00F92D0F">
            <w:pPr>
              <w:spacing w:after="0" w:line="240" w:lineRule="auto"/>
              <w:rPr>
                <w:b/>
                <w:bCs/>
                <w:iCs/>
              </w:rPr>
            </w:pPr>
            <w:r w:rsidRPr="00B10D1A">
              <w:rPr>
                <w:b/>
                <w:bCs/>
                <w:iCs/>
              </w:rPr>
              <w:t>SHUSA</w:t>
            </w:r>
          </w:p>
        </w:tc>
        <w:tc>
          <w:tcPr>
            <w:tcW w:w="2772" w:type="dxa"/>
            <w:shd w:val="clear" w:color="auto" w:fill="auto"/>
          </w:tcPr>
          <w:p w:rsidR="00F92D0F" w:rsidRPr="00B10D1A" w:rsidRDefault="00F92D0F" w:rsidP="00F92D0F">
            <w:pPr>
              <w:spacing w:after="0" w:line="240" w:lineRule="auto"/>
              <w:rPr>
                <w:b/>
                <w:bCs/>
                <w:iCs/>
              </w:rPr>
            </w:pPr>
            <w:r w:rsidRPr="00B10D1A">
              <w:rPr>
                <w:b/>
                <w:bCs/>
                <w:iCs/>
              </w:rPr>
              <w:t>SBNA</w:t>
            </w:r>
          </w:p>
        </w:tc>
        <w:tc>
          <w:tcPr>
            <w:tcW w:w="2772" w:type="dxa"/>
            <w:shd w:val="clear" w:color="auto" w:fill="auto"/>
          </w:tcPr>
          <w:p w:rsidR="00F92D0F" w:rsidRPr="00B10D1A" w:rsidRDefault="00F92D0F" w:rsidP="00F92D0F">
            <w:pPr>
              <w:spacing w:after="0" w:line="240" w:lineRule="auto"/>
              <w:rPr>
                <w:b/>
                <w:bCs/>
                <w:iCs/>
              </w:rPr>
            </w:pPr>
            <w:r w:rsidRPr="00B10D1A">
              <w:rPr>
                <w:b/>
                <w:bCs/>
                <w:iCs/>
              </w:rPr>
              <w:t>SC</w:t>
            </w:r>
          </w:p>
        </w:tc>
      </w:tr>
      <w:tr w:rsidR="00F92D0F" w:rsidRPr="00206D41" w:rsidTr="00F92D0F">
        <w:trPr>
          <w:trHeight w:val="270"/>
        </w:trPr>
        <w:tc>
          <w:tcPr>
            <w:tcW w:w="1728" w:type="dxa"/>
            <w:vMerge/>
            <w:shd w:val="clear" w:color="auto" w:fill="auto"/>
          </w:tcPr>
          <w:p w:rsidR="00F92D0F" w:rsidRDefault="00F92D0F" w:rsidP="00F92D0F">
            <w:pPr>
              <w:rPr>
                <w:b/>
                <w:bCs/>
                <w:iCs/>
              </w:rPr>
            </w:pPr>
          </w:p>
        </w:tc>
        <w:tc>
          <w:tcPr>
            <w:tcW w:w="2304" w:type="dxa"/>
            <w:shd w:val="clear" w:color="auto" w:fill="auto"/>
          </w:tcPr>
          <w:p w:rsidR="00F92D0F" w:rsidRPr="00206D41" w:rsidRDefault="00F92D0F" w:rsidP="00F92D0F">
            <w:pPr>
              <w:spacing w:after="0" w:line="240" w:lineRule="auto"/>
              <w:rPr>
                <w:bCs/>
                <w:iCs/>
              </w:rPr>
            </w:pPr>
            <w:r>
              <w:rPr>
                <w:bCs/>
                <w:iCs/>
              </w:rPr>
              <w:t>Yes</w:t>
            </w:r>
          </w:p>
        </w:tc>
        <w:tc>
          <w:tcPr>
            <w:tcW w:w="2772" w:type="dxa"/>
            <w:shd w:val="clear" w:color="auto" w:fill="auto"/>
          </w:tcPr>
          <w:p w:rsidR="00F92D0F" w:rsidRPr="00206D41" w:rsidRDefault="00F92D0F" w:rsidP="00F92D0F">
            <w:pPr>
              <w:spacing w:after="0" w:line="240" w:lineRule="auto"/>
              <w:rPr>
                <w:bCs/>
                <w:iCs/>
              </w:rPr>
            </w:pPr>
            <w:r>
              <w:rPr>
                <w:bCs/>
                <w:iCs/>
              </w:rPr>
              <w:t>Yes</w:t>
            </w:r>
          </w:p>
        </w:tc>
        <w:tc>
          <w:tcPr>
            <w:tcW w:w="2772" w:type="dxa"/>
            <w:shd w:val="clear" w:color="auto" w:fill="auto"/>
          </w:tcPr>
          <w:p w:rsidR="00F92D0F" w:rsidRPr="00206D41" w:rsidRDefault="00F92D0F" w:rsidP="00F92D0F">
            <w:pPr>
              <w:spacing w:after="0" w:line="240" w:lineRule="auto"/>
              <w:rPr>
                <w:bCs/>
                <w:iCs/>
              </w:rPr>
            </w:pPr>
            <w:r>
              <w:rPr>
                <w:bCs/>
                <w:iCs/>
              </w:rPr>
              <w:t>Yes</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METRIC OWNER</w:t>
            </w:r>
          </w:p>
        </w:tc>
        <w:tc>
          <w:tcPr>
            <w:tcW w:w="2304" w:type="dxa"/>
            <w:shd w:val="clear" w:color="auto" w:fill="auto"/>
          </w:tcPr>
          <w:p w:rsidR="00F92D0F" w:rsidRPr="00B10D1A" w:rsidRDefault="00F92D0F" w:rsidP="00F92D0F">
            <w:pPr>
              <w:spacing w:after="0" w:line="240" w:lineRule="auto"/>
              <w:rPr>
                <w:b/>
                <w:bCs/>
                <w:iCs/>
              </w:rPr>
            </w:pPr>
            <w:r w:rsidRPr="00B10D1A">
              <w:rPr>
                <w:b/>
                <w:bCs/>
                <w:iCs/>
              </w:rPr>
              <w:t>SHUSA</w:t>
            </w:r>
          </w:p>
        </w:tc>
        <w:tc>
          <w:tcPr>
            <w:tcW w:w="2772" w:type="dxa"/>
            <w:shd w:val="clear" w:color="auto" w:fill="auto"/>
          </w:tcPr>
          <w:p w:rsidR="00F92D0F" w:rsidRPr="00B10D1A" w:rsidRDefault="00F92D0F" w:rsidP="00F92D0F">
            <w:pPr>
              <w:spacing w:after="0" w:line="240" w:lineRule="auto"/>
              <w:rPr>
                <w:b/>
                <w:bCs/>
                <w:iCs/>
              </w:rPr>
            </w:pPr>
            <w:r w:rsidRPr="00B10D1A">
              <w:rPr>
                <w:b/>
                <w:bCs/>
                <w:iCs/>
              </w:rPr>
              <w:t>SBNA</w:t>
            </w:r>
          </w:p>
        </w:tc>
        <w:tc>
          <w:tcPr>
            <w:tcW w:w="2772" w:type="dxa"/>
            <w:shd w:val="clear" w:color="auto" w:fill="auto"/>
          </w:tcPr>
          <w:p w:rsidR="00F92D0F" w:rsidRPr="00B10D1A" w:rsidRDefault="00F92D0F" w:rsidP="00F92D0F">
            <w:pPr>
              <w:spacing w:after="0" w:line="240" w:lineRule="auto"/>
              <w:rPr>
                <w:b/>
                <w:bCs/>
                <w:iCs/>
              </w:rPr>
            </w:pPr>
            <w:r w:rsidRPr="00B10D1A">
              <w:rPr>
                <w:b/>
                <w:bCs/>
                <w:iCs/>
              </w:rPr>
              <w:t>SC</w:t>
            </w:r>
          </w:p>
        </w:tc>
      </w:tr>
      <w:tr w:rsidR="00F92D0F" w:rsidRPr="00206D41" w:rsidTr="00F92D0F">
        <w:trPr>
          <w:trHeight w:val="252"/>
        </w:trPr>
        <w:tc>
          <w:tcPr>
            <w:tcW w:w="1728" w:type="dxa"/>
            <w:vMerge/>
            <w:shd w:val="clear" w:color="auto" w:fill="auto"/>
          </w:tcPr>
          <w:p w:rsidR="00F92D0F" w:rsidRPr="00206D41" w:rsidRDefault="00F92D0F" w:rsidP="00F92D0F">
            <w:pPr>
              <w:rPr>
                <w:b/>
                <w:bCs/>
                <w:iCs/>
              </w:rPr>
            </w:pPr>
          </w:p>
        </w:tc>
        <w:tc>
          <w:tcPr>
            <w:tcW w:w="2304" w:type="dxa"/>
            <w:shd w:val="clear" w:color="auto" w:fill="auto"/>
          </w:tcPr>
          <w:p w:rsidR="00F92D0F" w:rsidRPr="00206D41" w:rsidRDefault="00F92D0F" w:rsidP="00F92D0F">
            <w:pPr>
              <w:spacing w:after="0" w:line="240" w:lineRule="auto"/>
              <w:rPr>
                <w:bCs/>
                <w:iCs/>
              </w:rPr>
            </w:pPr>
            <w:r>
              <w:rPr>
                <w:bCs/>
                <w:iCs/>
              </w:rPr>
              <w:t>SHUSA Director of Operational Risk</w:t>
            </w:r>
          </w:p>
        </w:tc>
        <w:tc>
          <w:tcPr>
            <w:tcW w:w="2772" w:type="dxa"/>
            <w:shd w:val="clear" w:color="auto" w:fill="auto"/>
          </w:tcPr>
          <w:p w:rsidR="00F92D0F" w:rsidRPr="00206D41" w:rsidRDefault="00F92D0F" w:rsidP="00F92D0F">
            <w:pPr>
              <w:spacing w:after="0" w:line="240" w:lineRule="auto"/>
              <w:rPr>
                <w:bCs/>
                <w:iCs/>
              </w:rPr>
            </w:pPr>
            <w:r>
              <w:rPr>
                <w:bCs/>
                <w:iCs/>
              </w:rPr>
              <w:t>SBNA Director of Operational Risk</w:t>
            </w:r>
          </w:p>
        </w:tc>
        <w:tc>
          <w:tcPr>
            <w:tcW w:w="2772" w:type="dxa"/>
            <w:shd w:val="clear" w:color="auto" w:fill="auto"/>
          </w:tcPr>
          <w:p w:rsidR="00F92D0F" w:rsidRPr="00206D41" w:rsidRDefault="00F92D0F" w:rsidP="00F92D0F">
            <w:pPr>
              <w:spacing w:after="0" w:line="240" w:lineRule="auto"/>
              <w:rPr>
                <w:bCs/>
                <w:iCs/>
              </w:rPr>
            </w:pPr>
            <w:r>
              <w:rPr>
                <w:bCs/>
                <w:iCs/>
              </w:rPr>
              <w:t>SC Director of Operational Risk</w:t>
            </w:r>
          </w:p>
        </w:tc>
      </w:tr>
      <w:tr w:rsidR="00F92D0F" w:rsidRPr="00206D41" w:rsidTr="00F92D0F">
        <w:trPr>
          <w:cantSplit/>
          <w:trHeight w:val="360"/>
        </w:trPr>
        <w:tc>
          <w:tcPr>
            <w:tcW w:w="1728" w:type="dxa"/>
            <w:shd w:val="clear" w:color="auto" w:fill="auto"/>
          </w:tcPr>
          <w:p w:rsidR="00F92D0F" w:rsidRPr="00206D41" w:rsidRDefault="00F92D0F" w:rsidP="00F92D0F">
            <w:pPr>
              <w:ind w:left="-60"/>
              <w:rPr>
                <w:b/>
                <w:bCs/>
                <w:iCs/>
              </w:rPr>
            </w:pPr>
            <w:r w:rsidRPr="00F52DE6">
              <w:rPr>
                <w:b/>
                <w:bCs/>
                <w:iCs/>
              </w:rPr>
              <w:t>TRIGGER AND LIMIT SETTING</w:t>
            </w:r>
          </w:p>
        </w:tc>
        <w:tc>
          <w:tcPr>
            <w:tcW w:w="7848" w:type="dxa"/>
            <w:gridSpan w:val="3"/>
            <w:shd w:val="clear" w:color="auto" w:fill="auto"/>
          </w:tcPr>
          <w:p w:rsidR="00F92D0F" w:rsidRDefault="00F92D0F" w:rsidP="00F92D0F">
            <w:pPr>
              <w:spacing w:after="0" w:line="240" w:lineRule="auto"/>
              <w:rPr>
                <w:bCs/>
                <w:iCs/>
              </w:rPr>
            </w:pPr>
            <w:r>
              <w:rPr>
                <w:bCs/>
                <w:iCs/>
              </w:rPr>
              <w:t>The following calibration methodology is applied to the individual entity CCAR output on an annual basis to arrive at the amber trigger and red limits:</w:t>
            </w:r>
          </w:p>
          <w:p w:rsidR="00F92D0F" w:rsidRDefault="00F92D0F" w:rsidP="00F92D0F">
            <w:pPr>
              <w:pStyle w:val="ListParagraph"/>
              <w:numPr>
                <w:ilvl w:val="0"/>
                <w:numId w:val="14"/>
              </w:numPr>
              <w:spacing w:after="0" w:line="240" w:lineRule="auto"/>
              <w:rPr>
                <w:bCs/>
                <w:iCs/>
              </w:rPr>
            </w:pPr>
            <w:r>
              <w:rPr>
                <w:bCs/>
                <w:iCs/>
              </w:rPr>
              <w:t xml:space="preserve">Amber trigger: </w:t>
            </w:r>
          </w:p>
          <w:p w:rsidR="00F92D0F" w:rsidRDefault="00F92D0F" w:rsidP="00F92D0F">
            <w:pPr>
              <w:pStyle w:val="ListParagraph"/>
              <w:numPr>
                <w:ilvl w:val="1"/>
                <w:numId w:val="14"/>
              </w:numPr>
              <w:spacing w:after="0" w:line="240" w:lineRule="auto"/>
              <w:rPr>
                <w:bCs/>
                <w:iCs/>
              </w:rPr>
            </w:pPr>
            <w:r>
              <w:rPr>
                <w:bCs/>
                <w:iCs/>
              </w:rPr>
              <w:t>9Q accumulated BHC Baseline losses from CCAR are annualized and converted into a quarterly loss amount;</w:t>
            </w:r>
          </w:p>
          <w:p w:rsidR="00F92D0F" w:rsidRDefault="00F92D0F" w:rsidP="00F92D0F">
            <w:pPr>
              <w:pStyle w:val="ListParagraph"/>
              <w:numPr>
                <w:ilvl w:val="1"/>
                <w:numId w:val="14"/>
              </w:numPr>
              <w:spacing w:after="0" w:line="240" w:lineRule="auto"/>
              <w:rPr>
                <w:bCs/>
                <w:iCs/>
              </w:rPr>
            </w:pPr>
            <w:r>
              <w:rPr>
                <w:bCs/>
                <w:iCs/>
              </w:rPr>
              <w:t>Quarterly gross loss is divided by the quarterly gross margin for BHC Baseline</w:t>
            </w:r>
          </w:p>
          <w:p w:rsidR="00F92D0F" w:rsidRDefault="00F92D0F" w:rsidP="00F92D0F">
            <w:pPr>
              <w:pStyle w:val="ListParagraph"/>
              <w:numPr>
                <w:ilvl w:val="0"/>
                <w:numId w:val="14"/>
              </w:numPr>
              <w:spacing w:after="0" w:line="240" w:lineRule="auto"/>
              <w:rPr>
                <w:bCs/>
                <w:iCs/>
              </w:rPr>
            </w:pPr>
            <w:r>
              <w:rPr>
                <w:bCs/>
                <w:iCs/>
              </w:rPr>
              <w:t>Red limit:</w:t>
            </w:r>
          </w:p>
          <w:p w:rsidR="00F92D0F" w:rsidRPr="00F52DE6" w:rsidRDefault="00F92D0F" w:rsidP="00F92D0F">
            <w:pPr>
              <w:pStyle w:val="ListParagraph"/>
              <w:numPr>
                <w:ilvl w:val="1"/>
                <w:numId w:val="14"/>
              </w:numPr>
              <w:spacing w:after="0" w:line="240" w:lineRule="auto"/>
              <w:rPr>
                <w:bCs/>
                <w:iCs/>
              </w:rPr>
            </w:pPr>
            <w:r w:rsidRPr="00F52DE6">
              <w:rPr>
                <w:bCs/>
                <w:iCs/>
              </w:rPr>
              <w:t xml:space="preserve">9Q accumulated BHC </w:t>
            </w:r>
            <w:r>
              <w:rPr>
                <w:bCs/>
                <w:iCs/>
              </w:rPr>
              <w:t>stress</w:t>
            </w:r>
            <w:r w:rsidRPr="00F52DE6">
              <w:rPr>
                <w:bCs/>
                <w:iCs/>
              </w:rPr>
              <w:t xml:space="preserve"> losses from CCAR are annualized and converted into a quarterly loss amount;</w:t>
            </w:r>
          </w:p>
          <w:p w:rsidR="00F92D0F" w:rsidRPr="00F52DE6" w:rsidRDefault="00F92D0F" w:rsidP="00F92D0F">
            <w:pPr>
              <w:pStyle w:val="ListParagraph"/>
              <w:numPr>
                <w:ilvl w:val="1"/>
                <w:numId w:val="14"/>
              </w:numPr>
              <w:spacing w:after="0" w:line="240" w:lineRule="auto"/>
              <w:rPr>
                <w:bCs/>
                <w:iCs/>
              </w:rPr>
            </w:pPr>
            <w:r w:rsidRPr="00F52DE6">
              <w:rPr>
                <w:bCs/>
                <w:iCs/>
              </w:rPr>
              <w:t xml:space="preserve">Quarterly gross loss is divided by the quarterly gross margin for BHC </w:t>
            </w:r>
            <w:r>
              <w:rPr>
                <w:bCs/>
                <w:iCs/>
              </w:rPr>
              <w:t>Stress</w:t>
            </w:r>
          </w:p>
          <w:p w:rsidR="00F92D0F" w:rsidRDefault="00F92D0F" w:rsidP="00F92D0F">
            <w:pPr>
              <w:spacing w:after="0" w:line="240" w:lineRule="auto"/>
              <w:rPr>
                <w:bCs/>
                <w:iCs/>
              </w:rPr>
            </w:pPr>
            <w:r>
              <w:rPr>
                <w:bCs/>
                <w:iCs/>
              </w:rPr>
              <w:t>The percentages obtained above for the trigger and the limit are reviewed and a management adjustment may be applied for RAS purposes.</w:t>
            </w:r>
          </w:p>
          <w:p w:rsidR="00F92D0F" w:rsidRDefault="00F92D0F" w:rsidP="00F92D0F">
            <w:pPr>
              <w:spacing w:after="0" w:line="240" w:lineRule="auto"/>
              <w:rPr>
                <w:bCs/>
                <w:iCs/>
              </w:rPr>
            </w:pPr>
          </w:p>
          <w:p w:rsidR="00F92D0F" w:rsidRDefault="00F92D0F" w:rsidP="00F92D0F">
            <w:pPr>
              <w:spacing w:after="0" w:line="240" w:lineRule="auto"/>
              <w:rPr>
                <w:bCs/>
                <w:iCs/>
              </w:rPr>
            </w:pPr>
            <w:r>
              <w:rPr>
                <w:bCs/>
                <w:iCs/>
              </w:rPr>
              <w:t>For SHUSA the calibration also takes into account the relative weight of the gross losses over gross margin of each entity at the consolidated level, thus providing an additional anchor for the final determination of individual and consolidated RAS triggers and limits.</w:t>
            </w:r>
          </w:p>
          <w:p w:rsidR="00F92D0F" w:rsidRPr="00F52DE6" w:rsidRDefault="00F92D0F" w:rsidP="00F92D0F">
            <w:pPr>
              <w:spacing w:after="0" w:line="240" w:lineRule="auto"/>
              <w:rPr>
                <w:bCs/>
                <w:iCs/>
              </w:rPr>
            </w:pPr>
          </w:p>
        </w:tc>
      </w:tr>
      <w:tr w:rsidR="00F92D0F" w:rsidRPr="00206D41" w:rsidTr="00F92D0F">
        <w:trPr>
          <w:cantSplit/>
          <w:trHeight w:val="360"/>
        </w:trPr>
        <w:tc>
          <w:tcPr>
            <w:tcW w:w="1728" w:type="dxa"/>
            <w:shd w:val="clear" w:color="auto" w:fill="auto"/>
          </w:tcPr>
          <w:p w:rsidR="00F92D0F" w:rsidRPr="00206D41" w:rsidRDefault="00F92D0F" w:rsidP="00F92D0F">
            <w:pPr>
              <w:ind w:left="-60"/>
              <w:rPr>
                <w:b/>
                <w:bCs/>
                <w:iCs/>
              </w:rPr>
            </w:pPr>
            <w:r>
              <w:rPr>
                <w:b/>
                <w:bCs/>
                <w:iCs/>
              </w:rPr>
              <w:t>TESTING FREQUENCY</w:t>
            </w:r>
          </w:p>
        </w:tc>
        <w:tc>
          <w:tcPr>
            <w:tcW w:w="7848" w:type="dxa"/>
            <w:gridSpan w:val="3"/>
            <w:shd w:val="clear" w:color="auto" w:fill="auto"/>
          </w:tcPr>
          <w:p w:rsidR="00F92D0F" w:rsidRDefault="00F92D0F" w:rsidP="00F92D0F">
            <w:pPr>
              <w:spacing w:after="0" w:line="240" w:lineRule="auto"/>
              <w:rPr>
                <w:bCs/>
                <w:iCs/>
              </w:rPr>
            </w:pPr>
            <w:r w:rsidRPr="00062285">
              <w:rPr>
                <w:bCs/>
                <w:iCs/>
              </w:rPr>
              <w:t>Quarterly with cumulative data at the end of the period</w:t>
            </w:r>
            <w:r>
              <w:rPr>
                <w:bCs/>
                <w:iCs/>
              </w:rPr>
              <w:t xml:space="preserve">. </w:t>
            </w:r>
          </w:p>
          <w:p w:rsidR="00F92D0F" w:rsidRDefault="00F92D0F" w:rsidP="00F92D0F">
            <w:pPr>
              <w:spacing w:after="0" w:line="240" w:lineRule="auto"/>
              <w:jc w:val="center"/>
              <w:rPr>
                <w:bCs/>
                <w:iCs/>
              </w:rPr>
            </w:pPr>
          </w:p>
          <w:p w:rsidR="00F92D0F" w:rsidRDefault="00ED1FF6" w:rsidP="00F92D0F">
            <w:pPr>
              <w:spacing w:after="0" w:line="240" w:lineRule="auto"/>
              <w:jc w:val="center"/>
              <w:rPr>
                <w:bCs/>
                <w:iCs/>
              </w:rPr>
            </w:pPr>
            <m:oMathPara>
              <m:oMath>
                <m:f>
                  <m:fPr>
                    <m:ctrlPr>
                      <w:rPr>
                        <w:rFonts w:ascii="Cambria Math" w:hAnsi="Cambria Math"/>
                        <w:bCs/>
                        <w:i/>
                        <w:iCs/>
                      </w:rPr>
                    </m:ctrlPr>
                  </m:fPr>
                  <m:num>
                    <m:r>
                      <w:rPr>
                        <w:rFonts w:ascii="Cambria Math" w:hAnsi="Cambria Math"/>
                      </w:rPr>
                      <m:t>Aggregated Gross Operational Risk Losses</m:t>
                    </m:r>
                  </m:num>
                  <m:den>
                    <m:r>
                      <w:rPr>
                        <w:rFonts w:ascii="Cambria Math" w:hAnsi="Cambria Math"/>
                      </w:rPr>
                      <m:t>Aggregated Gross Margin</m:t>
                    </m:r>
                  </m:den>
                </m:f>
              </m:oMath>
            </m:oMathPara>
          </w:p>
          <w:p w:rsidR="00F92D0F" w:rsidRDefault="00F92D0F" w:rsidP="00F92D0F">
            <w:pPr>
              <w:spacing w:after="0" w:line="240" w:lineRule="auto"/>
              <w:jc w:val="center"/>
              <w:rPr>
                <w:bCs/>
                <w:iCs/>
              </w:rPr>
            </w:pPr>
          </w:p>
          <w:p w:rsidR="00F92D0F" w:rsidRDefault="00F92D0F" w:rsidP="00F92D0F">
            <w:pPr>
              <w:spacing w:after="0" w:line="240" w:lineRule="auto"/>
            </w:pPr>
            <w:r>
              <w:rPr>
                <w:bCs/>
                <w:iCs/>
              </w:rPr>
              <w:t xml:space="preserve">Gross operational risk losses are defined as: </w:t>
            </w:r>
            <w:r>
              <w:t xml:space="preserve"> </w:t>
            </w:r>
          </w:p>
          <w:p w:rsidR="00F92D0F" w:rsidRDefault="00F92D0F" w:rsidP="00F92D0F">
            <w:pPr>
              <w:spacing w:after="0" w:line="240" w:lineRule="auto"/>
            </w:pPr>
            <w:r w:rsidRPr="00C51F69">
              <w:t>Operational Risk Losses reported in the period (excluding recoveries – direct</w:t>
            </w:r>
            <w:r>
              <w:t xml:space="preserve"> or indirect, excluding legal reserves and including legal settlements)</w:t>
            </w:r>
          </w:p>
          <w:p w:rsidR="00F92D0F" w:rsidRDefault="00F92D0F" w:rsidP="00F92D0F">
            <w:pPr>
              <w:spacing w:after="0" w:line="240" w:lineRule="auto"/>
              <w:rPr>
                <w:bCs/>
                <w:iCs/>
              </w:rPr>
            </w:pPr>
          </w:p>
          <w:p w:rsidR="00F92D0F" w:rsidRDefault="00F92D0F" w:rsidP="00F92D0F">
            <w:pPr>
              <w:spacing w:after="0" w:line="240" w:lineRule="auto"/>
              <w:rPr>
                <w:bCs/>
                <w:iCs/>
              </w:rPr>
            </w:pPr>
            <w:r w:rsidRPr="00CF009C">
              <w:rPr>
                <w:bCs/>
                <w:iCs/>
              </w:rPr>
              <w:t xml:space="preserve">Gross Margin (Net Revenue) is defined as: </w:t>
            </w:r>
          </w:p>
          <w:p w:rsidR="00F92D0F" w:rsidRPr="00062285" w:rsidRDefault="00F92D0F" w:rsidP="00F92D0F">
            <w:pPr>
              <w:spacing w:after="0" w:line="240" w:lineRule="auto"/>
            </w:pPr>
            <m:oMathPara>
              <m:oMath>
                <m:r>
                  <w:rPr>
                    <w:rFonts w:ascii="Cambria Math" w:hAnsi="Cambria Math"/>
                  </w:rPr>
                  <m:t>Net Interest Income + Fees + Other Fees + Security and Related Derivatives Gains</m:t>
                </m:r>
              </m:oMath>
            </m:oMathPara>
          </w:p>
          <w:p w:rsidR="00F92D0F" w:rsidRPr="00B10D1A" w:rsidRDefault="00F92D0F" w:rsidP="00F92D0F">
            <w:pPr>
              <w:spacing w:after="0" w:line="240" w:lineRule="auto"/>
              <w:rPr>
                <w:rFonts w:asciiTheme="minorHAnsi" w:eastAsiaTheme="minorHAnsi" w:hAnsiTheme="minorHAnsi" w:cstheme="minorBidi"/>
                <w:iCs/>
                <w:lang w:val="en-GB"/>
              </w:rPr>
            </w:pPr>
            <m:oMathPara>
              <m:oMath>
                <m:r>
                  <w:rPr>
                    <w:rFonts w:ascii="Cambria Math" w:hAnsi="Cambria Math"/>
                  </w:rPr>
                  <m:t xml:space="preserve"> – Security and Related Derivati</m:t>
                </m:r>
                <m:r>
                  <w:rPr>
                    <w:rFonts w:ascii="Cambria Math" w:hAnsi="Cambria Math"/>
                  </w:rPr>
                  <m:t>ves losses reported in the period</m:t>
                </m:r>
              </m:oMath>
            </m:oMathPara>
          </w:p>
        </w:tc>
      </w:tr>
      <w:tr w:rsidR="00F92D0F" w:rsidRPr="00206D41" w:rsidTr="00F92D0F">
        <w:trPr>
          <w:trHeight w:val="525"/>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848" w:type="dxa"/>
            <w:gridSpan w:val="3"/>
            <w:shd w:val="clear" w:color="auto" w:fill="auto"/>
          </w:tcPr>
          <w:p w:rsidR="00F92D0F" w:rsidRDefault="00F92D0F" w:rsidP="00F92D0F">
            <w:pPr>
              <w:pStyle w:val="ListParagraph"/>
              <w:numPr>
                <w:ilvl w:val="0"/>
                <w:numId w:val="15"/>
              </w:numPr>
              <w:spacing w:after="0" w:line="240" w:lineRule="auto"/>
              <w:ind w:left="252" w:hanging="252"/>
              <w:rPr>
                <w:rFonts w:ascii="Calibri" w:hAnsi="Calibri"/>
                <w:bCs/>
                <w:iCs/>
              </w:rPr>
            </w:pPr>
            <w:r>
              <w:rPr>
                <w:rFonts w:ascii="Calibri" w:hAnsi="Calibri"/>
                <w:bCs/>
                <w:iCs/>
              </w:rPr>
              <w:t>Data provided by : Internal Loss Data Team</w:t>
            </w:r>
          </w:p>
          <w:p w:rsidR="00F92D0F" w:rsidRDefault="00F92D0F" w:rsidP="00F92D0F">
            <w:pPr>
              <w:pStyle w:val="ListParagraph"/>
              <w:numPr>
                <w:ilvl w:val="0"/>
                <w:numId w:val="16"/>
              </w:numPr>
              <w:spacing w:after="0" w:line="240" w:lineRule="auto"/>
              <w:rPr>
                <w:rFonts w:ascii="Calibri" w:hAnsi="Calibri"/>
                <w:bCs/>
                <w:iCs/>
              </w:rPr>
            </w:pPr>
            <w:r>
              <w:rPr>
                <w:rFonts w:ascii="Calibri" w:hAnsi="Calibri"/>
                <w:bCs/>
                <w:iCs/>
              </w:rPr>
              <w:t xml:space="preserve">Source System : </w:t>
            </w:r>
            <w:r w:rsidRPr="002C6D4A">
              <w:rPr>
                <w:rFonts w:ascii="Calibri" w:hAnsi="Calibri"/>
                <w:bCs/>
                <w:iCs/>
              </w:rPr>
              <w:t>Internal Loss Database</w:t>
            </w:r>
          </w:p>
          <w:p w:rsidR="00F92D0F" w:rsidRDefault="00F92D0F" w:rsidP="00F92D0F">
            <w:pPr>
              <w:pStyle w:val="ListParagraph"/>
              <w:numPr>
                <w:ilvl w:val="0"/>
                <w:numId w:val="17"/>
              </w:numPr>
              <w:tabs>
                <w:tab w:val="left" w:pos="1062"/>
              </w:tabs>
              <w:spacing w:after="0" w:line="240" w:lineRule="auto"/>
              <w:ind w:hanging="18"/>
              <w:rPr>
                <w:rFonts w:ascii="Calibri" w:hAnsi="Calibri"/>
                <w:bCs/>
                <w:iCs/>
              </w:rPr>
            </w:pPr>
            <w:r>
              <w:rPr>
                <w:rFonts w:ascii="Calibri" w:hAnsi="Calibri"/>
                <w:bCs/>
                <w:iCs/>
              </w:rPr>
              <w:t xml:space="preserve"> Data Provided : Gross Operational Risk Loss Number</w:t>
            </w:r>
          </w:p>
          <w:p w:rsidR="00F92D0F" w:rsidRDefault="00F92D0F" w:rsidP="00F92D0F">
            <w:pPr>
              <w:pStyle w:val="ListParagraph"/>
              <w:numPr>
                <w:ilvl w:val="0"/>
                <w:numId w:val="15"/>
              </w:numPr>
              <w:spacing w:after="0" w:line="240" w:lineRule="auto"/>
              <w:ind w:left="252" w:hanging="252"/>
              <w:rPr>
                <w:rFonts w:ascii="Calibri" w:hAnsi="Calibri"/>
                <w:bCs/>
                <w:iCs/>
              </w:rPr>
            </w:pPr>
            <w:r>
              <w:rPr>
                <w:rFonts w:ascii="Calibri" w:hAnsi="Calibri"/>
                <w:bCs/>
                <w:iCs/>
              </w:rPr>
              <w:t>Data provided by : Management Control</w:t>
            </w:r>
          </w:p>
          <w:p w:rsidR="00F92D0F" w:rsidRDefault="00F92D0F" w:rsidP="00F92D0F">
            <w:pPr>
              <w:pStyle w:val="ListParagraph"/>
              <w:numPr>
                <w:ilvl w:val="0"/>
                <w:numId w:val="18"/>
              </w:numPr>
              <w:spacing w:after="0" w:line="240" w:lineRule="auto"/>
              <w:rPr>
                <w:rFonts w:ascii="Calibri" w:hAnsi="Calibri"/>
                <w:bCs/>
                <w:iCs/>
              </w:rPr>
            </w:pPr>
            <w:r>
              <w:rPr>
                <w:rFonts w:ascii="Calibri" w:hAnsi="Calibri"/>
                <w:bCs/>
                <w:iCs/>
              </w:rPr>
              <w:t xml:space="preserve">Source System : </w:t>
            </w:r>
            <w:proofErr w:type="spellStart"/>
            <w:r>
              <w:rPr>
                <w:rFonts w:ascii="Calibri" w:hAnsi="Calibri"/>
                <w:bCs/>
                <w:iCs/>
              </w:rPr>
              <w:t>Cumbre</w:t>
            </w:r>
            <w:proofErr w:type="spellEnd"/>
            <w:r>
              <w:rPr>
                <w:rFonts w:ascii="Calibri" w:hAnsi="Calibri"/>
                <w:bCs/>
                <w:iCs/>
              </w:rPr>
              <w:t xml:space="preserve"> </w:t>
            </w:r>
          </w:p>
          <w:p w:rsidR="00F92D0F" w:rsidRPr="002C6D4A" w:rsidRDefault="00F92D0F" w:rsidP="00F92D0F">
            <w:pPr>
              <w:pStyle w:val="ListParagraph"/>
              <w:numPr>
                <w:ilvl w:val="0"/>
                <w:numId w:val="19"/>
              </w:numPr>
              <w:tabs>
                <w:tab w:val="left" w:pos="1152"/>
              </w:tabs>
              <w:spacing w:after="0" w:line="240" w:lineRule="auto"/>
              <w:ind w:hanging="18"/>
              <w:rPr>
                <w:rFonts w:ascii="Calibri" w:hAnsi="Calibri"/>
                <w:bCs/>
                <w:iCs/>
              </w:rPr>
            </w:pPr>
            <w:r>
              <w:rPr>
                <w:rFonts w:ascii="Calibri" w:hAnsi="Calibri"/>
                <w:bCs/>
                <w:iCs/>
              </w:rPr>
              <w:t>Data Provided : Net revenue (Gross Margin) Number</w:t>
            </w:r>
          </w:p>
          <w:p w:rsidR="00F92D0F" w:rsidRDefault="00F92D0F" w:rsidP="00F92D0F">
            <w:pPr>
              <w:spacing w:after="0" w:line="240" w:lineRule="auto"/>
              <w:rPr>
                <w:bCs/>
                <w:iCs/>
              </w:rPr>
            </w:pPr>
          </w:p>
          <w:p w:rsidR="00F92D0F" w:rsidRPr="00206D41" w:rsidRDefault="00F92D0F" w:rsidP="00F92D0F">
            <w:pPr>
              <w:spacing w:after="0" w:line="240" w:lineRule="auto"/>
              <w:rPr>
                <w:bCs/>
                <w:iCs/>
              </w:rPr>
            </w:pPr>
            <w:r>
              <w:rPr>
                <w:bCs/>
                <w:iCs/>
              </w:rPr>
              <w:t>SC The data is collected in Archer and reported from Archer.</w:t>
            </w:r>
          </w:p>
        </w:tc>
      </w:tr>
    </w:tbl>
    <w:p w:rsidR="00C71F96" w:rsidRDefault="00C71F96" w:rsidP="00C71F96"/>
    <w:p w:rsidR="00C71F96" w:rsidRPr="00551663" w:rsidRDefault="00C71F96" w:rsidP="00C71F96">
      <w:pPr>
        <w:pStyle w:val="ListParagraph"/>
        <w:numPr>
          <w:ilvl w:val="1"/>
          <w:numId w:val="1"/>
        </w:numPr>
        <w:rPr>
          <w:b/>
          <w:sz w:val="24"/>
        </w:rPr>
      </w:pPr>
      <w:r w:rsidRPr="00551663">
        <w:rPr>
          <w:b/>
          <w:sz w:val="24"/>
        </w:rPr>
        <w:lastRenderedPageBreak/>
        <w:t>Net operational losses/Gross margin</w:t>
      </w:r>
    </w:p>
    <w:tbl>
      <w:tblPr>
        <w:tblpPr w:leftFromText="180" w:rightFromText="180" w:vertAnchor="text" w:tblpX="168" w:tblpY="1"/>
        <w:tblOverlap w:val="never"/>
        <w:tblW w:w="9576"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304"/>
        <w:gridCol w:w="2772"/>
        <w:gridCol w:w="2772"/>
      </w:tblGrid>
      <w:tr w:rsidR="000A71D3" w:rsidRPr="00206D41" w:rsidTr="000A71D3">
        <w:trPr>
          <w:trHeight w:val="619"/>
        </w:trPr>
        <w:tc>
          <w:tcPr>
            <w:tcW w:w="1728" w:type="dxa"/>
            <w:shd w:val="clear" w:color="auto" w:fill="auto"/>
          </w:tcPr>
          <w:p w:rsidR="000A71D3" w:rsidRPr="00206D41" w:rsidRDefault="000A71D3" w:rsidP="000A71D3">
            <w:pPr>
              <w:rPr>
                <w:b/>
                <w:bCs/>
                <w:iCs/>
              </w:rPr>
            </w:pPr>
            <w:r>
              <w:rPr>
                <w:b/>
                <w:bCs/>
                <w:iCs/>
              </w:rPr>
              <w:t>DEFINITION</w:t>
            </w:r>
          </w:p>
        </w:tc>
        <w:tc>
          <w:tcPr>
            <w:tcW w:w="7848" w:type="dxa"/>
            <w:gridSpan w:val="3"/>
            <w:shd w:val="clear" w:color="auto" w:fill="auto"/>
          </w:tcPr>
          <w:p w:rsidR="000A71D3" w:rsidRPr="00206D41" w:rsidRDefault="00713D83" w:rsidP="000A71D3">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Net</w:t>
            </w:r>
            <w:r w:rsidR="000A71D3" w:rsidRPr="00206D41">
              <w:rPr>
                <w:rFonts w:asciiTheme="minorHAnsi" w:eastAsiaTheme="minorHAnsi" w:hAnsiTheme="minorHAnsi" w:cstheme="minorBidi"/>
                <w:iCs/>
              </w:rPr>
              <w:t xml:space="preserve"> </w:t>
            </w:r>
            <w:r w:rsidR="000A71D3">
              <w:rPr>
                <w:rFonts w:asciiTheme="minorHAnsi" w:eastAsiaTheme="minorHAnsi" w:hAnsiTheme="minorHAnsi" w:cstheme="minorBidi"/>
                <w:iCs/>
              </w:rPr>
              <w:t>operational risk l</w:t>
            </w:r>
            <w:r w:rsidR="000A71D3" w:rsidRPr="00206D41">
              <w:rPr>
                <w:rFonts w:asciiTheme="minorHAnsi" w:eastAsiaTheme="minorHAnsi" w:hAnsiTheme="minorHAnsi" w:cstheme="minorBidi"/>
                <w:iCs/>
              </w:rPr>
              <w:t>osses</w:t>
            </w:r>
            <w:r w:rsidR="000A71D3">
              <w:rPr>
                <w:rFonts w:asciiTheme="minorHAnsi" w:eastAsiaTheme="minorHAnsi" w:hAnsiTheme="minorHAnsi" w:cstheme="minorBidi"/>
                <w:iCs/>
              </w:rPr>
              <w:t xml:space="preserve">  as a percentage of gross margin within the same period</w:t>
            </w:r>
          </w:p>
        </w:tc>
      </w:tr>
      <w:tr w:rsidR="000A71D3" w:rsidRPr="00206D41" w:rsidTr="000A71D3">
        <w:trPr>
          <w:trHeight w:val="523"/>
        </w:trPr>
        <w:tc>
          <w:tcPr>
            <w:tcW w:w="1728" w:type="dxa"/>
            <w:shd w:val="clear" w:color="auto" w:fill="auto"/>
          </w:tcPr>
          <w:p w:rsidR="000A71D3" w:rsidRDefault="000A71D3" w:rsidP="000A71D3">
            <w:pPr>
              <w:rPr>
                <w:b/>
                <w:bCs/>
                <w:iCs/>
              </w:rPr>
            </w:pPr>
            <w:r>
              <w:rPr>
                <w:b/>
                <w:bCs/>
                <w:iCs/>
              </w:rPr>
              <w:t>DIFFERENT FROM SHUSA</w:t>
            </w:r>
          </w:p>
        </w:tc>
        <w:tc>
          <w:tcPr>
            <w:tcW w:w="7848" w:type="dxa"/>
            <w:gridSpan w:val="3"/>
            <w:shd w:val="clear" w:color="auto" w:fill="auto"/>
          </w:tcPr>
          <w:p w:rsidR="000A71D3" w:rsidRDefault="00713D83" w:rsidP="000A71D3">
            <w:pPr>
              <w:spacing w:after="0" w:line="240" w:lineRule="auto"/>
              <w:rPr>
                <w:bCs/>
                <w:iCs/>
              </w:rPr>
            </w:pPr>
            <w:r>
              <w:rPr>
                <w:bCs/>
                <w:iCs/>
              </w:rPr>
              <w:t>This is a group metric that is calculated for the Quarterly report</w:t>
            </w:r>
          </w:p>
        </w:tc>
      </w:tr>
      <w:tr w:rsidR="000A71D3" w:rsidRPr="00206D41" w:rsidTr="000A71D3">
        <w:trPr>
          <w:trHeight w:val="270"/>
        </w:trPr>
        <w:tc>
          <w:tcPr>
            <w:tcW w:w="1728" w:type="dxa"/>
            <w:vMerge w:val="restart"/>
            <w:shd w:val="clear" w:color="auto" w:fill="auto"/>
          </w:tcPr>
          <w:p w:rsidR="000A71D3" w:rsidRPr="00206D41" w:rsidRDefault="000A71D3" w:rsidP="000A71D3">
            <w:pPr>
              <w:rPr>
                <w:b/>
                <w:bCs/>
                <w:iCs/>
              </w:rPr>
            </w:pPr>
            <w:r>
              <w:rPr>
                <w:b/>
                <w:bCs/>
                <w:iCs/>
              </w:rPr>
              <w:t xml:space="preserve">ENTITY </w:t>
            </w:r>
          </w:p>
        </w:tc>
        <w:tc>
          <w:tcPr>
            <w:tcW w:w="2304" w:type="dxa"/>
            <w:shd w:val="clear" w:color="auto" w:fill="auto"/>
          </w:tcPr>
          <w:p w:rsidR="000A71D3" w:rsidRPr="00B10D1A" w:rsidRDefault="000A71D3" w:rsidP="000A71D3">
            <w:pPr>
              <w:spacing w:after="0" w:line="240" w:lineRule="auto"/>
              <w:rPr>
                <w:b/>
                <w:bCs/>
                <w:iCs/>
              </w:rPr>
            </w:pPr>
            <w:r w:rsidRPr="00B10D1A">
              <w:rPr>
                <w:b/>
                <w:bCs/>
                <w:iCs/>
              </w:rPr>
              <w:t>SHUSA</w:t>
            </w:r>
          </w:p>
        </w:tc>
        <w:tc>
          <w:tcPr>
            <w:tcW w:w="2772" w:type="dxa"/>
            <w:shd w:val="clear" w:color="auto" w:fill="auto"/>
          </w:tcPr>
          <w:p w:rsidR="000A71D3" w:rsidRPr="00B10D1A" w:rsidRDefault="000A71D3" w:rsidP="000A71D3">
            <w:pPr>
              <w:spacing w:after="0" w:line="240" w:lineRule="auto"/>
              <w:rPr>
                <w:b/>
                <w:bCs/>
                <w:iCs/>
              </w:rPr>
            </w:pPr>
            <w:r w:rsidRPr="00B10D1A">
              <w:rPr>
                <w:b/>
                <w:bCs/>
                <w:iCs/>
              </w:rPr>
              <w:t>SBNA</w:t>
            </w:r>
          </w:p>
        </w:tc>
        <w:tc>
          <w:tcPr>
            <w:tcW w:w="2772" w:type="dxa"/>
            <w:shd w:val="clear" w:color="auto" w:fill="auto"/>
          </w:tcPr>
          <w:p w:rsidR="000A71D3" w:rsidRPr="00B10D1A" w:rsidRDefault="000A71D3" w:rsidP="000A71D3">
            <w:pPr>
              <w:spacing w:after="0" w:line="240" w:lineRule="auto"/>
              <w:rPr>
                <w:b/>
                <w:bCs/>
                <w:iCs/>
              </w:rPr>
            </w:pPr>
            <w:r w:rsidRPr="00B10D1A">
              <w:rPr>
                <w:b/>
                <w:bCs/>
                <w:iCs/>
              </w:rPr>
              <w:t>SC</w:t>
            </w:r>
          </w:p>
        </w:tc>
      </w:tr>
      <w:tr w:rsidR="000A71D3" w:rsidRPr="00206D41" w:rsidTr="000A71D3">
        <w:trPr>
          <w:trHeight w:val="270"/>
        </w:trPr>
        <w:tc>
          <w:tcPr>
            <w:tcW w:w="1728" w:type="dxa"/>
            <w:vMerge/>
            <w:shd w:val="clear" w:color="auto" w:fill="auto"/>
          </w:tcPr>
          <w:p w:rsidR="000A71D3" w:rsidRDefault="000A71D3" w:rsidP="000A71D3">
            <w:pPr>
              <w:rPr>
                <w:b/>
                <w:bCs/>
                <w:iCs/>
              </w:rPr>
            </w:pPr>
          </w:p>
        </w:tc>
        <w:tc>
          <w:tcPr>
            <w:tcW w:w="2304" w:type="dxa"/>
            <w:shd w:val="clear" w:color="auto" w:fill="auto"/>
          </w:tcPr>
          <w:p w:rsidR="000A71D3" w:rsidRPr="00206D41" w:rsidRDefault="000A71D3" w:rsidP="000A71D3">
            <w:pPr>
              <w:spacing w:after="0" w:line="240" w:lineRule="auto"/>
              <w:rPr>
                <w:bCs/>
                <w:iCs/>
              </w:rPr>
            </w:pPr>
            <w:r>
              <w:rPr>
                <w:bCs/>
                <w:iCs/>
              </w:rPr>
              <w:t>Yes</w:t>
            </w:r>
          </w:p>
        </w:tc>
        <w:tc>
          <w:tcPr>
            <w:tcW w:w="2772" w:type="dxa"/>
            <w:shd w:val="clear" w:color="auto" w:fill="auto"/>
          </w:tcPr>
          <w:p w:rsidR="000A71D3" w:rsidRPr="00D16AB2" w:rsidRDefault="00D16AB2" w:rsidP="000A71D3">
            <w:pPr>
              <w:spacing w:after="0" w:line="240" w:lineRule="auto"/>
              <w:rPr>
                <w:bCs/>
                <w:iCs/>
                <w:color w:val="FF0000"/>
              </w:rPr>
            </w:pPr>
            <w:r>
              <w:rPr>
                <w:bCs/>
                <w:iCs/>
                <w:color w:val="FF0000"/>
              </w:rPr>
              <w:t>No</w:t>
            </w:r>
          </w:p>
        </w:tc>
        <w:tc>
          <w:tcPr>
            <w:tcW w:w="2772" w:type="dxa"/>
            <w:shd w:val="clear" w:color="auto" w:fill="auto"/>
          </w:tcPr>
          <w:p w:rsidR="000A71D3" w:rsidRPr="00206D41" w:rsidRDefault="00D16AB2" w:rsidP="000A71D3">
            <w:pPr>
              <w:spacing w:after="0" w:line="240" w:lineRule="auto"/>
              <w:rPr>
                <w:bCs/>
                <w:iCs/>
              </w:rPr>
            </w:pPr>
            <w:r>
              <w:rPr>
                <w:bCs/>
                <w:iCs/>
                <w:color w:val="FF0000"/>
              </w:rPr>
              <w:t>No</w:t>
            </w:r>
          </w:p>
        </w:tc>
      </w:tr>
      <w:tr w:rsidR="000A71D3" w:rsidRPr="00206D41" w:rsidTr="000A71D3">
        <w:trPr>
          <w:trHeight w:val="270"/>
        </w:trPr>
        <w:tc>
          <w:tcPr>
            <w:tcW w:w="1728" w:type="dxa"/>
            <w:vMerge w:val="restart"/>
            <w:shd w:val="clear" w:color="auto" w:fill="auto"/>
          </w:tcPr>
          <w:p w:rsidR="000A71D3" w:rsidRPr="00206D41" w:rsidRDefault="000A71D3" w:rsidP="000A71D3">
            <w:pPr>
              <w:rPr>
                <w:b/>
                <w:bCs/>
                <w:iCs/>
              </w:rPr>
            </w:pPr>
            <w:r>
              <w:rPr>
                <w:b/>
                <w:bCs/>
                <w:iCs/>
              </w:rPr>
              <w:t>METRIC OWNER</w:t>
            </w:r>
          </w:p>
        </w:tc>
        <w:tc>
          <w:tcPr>
            <w:tcW w:w="2304" w:type="dxa"/>
            <w:shd w:val="clear" w:color="auto" w:fill="auto"/>
          </w:tcPr>
          <w:p w:rsidR="000A71D3" w:rsidRPr="00B10D1A" w:rsidRDefault="000A71D3" w:rsidP="000A71D3">
            <w:pPr>
              <w:spacing w:after="0" w:line="240" w:lineRule="auto"/>
              <w:rPr>
                <w:b/>
                <w:bCs/>
                <w:iCs/>
              </w:rPr>
            </w:pPr>
            <w:r w:rsidRPr="00B10D1A">
              <w:rPr>
                <w:b/>
                <w:bCs/>
                <w:iCs/>
              </w:rPr>
              <w:t>SHUSA</w:t>
            </w:r>
          </w:p>
        </w:tc>
        <w:tc>
          <w:tcPr>
            <w:tcW w:w="2772" w:type="dxa"/>
            <w:shd w:val="clear" w:color="auto" w:fill="auto"/>
          </w:tcPr>
          <w:p w:rsidR="000A71D3" w:rsidRPr="00B10D1A" w:rsidRDefault="000A71D3" w:rsidP="000A71D3">
            <w:pPr>
              <w:spacing w:after="0" w:line="240" w:lineRule="auto"/>
              <w:rPr>
                <w:b/>
                <w:bCs/>
                <w:iCs/>
              </w:rPr>
            </w:pPr>
            <w:r w:rsidRPr="00B10D1A">
              <w:rPr>
                <w:b/>
                <w:bCs/>
                <w:iCs/>
              </w:rPr>
              <w:t>SBNA</w:t>
            </w:r>
          </w:p>
        </w:tc>
        <w:tc>
          <w:tcPr>
            <w:tcW w:w="2772" w:type="dxa"/>
            <w:shd w:val="clear" w:color="auto" w:fill="auto"/>
          </w:tcPr>
          <w:p w:rsidR="000A71D3" w:rsidRPr="00B10D1A" w:rsidRDefault="000A71D3" w:rsidP="000A71D3">
            <w:pPr>
              <w:spacing w:after="0" w:line="240" w:lineRule="auto"/>
              <w:rPr>
                <w:b/>
                <w:bCs/>
                <w:iCs/>
              </w:rPr>
            </w:pPr>
            <w:r w:rsidRPr="00B10D1A">
              <w:rPr>
                <w:b/>
                <w:bCs/>
                <w:iCs/>
              </w:rPr>
              <w:t>SC</w:t>
            </w:r>
          </w:p>
        </w:tc>
      </w:tr>
      <w:tr w:rsidR="000A71D3" w:rsidRPr="00206D41" w:rsidTr="000A71D3">
        <w:trPr>
          <w:trHeight w:val="252"/>
        </w:trPr>
        <w:tc>
          <w:tcPr>
            <w:tcW w:w="1728" w:type="dxa"/>
            <w:vMerge/>
            <w:shd w:val="clear" w:color="auto" w:fill="auto"/>
          </w:tcPr>
          <w:p w:rsidR="000A71D3" w:rsidRPr="00206D41" w:rsidRDefault="000A71D3" w:rsidP="000A71D3">
            <w:pPr>
              <w:rPr>
                <w:b/>
                <w:bCs/>
                <w:iCs/>
              </w:rPr>
            </w:pPr>
          </w:p>
        </w:tc>
        <w:tc>
          <w:tcPr>
            <w:tcW w:w="2304" w:type="dxa"/>
            <w:shd w:val="clear" w:color="auto" w:fill="auto"/>
          </w:tcPr>
          <w:p w:rsidR="000A71D3" w:rsidRPr="00206D41" w:rsidRDefault="000A71D3" w:rsidP="000A71D3">
            <w:pPr>
              <w:spacing w:after="0" w:line="240" w:lineRule="auto"/>
              <w:rPr>
                <w:bCs/>
                <w:iCs/>
              </w:rPr>
            </w:pPr>
            <w:r>
              <w:rPr>
                <w:bCs/>
                <w:iCs/>
              </w:rPr>
              <w:t>SHUSA Director of Operational Risk</w:t>
            </w:r>
          </w:p>
        </w:tc>
        <w:tc>
          <w:tcPr>
            <w:tcW w:w="2772" w:type="dxa"/>
            <w:shd w:val="clear" w:color="auto" w:fill="auto"/>
          </w:tcPr>
          <w:p w:rsidR="000A71D3" w:rsidRPr="00206D41" w:rsidRDefault="000A71D3" w:rsidP="000A71D3">
            <w:pPr>
              <w:spacing w:after="0" w:line="240" w:lineRule="auto"/>
              <w:rPr>
                <w:bCs/>
                <w:iCs/>
              </w:rPr>
            </w:pPr>
            <w:r>
              <w:rPr>
                <w:bCs/>
                <w:iCs/>
              </w:rPr>
              <w:t>SBNA Director of Operational Risk</w:t>
            </w:r>
          </w:p>
        </w:tc>
        <w:tc>
          <w:tcPr>
            <w:tcW w:w="2772" w:type="dxa"/>
            <w:shd w:val="clear" w:color="auto" w:fill="auto"/>
          </w:tcPr>
          <w:p w:rsidR="000A71D3" w:rsidRPr="00206D41" w:rsidRDefault="000A71D3" w:rsidP="000A71D3">
            <w:pPr>
              <w:spacing w:after="0" w:line="240" w:lineRule="auto"/>
              <w:rPr>
                <w:bCs/>
                <w:iCs/>
              </w:rPr>
            </w:pPr>
            <w:r>
              <w:rPr>
                <w:bCs/>
                <w:iCs/>
              </w:rPr>
              <w:t>SC Director of Operational Risk</w:t>
            </w:r>
          </w:p>
        </w:tc>
      </w:tr>
      <w:tr w:rsidR="000A71D3" w:rsidRPr="00206D41" w:rsidTr="000A71D3">
        <w:trPr>
          <w:cantSplit/>
          <w:trHeight w:val="360"/>
        </w:trPr>
        <w:tc>
          <w:tcPr>
            <w:tcW w:w="1728" w:type="dxa"/>
            <w:shd w:val="clear" w:color="auto" w:fill="auto"/>
          </w:tcPr>
          <w:p w:rsidR="000A71D3" w:rsidRPr="00206D41" w:rsidRDefault="000A71D3" w:rsidP="000A71D3">
            <w:pPr>
              <w:ind w:left="-60"/>
              <w:rPr>
                <w:b/>
                <w:bCs/>
                <w:iCs/>
              </w:rPr>
            </w:pPr>
            <w:r w:rsidRPr="00F52DE6">
              <w:rPr>
                <w:b/>
                <w:bCs/>
                <w:iCs/>
              </w:rPr>
              <w:t>TRIGGER AND LIMIT SETTING</w:t>
            </w:r>
          </w:p>
        </w:tc>
        <w:tc>
          <w:tcPr>
            <w:tcW w:w="7848" w:type="dxa"/>
            <w:gridSpan w:val="3"/>
            <w:shd w:val="clear" w:color="auto" w:fill="auto"/>
          </w:tcPr>
          <w:p w:rsidR="00D16AB2" w:rsidRPr="00551663" w:rsidRDefault="00D16AB2" w:rsidP="000A71D3">
            <w:pPr>
              <w:spacing w:after="0" w:line="240" w:lineRule="auto"/>
              <w:rPr>
                <w:bCs/>
                <w:iCs/>
                <w:color w:val="FF0000"/>
              </w:rPr>
            </w:pPr>
            <w:r>
              <w:rPr>
                <w:bCs/>
                <w:iCs/>
                <w:color w:val="FF0000"/>
              </w:rPr>
              <w:t>Neither Limit trigger nor red limit. Only informative metric</w:t>
            </w:r>
          </w:p>
        </w:tc>
      </w:tr>
      <w:tr w:rsidR="000A71D3" w:rsidRPr="00206D41" w:rsidTr="000A71D3">
        <w:trPr>
          <w:cantSplit/>
          <w:trHeight w:val="360"/>
        </w:trPr>
        <w:tc>
          <w:tcPr>
            <w:tcW w:w="1728" w:type="dxa"/>
            <w:shd w:val="clear" w:color="auto" w:fill="auto"/>
          </w:tcPr>
          <w:p w:rsidR="000A71D3" w:rsidRPr="00206D41" w:rsidRDefault="000A71D3" w:rsidP="000A71D3">
            <w:pPr>
              <w:ind w:left="-60"/>
              <w:rPr>
                <w:b/>
                <w:bCs/>
                <w:iCs/>
              </w:rPr>
            </w:pPr>
            <w:r>
              <w:rPr>
                <w:b/>
                <w:bCs/>
                <w:iCs/>
              </w:rPr>
              <w:t>TESTING FREQUENCY</w:t>
            </w:r>
          </w:p>
        </w:tc>
        <w:tc>
          <w:tcPr>
            <w:tcW w:w="7848" w:type="dxa"/>
            <w:gridSpan w:val="3"/>
            <w:shd w:val="clear" w:color="auto" w:fill="auto"/>
          </w:tcPr>
          <w:p w:rsidR="000A71D3" w:rsidRDefault="000A71D3" w:rsidP="000A71D3">
            <w:pPr>
              <w:spacing w:after="0" w:line="240" w:lineRule="auto"/>
              <w:rPr>
                <w:bCs/>
                <w:iCs/>
              </w:rPr>
            </w:pPr>
            <w:r w:rsidRPr="00062285">
              <w:rPr>
                <w:bCs/>
                <w:iCs/>
              </w:rPr>
              <w:t>Quarterly with cumulative data at the end of the period</w:t>
            </w:r>
            <w:r>
              <w:rPr>
                <w:bCs/>
                <w:iCs/>
              </w:rPr>
              <w:t xml:space="preserve">. </w:t>
            </w:r>
          </w:p>
          <w:p w:rsidR="000A71D3" w:rsidRDefault="000A71D3" w:rsidP="000A71D3">
            <w:pPr>
              <w:spacing w:after="0" w:line="240" w:lineRule="auto"/>
              <w:jc w:val="center"/>
              <w:rPr>
                <w:bCs/>
                <w:iCs/>
              </w:rPr>
            </w:pPr>
          </w:p>
          <w:p w:rsidR="00551663" w:rsidRDefault="00551663" w:rsidP="000A71D3">
            <w:pPr>
              <w:spacing w:after="0" w:line="240" w:lineRule="auto"/>
              <w:jc w:val="center"/>
              <w:rPr>
                <w:bCs/>
                <w:iCs/>
              </w:rPr>
            </w:pPr>
            <w:r w:rsidRPr="00551663">
              <w:rPr>
                <w:bCs/>
                <w:iCs/>
                <w:noProof/>
              </w:rPr>
              <mc:AlternateContent>
                <mc:Choice Requires="wps">
                  <w:drawing>
                    <wp:anchor distT="0" distB="0" distL="114300" distR="114300" simplePos="0" relativeHeight="251659264" behindDoc="0" locked="0" layoutInCell="1" allowOverlap="1" wp14:anchorId="2AAB3CBF" wp14:editId="06462E9A">
                      <wp:simplePos x="0" y="0"/>
                      <wp:positionH relativeFrom="column">
                        <wp:posOffset>1607969</wp:posOffset>
                      </wp:positionH>
                      <wp:positionV relativeFrom="paragraph">
                        <wp:posOffset>153670</wp:posOffset>
                      </wp:positionV>
                      <wp:extent cx="1741170"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174117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6pt,12.1pt" to="263.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" strokecolor="black [3213]"/>
                  </w:pict>
                </mc:Fallback>
              </mc:AlternateContent>
            </w:r>
            <w:r>
              <w:rPr>
                <w:bCs/>
                <w:iCs/>
              </w:rPr>
              <w:t>Net Operational Losses</w:t>
            </w:r>
          </w:p>
          <w:p w:rsidR="00551663" w:rsidRPr="00551663" w:rsidRDefault="00551663" w:rsidP="000A71D3">
            <w:pPr>
              <w:spacing w:after="0" w:line="240" w:lineRule="auto"/>
              <w:jc w:val="center"/>
              <w:rPr>
                <w:bCs/>
                <w:iCs/>
              </w:rPr>
            </w:pPr>
            <w:r>
              <w:rPr>
                <w:bCs/>
                <w:iCs/>
              </w:rPr>
              <w:t>Gross Margin</w:t>
            </w:r>
          </w:p>
          <w:p w:rsidR="00551663" w:rsidRDefault="00551663" w:rsidP="000A71D3">
            <w:pPr>
              <w:spacing w:after="0" w:line="240" w:lineRule="auto"/>
              <w:jc w:val="center"/>
              <w:rPr>
                <w:bCs/>
                <w:iCs/>
              </w:rPr>
            </w:pPr>
          </w:p>
          <w:p w:rsidR="00551663" w:rsidRDefault="00551663" w:rsidP="00551663">
            <w:r>
              <w:t>“Net Losses” as:</w:t>
            </w:r>
          </w:p>
          <w:p w:rsidR="00551663" w:rsidRPr="00551663" w:rsidRDefault="00551663" w:rsidP="00551663">
            <w:pPr>
              <w:rPr>
                <w:b/>
                <w:bCs/>
                <w:u w:val="single"/>
              </w:rPr>
            </w:pPr>
            <w:r>
              <w:rPr>
                <w:b/>
                <w:bCs/>
                <w:u w:val="single"/>
              </w:rPr>
              <w:t>Net Losses = Gross Losses - recoveries</w:t>
            </w:r>
          </w:p>
          <w:p w:rsidR="00551663" w:rsidRDefault="00551663" w:rsidP="00551663">
            <w:pPr>
              <w:rPr>
                <w:lang w:val="en-GB"/>
              </w:rPr>
            </w:pPr>
            <w:r>
              <w:t xml:space="preserve">*Recoveries can be either </w:t>
            </w:r>
            <w:r>
              <w:rPr>
                <w:lang w:val="en-GB"/>
              </w:rPr>
              <w:t xml:space="preserve">direct or indirect. </w:t>
            </w:r>
          </w:p>
          <w:p w:rsidR="000A71D3" w:rsidRPr="00551663" w:rsidRDefault="000A71D3" w:rsidP="000A71D3">
            <w:pPr>
              <w:spacing w:after="0" w:line="240" w:lineRule="auto"/>
              <w:rPr>
                <w:bCs/>
                <w:iCs/>
                <w:lang w:val="en-GB"/>
              </w:rPr>
            </w:pPr>
          </w:p>
          <w:p w:rsidR="000A71D3" w:rsidRDefault="000A71D3" w:rsidP="000A71D3">
            <w:pPr>
              <w:spacing w:after="0" w:line="240" w:lineRule="auto"/>
              <w:rPr>
                <w:bCs/>
                <w:iCs/>
              </w:rPr>
            </w:pPr>
            <w:r w:rsidRPr="00CF009C">
              <w:rPr>
                <w:bCs/>
                <w:iCs/>
              </w:rPr>
              <w:t xml:space="preserve">Gross Margin (Net Revenue) is defined as: </w:t>
            </w:r>
          </w:p>
          <w:p w:rsidR="000A71D3" w:rsidRPr="00062285" w:rsidRDefault="000A71D3" w:rsidP="000A71D3">
            <w:pPr>
              <w:spacing w:after="0" w:line="240" w:lineRule="auto"/>
            </w:pPr>
            <m:oMathPara>
              <m:oMath>
                <m:r>
                  <w:rPr>
                    <w:rFonts w:ascii="Cambria Math" w:hAnsi="Cambria Math"/>
                  </w:rPr>
                  <m:t>Net Interest Income + Fees + Other Fees + Security and Related Derivatives Gains</m:t>
                </m:r>
              </m:oMath>
            </m:oMathPara>
          </w:p>
          <w:p w:rsidR="000A71D3" w:rsidRPr="00B10D1A" w:rsidRDefault="000A71D3" w:rsidP="000A71D3">
            <w:pPr>
              <w:spacing w:after="0" w:line="240" w:lineRule="auto"/>
              <w:rPr>
                <w:rFonts w:asciiTheme="minorHAnsi" w:eastAsiaTheme="minorHAnsi" w:hAnsiTheme="minorHAnsi" w:cstheme="minorBidi"/>
                <w:iCs/>
                <w:lang w:val="en-GB"/>
              </w:rPr>
            </w:pPr>
            <m:oMathPara>
              <m:oMath>
                <m:r>
                  <w:rPr>
                    <w:rFonts w:ascii="Cambria Math" w:hAnsi="Cambria Math"/>
                  </w:rPr>
                  <m:t xml:space="preserve"> – Security and Related Derivatives losses reported in the period</m:t>
                </m:r>
              </m:oMath>
            </m:oMathPara>
          </w:p>
        </w:tc>
      </w:tr>
      <w:tr w:rsidR="000A71D3" w:rsidRPr="00206D41" w:rsidTr="000A71D3">
        <w:trPr>
          <w:trHeight w:val="525"/>
        </w:trPr>
        <w:tc>
          <w:tcPr>
            <w:tcW w:w="1728" w:type="dxa"/>
            <w:shd w:val="clear" w:color="auto" w:fill="auto"/>
          </w:tcPr>
          <w:p w:rsidR="000A71D3" w:rsidRPr="00206D41" w:rsidRDefault="000A71D3" w:rsidP="000A71D3">
            <w:pPr>
              <w:rPr>
                <w:b/>
                <w:bCs/>
                <w:iCs/>
              </w:rPr>
            </w:pPr>
            <w:r w:rsidRPr="00206D41">
              <w:rPr>
                <w:b/>
                <w:bCs/>
                <w:iCs/>
              </w:rPr>
              <w:t>SOURCE OF INFORMATION</w:t>
            </w:r>
          </w:p>
        </w:tc>
        <w:tc>
          <w:tcPr>
            <w:tcW w:w="7848" w:type="dxa"/>
            <w:gridSpan w:val="3"/>
            <w:shd w:val="clear" w:color="auto" w:fill="auto"/>
          </w:tcPr>
          <w:p w:rsidR="000A71D3" w:rsidRDefault="000A71D3" w:rsidP="000A71D3">
            <w:pPr>
              <w:pStyle w:val="ListParagraph"/>
              <w:numPr>
                <w:ilvl w:val="0"/>
                <w:numId w:val="15"/>
              </w:numPr>
              <w:spacing w:after="0" w:line="240" w:lineRule="auto"/>
              <w:ind w:left="252" w:hanging="252"/>
              <w:rPr>
                <w:rFonts w:ascii="Calibri" w:hAnsi="Calibri"/>
                <w:bCs/>
                <w:iCs/>
              </w:rPr>
            </w:pPr>
            <w:r>
              <w:rPr>
                <w:rFonts w:ascii="Calibri" w:hAnsi="Calibri"/>
                <w:bCs/>
                <w:iCs/>
              </w:rPr>
              <w:t>Data provided by : Internal Loss Data Team</w:t>
            </w:r>
          </w:p>
          <w:p w:rsidR="000A71D3" w:rsidRDefault="000A71D3" w:rsidP="000A71D3">
            <w:pPr>
              <w:pStyle w:val="ListParagraph"/>
              <w:numPr>
                <w:ilvl w:val="0"/>
                <w:numId w:val="16"/>
              </w:numPr>
              <w:spacing w:after="0" w:line="240" w:lineRule="auto"/>
              <w:rPr>
                <w:rFonts w:ascii="Calibri" w:hAnsi="Calibri"/>
                <w:bCs/>
                <w:iCs/>
              </w:rPr>
            </w:pPr>
            <w:r>
              <w:rPr>
                <w:rFonts w:ascii="Calibri" w:hAnsi="Calibri"/>
                <w:bCs/>
                <w:iCs/>
              </w:rPr>
              <w:t xml:space="preserve">Source System : </w:t>
            </w:r>
            <w:r w:rsidRPr="002C6D4A">
              <w:rPr>
                <w:rFonts w:ascii="Calibri" w:hAnsi="Calibri"/>
                <w:bCs/>
                <w:iCs/>
              </w:rPr>
              <w:t>Internal Loss Database</w:t>
            </w:r>
          </w:p>
          <w:p w:rsidR="000A71D3" w:rsidRDefault="000A71D3" w:rsidP="000A71D3">
            <w:pPr>
              <w:pStyle w:val="ListParagraph"/>
              <w:numPr>
                <w:ilvl w:val="0"/>
                <w:numId w:val="17"/>
              </w:numPr>
              <w:tabs>
                <w:tab w:val="left" w:pos="1062"/>
              </w:tabs>
              <w:spacing w:after="0" w:line="240" w:lineRule="auto"/>
              <w:ind w:hanging="18"/>
              <w:rPr>
                <w:rFonts w:ascii="Calibri" w:hAnsi="Calibri"/>
                <w:bCs/>
                <w:iCs/>
              </w:rPr>
            </w:pPr>
            <w:r>
              <w:rPr>
                <w:rFonts w:ascii="Calibri" w:hAnsi="Calibri"/>
                <w:bCs/>
                <w:iCs/>
              </w:rPr>
              <w:t xml:space="preserve"> Data Provided : Gross Operational Risk Loss Number</w:t>
            </w:r>
          </w:p>
          <w:p w:rsidR="000A71D3" w:rsidRDefault="000A71D3" w:rsidP="000A71D3">
            <w:pPr>
              <w:pStyle w:val="ListParagraph"/>
              <w:numPr>
                <w:ilvl w:val="0"/>
                <w:numId w:val="15"/>
              </w:numPr>
              <w:spacing w:after="0" w:line="240" w:lineRule="auto"/>
              <w:ind w:left="252" w:hanging="252"/>
              <w:rPr>
                <w:rFonts w:ascii="Calibri" w:hAnsi="Calibri"/>
                <w:bCs/>
                <w:iCs/>
              </w:rPr>
            </w:pPr>
            <w:r>
              <w:rPr>
                <w:rFonts w:ascii="Calibri" w:hAnsi="Calibri"/>
                <w:bCs/>
                <w:iCs/>
              </w:rPr>
              <w:t>Data provided by : Management Control</w:t>
            </w:r>
          </w:p>
          <w:p w:rsidR="000A71D3" w:rsidRDefault="000A71D3" w:rsidP="000A71D3">
            <w:pPr>
              <w:pStyle w:val="ListParagraph"/>
              <w:numPr>
                <w:ilvl w:val="0"/>
                <w:numId w:val="18"/>
              </w:numPr>
              <w:spacing w:after="0" w:line="240" w:lineRule="auto"/>
              <w:rPr>
                <w:rFonts w:ascii="Calibri" w:hAnsi="Calibri"/>
                <w:bCs/>
                <w:iCs/>
              </w:rPr>
            </w:pPr>
            <w:r>
              <w:rPr>
                <w:rFonts w:ascii="Calibri" w:hAnsi="Calibri"/>
                <w:bCs/>
                <w:iCs/>
              </w:rPr>
              <w:t xml:space="preserve">Source System : </w:t>
            </w:r>
            <w:proofErr w:type="spellStart"/>
            <w:r>
              <w:rPr>
                <w:rFonts w:ascii="Calibri" w:hAnsi="Calibri"/>
                <w:bCs/>
                <w:iCs/>
              </w:rPr>
              <w:t>Cumbre</w:t>
            </w:r>
            <w:proofErr w:type="spellEnd"/>
            <w:r>
              <w:rPr>
                <w:rFonts w:ascii="Calibri" w:hAnsi="Calibri"/>
                <w:bCs/>
                <w:iCs/>
              </w:rPr>
              <w:t xml:space="preserve"> </w:t>
            </w:r>
          </w:p>
          <w:p w:rsidR="000A71D3" w:rsidRPr="002C6D4A" w:rsidRDefault="000A71D3" w:rsidP="000A71D3">
            <w:pPr>
              <w:pStyle w:val="ListParagraph"/>
              <w:numPr>
                <w:ilvl w:val="0"/>
                <w:numId w:val="19"/>
              </w:numPr>
              <w:tabs>
                <w:tab w:val="left" w:pos="1152"/>
              </w:tabs>
              <w:spacing w:after="0" w:line="240" w:lineRule="auto"/>
              <w:ind w:hanging="18"/>
              <w:rPr>
                <w:rFonts w:ascii="Calibri" w:hAnsi="Calibri"/>
                <w:bCs/>
                <w:iCs/>
              </w:rPr>
            </w:pPr>
            <w:r>
              <w:rPr>
                <w:rFonts w:ascii="Calibri" w:hAnsi="Calibri"/>
                <w:bCs/>
                <w:iCs/>
              </w:rPr>
              <w:t>Data Provided : Net revenue (Gross Margin) Number</w:t>
            </w:r>
          </w:p>
          <w:p w:rsidR="000A71D3" w:rsidRDefault="000A71D3" w:rsidP="000A71D3">
            <w:pPr>
              <w:spacing w:after="0" w:line="240" w:lineRule="auto"/>
              <w:rPr>
                <w:bCs/>
                <w:iCs/>
              </w:rPr>
            </w:pPr>
          </w:p>
          <w:p w:rsidR="000A71D3" w:rsidRPr="00206D41" w:rsidRDefault="000A71D3" w:rsidP="000A71D3">
            <w:pPr>
              <w:spacing w:after="0" w:line="240" w:lineRule="auto"/>
              <w:rPr>
                <w:bCs/>
                <w:iCs/>
              </w:rPr>
            </w:pPr>
            <w:r>
              <w:rPr>
                <w:bCs/>
                <w:iCs/>
              </w:rPr>
              <w:t>SC The data is collected in Archer and reported from Archer.</w:t>
            </w:r>
          </w:p>
        </w:tc>
      </w:tr>
    </w:tbl>
    <w:p w:rsidR="00C71F96" w:rsidRDefault="00C71F96" w:rsidP="00C71F96"/>
    <w:p w:rsidR="001351F5" w:rsidRDefault="001351F5" w:rsidP="00C71F96"/>
    <w:p w:rsidR="001351F5" w:rsidRDefault="001351F5" w:rsidP="00C71F96"/>
    <w:p w:rsidR="001351F5" w:rsidRDefault="001351F5" w:rsidP="00C71F96"/>
    <w:p w:rsidR="003C1E8B" w:rsidRDefault="003C1E8B" w:rsidP="003C1E8B">
      <w:pPr>
        <w:pStyle w:val="SANUS1"/>
        <w:numPr>
          <w:ilvl w:val="0"/>
          <w:numId w:val="1"/>
        </w:numPr>
      </w:pPr>
      <w:r>
        <w:lastRenderedPageBreak/>
        <w:t>Solvency metrics</w:t>
      </w:r>
    </w:p>
    <w:p w:rsidR="006232E9" w:rsidRDefault="006232E9" w:rsidP="006232E9">
      <w:pPr>
        <w:pStyle w:val="ListParagraph"/>
        <w:ind w:left="680"/>
        <w:rPr>
          <w:b/>
          <w:sz w:val="24"/>
          <w:lang w:bidi="en-US"/>
        </w:rPr>
      </w:pPr>
    </w:p>
    <w:p w:rsidR="003C1E8B" w:rsidRPr="00B36372" w:rsidRDefault="003C1E8B" w:rsidP="003C1E8B">
      <w:pPr>
        <w:pStyle w:val="ListParagraph"/>
        <w:numPr>
          <w:ilvl w:val="1"/>
          <w:numId w:val="1"/>
        </w:numPr>
        <w:rPr>
          <w:b/>
          <w:sz w:val="24"/>
          <w:lang w:bidi="en-US"/>
        </w:rPr>
      </w:pPr>
      <w:r w:rsidRPr="00B36372">
        <w:rPr>
          <w:b/>
          <w:sz w:val="24"/>
          <w:lang w:bidi="en-US"/>
        </w:rPr>
        <w:t>Common equity Tier 1 (CET1) Ratio (Baseline and stress)</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20" w:firstRow="1" w:lastRow="0" w:firstColumn="0" w:lastColumn="0" w:noHBand="0" w:noVBand="0"/>
      </w:tblPr>
      <w:tblGrid>
        <w:gridCol w:w="1728"/>
        <w:gridCol w:w="2490"/>
        <w:gridCol w:w="2490"/>
        <w:gridCol w:w="2490"/>
      </w:tblGrid>
      <w:tr w:rsidR="00F92D0F" w:rsidRPr="00CB427F" w:rsidTr="00F92D0F">
        <w:trPr>
          <w:trHeight w:val="390"/>
        </w:trPr>
        <w:tc>
          <w:tcPr>
            <w:tcW w:w="1728" w:type="dxa"/>
            <w:shd w:val="clear" w:color="auto" w:fill="auto"/>
          </w:tcPr>
          <w:p w:rsidR="00F92D0F" w:rsidRPr="00CB427F" w:rsidRDefault="00F92D0F" w:rsidP="00F92D0F">
            <w:pPr>
              <w:rPr>
                <w:rFonts w:asciiTheme="minorHAnsi" w:hAnsiTheme="minorHAnsi"/>
                <w:b/>
                <w:bCs/>
                <w:iCs/>
              </w:rPr>
            </w:pPr>
            <w:r w:rsidRPr="00CB427F">
              <w:rPr>
                <w:rFonts w:asciiTheme="minorHAnsi" w:hAnsiTheme="minorHAnsi"/>
                <w:b/>
                <w:bCs/>
                <w:iCs/>
              </w:rPr>
              <w:t>DEFINITION</w:t>
            </w:r>
          </w:p>
        </w:tc>
        <w:tc>
          <w:tcPr>
            <w:tcW w:w="7470" w:type="dxa"/>
            <w:gridSpan w:val="3"/>
            <w:shd w:val="clear" w:color="auto" w:fill="auto"/>
          </w:tcPr>
          <w:p w:rsidR="00F92D0F" w:rsidRPr="00CB427F" w:rsidRDefault="00F92D0F" w:rsidP="00F92D0F">
            <w:pPr>
              <w:spacing w:after="0" w:line="240" w:lineRule="auto"/>
              <w:rPr>
                <w:rFonts w:asciiTheme="minorHAnsi" w:hAnsiTheme="minorHAnsi"/>
                <w:bCs/>
                <w:iCs/>
              </w:rPr>
            </w:pPr>
            <w:r w:rsidRPr="00CB427F">
              <w:rPr>
                <w:rFonts w:asciiTheme="minorHAnsi" w:hAnsiTheme="minorHAnsi"/>
                <w:bCs/>
                <w:iCs/>
              </w:rPr>
              <w:t>The minimum ratio of CET1 to Total Risk-Weighted Assets (RWAs) required under BHC Baseline and Stressed conditions.</w:t>
            </w:r>
          </w:p>
        </w:tc>
      </w:tr>
      <w:tr w:rsidR="00713D83" w:rsidRPr="00CB427F" w:rsidTr="00F92D0F">
        <w:trPr>
          <w:trHeight w:val="246"/>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r w:rsidR="00B36372">
              <w:rPr>
                <w:bCs/>
                <w:iCs/>
              </w:rPr>
              <w:t xml:space="preserve"> Metric calculation</w:t>
            </w:r>
          </w:p>
        </w:tc>
      </w:tr>
      <w:tr w:rsidR="00F92D0F" w:rsidRPr="00CB427F" w:rsidTr="00F92D0F">
        <w:trPr>
          <w:trHeight w:val="255"/>
        </w:trPr>
        <w:tc>
          <w:tcPr>
            <w:tcW w:w="1728" w:type="dxa"/>
            <w:vMerge w:val="restart"/>
            <w:shd w:val="clear" w:color="auto" w:fill="auto"/>
          </w:tcPr>
          <w:p w:rsidR="00F92D0F" w:rsidRPr="00CB427F" w:rsidRDefault="00F92D0F" w:rsidP="00F92D0F">
            <w:pPr>
              <w:rPr>
                <w:rFonts w:asciiTheme="minorHAnsi" w:hAnsiTheme="minorHAnsi"/>
                <w:b/>
                <w:bCs/>
                <w:iCs/>
              </w:rPr>
            </w:pPr>
            <w:r w:rsidRPr="00CB427F">
              <w:rPr>
                <w:rFonts w:asciiTheme="minorHAnsi" w:hAnsiTheme="minorHAnsi"/>
                <w:b/>
                <w:bCs/>
                <w:iCs/>
              </w:rPr>
              <w:t>ENTITY</w:t>
            </w:r>
          </w:p>
        </w:tc>
        <w:tc>
          <w:tcPr>
            <w:tcW w:w="2490" w:type="dxa"/>
            <w:shd w:val="clear" w:color="auto" w:fill="auto"/>
          </w:tcPr>
          <w:p w:rsidR="00F92D0F" w:rsidRPr="00CB427F" w:rsidRDefault="00F92D0F" w:rsidP="00F92D0F">
            <w:pPr>
              <w:spacing w:after="0" w:line="240" w:lineRule="auto"/>
              <w:rPr>
                <w:rFonts w:asciiTheme="minorHAnsi" w:hAnsiTheme="minorHAnsi"/>
                <w:b/>
                <w:bCs/>
                <w:iCs/>
              </w:rPr>
            </w:pPr>
            <w:r w:rsidRPr="00CB427F">
              <w:rPr>
                <w:rFonts w:asciiTheme="minorHAnsi" w:hAnsiTheme="minorHAnsi"/>
                <w:b/>
                <w:bCs/>
                <w:iCs/>
              </w:rPr>
              <w:t>SHUSA</w:t>
            </w:r>
          </w:p>
        </w:tc>
        <w:tc>
          <w:tcPr>
            <w:tcW w:w="2490" w:type="dxa"/>
            <w:shd w:val="clear" w:color="auto" w:fill="auto"/>
          </w:tcPr>
          <w:p w:rsidR="00F92D0F" w:rsidRPr="00CB427F" w:rsidRDefault="00F92D0F" w:rsidP="00F92D0F">
            <w:pPr>
              <w:spacing w:after="0" w:line="240" w:lineRule="auto"/>
              <w:rPr>
                <w:rFonts w:asciiTheme="minorHAnsi" w:hAnsiTheme="minorHAnsi"/>
                <w:b/>
                <w:bCs/>
                <w:iCs/>
              </w:rPr>
            </w:pPr>
            <w:r w:rsidRPr="00CB427F">
              <w:rPr>
                <w:rFonts w:asciiTheme="minorHAnsi" w:hAnsiTheme="minorHAnsi"/>
                <w:b/>
                <w:bCs/>
                <w:iCs/>
              </w:rPr>
              <w:t>SBNA</w:t>
            </w:r>
          </w:p>
        </w:tc>
        <w:tc>
          <w:tcPr>
            <w:tcW w:w="2490" w:type="dxa"/>
            <w:shd w:val="clear" w:color="auto" w:fill="auto"/>
          </w:tcPr>
          <w:p w:rsidR="00F92D0F" w:rsidRPr="00CB427F" w:rsidRDefault="00F92D0F" w:rsidP="00F92D0F">
            <w:pPr>
              <w:spacing w:after="0" w:line="240" w:lineRule="auto"/>
              <w:rPr>
                <w:rFonts w:asciiTheme="minorHAnsi" w:hAnsiTheme="minorHAnsi"/>
                <w:b/>
                <w:bCs/>
                <w:iCs/>
              </w:rPr>
            </w:pPr>
            <w:r w:rsidRPr="00CB427F">
              <w:rPr>
                <w:rFonts w:asciiTheme="minorHAnsi" w:hAnsiTheme="minorHAnsi"/>
                <w:b/>
                <w:bCs/>
                <w:iCs/>
              </w:rPr>
              <w:t>SC</w:t>
            </w:r>
          </w:p>
        </w:tc>
      </w:tr>
      <w:tr w:rsidR="00F92D0F" w:rsidRPr="00CB427F" w:rsidTr="00F92D0F">
        <w:trPr>
          <w:trHeight w:val="255"/>
        </w:trPr>
        <w:tc>
          <w:tcPr>
            <w:tcW w:w="1728" w:type="dxa"/>
            <w:vMerge/>
            <w:shd w:val="clear" w:color="auto" w:fill="auto"/>
          </w:tcPr>
          <w:p w:rsidR="00F92D0F" w:rsidRPr="00CB427F" w:rsidRDefault="00F92D0F" w:rsidP="00F92D0F">
            <w:pPr>
              <w:rPr>
                <w:rFonts w:asciiTheme="minorHAnsi" w:hAnsiTheme="minorHAnsi"/>
                <w:b/>
                <w:bCs/>
                <w:iCs/>
              </w:rPr>
            </w:pPr>
          </w:p>
        </w:tc>
        <w:tc>
          <w:tcPr>
            <w:tcW w:w="2490" w:type="dxa"/>
            <w:shd w:val="clear" w:color="auto" w:fill="auto"/>
          </w:tcPr>
          <w:p w:rsidR="00F92D0F" w:rsidRPr="00CB427F" w:rsidRDefault="00F92D0F" w:rsidP="00F92D0F">
            <w:pPr>
              <w:spacing w:after="0" w:line="240" w:lineRule="auto"/>
              <w:rPr>
                <w:rFonts w:asciiTheme="minorHAnsi" w:hAnsiTheme="minorHAnsi"/>
                <w:bCs/>
                <w:iCs/>
              </w:rPr>
            </w:pPr>
            <w:r w:rsidRPr="00CB427F">
              <w:rPr>
                <w:rFonts w:asciiTheme="minorHAnsi" w:hAnsiTheme="minorHAnsi"/>
                <w:bCs/>
                <w:iCs/>
              </w:rPr>
              <w:t>Yes</w:t>
            </w:r>
          </w:p>
        </w:tc>
        <w:tc>
          <w:tcPr>
            <w:tcW w:w="2490" w:type="dxa"/>
            <w:shd w:val="clear" w:color="auto" w:fill="auto"/>
          </w:tcPr>
          <w:p w:rsidR="00F92D0F" w:rsidRPr="00CB427F" w:rsidRDefault="00F92D0F" w:rsidP="00F92D0F">
            <w:pPr>
              <w:spacing w:after="0" w:line="240" w:lineRule="auto"/>
              <w:rPr>
                <w:rFonts w:asciiTheme="minorHAnsi" w:hAnsiTheme="minorHAnsi"/>
                <w:bCs/>
                <w:iCs/>
              </w:rPr>
            </w:pPr>
            <w:r w:rsidRPr="00CB427F">
              <w:rPr>
                <w:rFonts w:asciiTheme="minorHAnsi" w:hAnsiTheme="minorHAnsi"/>
                <w:bCs/>
                <w:iCs/>
              </w:rPr>
              <w:t>Yes</w:t>
            </w:r>
          </w:p>
        </w:tc>
        <w:tc>
          <w:tcPr>
            <w:tcW w:w="2490" w:type="dxa"/>
            <w:shd w:val="clear" w:color="auto" w:fill="auto"/>
          </w:tcPr>
          <w:p w:rsidR="00F92D0F" w:rsidRPr="00CB427F" w:rsidRDefault="00F92D0F" w:rsidP="00F92D0F">
            <w:pPr>
              <w:spacing w:after="0" w:line="240" w:lineRule="auto"/>
              <w:rPr>
                <w:rFonts w:asciiTheme="minorHAnsi" w:hAnsiTheme="minorHAnsi"/>
                <w:bCs/>
                <w:iCs/>
              </w:rPr>
            </w:pPr>
            <w:r w:rsidRPr="00CB427F">
              <w:rPr>
                <w:rFonts w:asciiTheme="minorHAnsi" w:hAnsiTheme="minorHAnsi"/>
                <w:bCs/>
                <w:iCs/>
              </w:rPr>
              <w:t>Yes</w:t>
            </w:r>
          </w:p>
        </w:tc>
      </w:tr>
      <w:tr w:rsidR="00F92D0F" w:rsidRPr="00CB427F" w:rsidTr="00F92D0F">
        <w:trPr>
          <w:trHeight w:val="255"/>
        </w:trPr>
        <w:tc>
          <w:tcPr>
            <w:tcW w:w="1728" w:type="dxa"/>
            <w:vMerge w:val="restart"/>
            <w:shd w:val="clear" w:color="auto" w:fill="auto"/>
          </w:tcPr>
          <w:p w:rsidR="00F92D0F" w:rsidRPr="00CB427F" w:rsidRDefault="00F92D0F" w:rsidP="00F92D0F">
            <w:pPr>
              <w:rPr>
                <w:rFonts w:asciiTheme="minorHAnsi" w:hAnsiTheme="minorHAnsi"/>
                <w:b/>
                <w:bCs/>
                <w:iCs/>
              </w:rPr>
            </w:pPr>
            <w:r>
              <w:rPr>
                <w:rFonts w:asciiTheme="minorHAnsi" w:hAnsiTheme="minorHAnsi"/>
                <w:b/>
                <w:bCs/>
                <w:iCs/>
              </w:rPr>
              <w:t>METRIC OWNER</w:t>
            </w:r>
          </w:p>
        </w:tc>
        <w:tc>
          <w:tcPr>
            <w:tcW w:w="2490" w:type="dxa"/>
            <w:shd w:val="clear" w:color="auto" w:fill="auto"/>
          </w:tcPr>
          <w:p w:rsidR="00F92D0F" w:rsidRPr="00CB427F" w:rsidRDefault="00F92D0F" w:rsidP="00F92D0F">
            <w:pPr>
              <w:spacing w:after="0" w:line="240" w:lineRule="auto"/>
              <w:rPr>
                <w:rFonts w:asciiTheme="minorHAnsi" w:hAnsiTheme="minorHAnsi"/>
                <w:b/>
                <w:bCs/>
                <w:iCs/>
              </w:rPr>
            </w:pPr>
            <w:r w:rsidRPr="00CB427F">
              <w:rPr>
                <w:rFonts w:asciiTheme="minorHAnsi" w:hAnsiTheme="minorHAnsi"/>
                <w:b/>
                <w:bCs/>
                <w:iCs/>
              </w:rPr>
              <w:t xml:space="preserve">SHUSA </w:t>
            </w:r>
          </w:p>
        </w:tc>
        <w:tc>
          <w:tcPr>
            <w:tcW w:w="2490" w:type="dxa"/>
            <w:shd w:val="clear" w:color="auto" w:fill="auto"/>
          </w:tcPr>
          <w:p w:rsidR="00F92D0F" w:rsidRPr="00CB427F" w:rsidRDefault="00F92D0F" w:rsidP="00F92D0F">
            <w:pPr>
              <w:spacing w:after="0" w:line="240" w:lineRule="auto"/>
              <w:rPr>
                <w:rFonts w:asciiTheme="minorHAnsi" w:hAnsiTheme="minorHAnsi"/>
                <w:b/>
                <w:bCs/>
                <w:iCs/>
              </w:rPr>
            </w:pPr>
            <w:r w:rsidRPr="00CB427F">
              <w:rPr>
                <w:rFonts w:asciiTheme="minorHAnsi" w:hAnsiTheme="minorHAnsi"/>
                <w:b/>
                <w:bCs/>
                <w:iCs/>
              </w:rPr>
              <w:t xml:space="preserve">SBNA </w:t>
            </w:r>
          </w:p>
        </w:tc>
        <w:tc>
          <w:tcPr>
            <w:tcW w:w="2490" w:type="dxa"/>
            <w:shd w:val="clear" w:color="auto" w:fill="auto"/>
          </w:tcPr>
          <w:p w:rsidR="00F92D0F" w:rsidRPr="00CB427F" w:rsidRDefault="00F92D0F" w:rsidP="00F92D0F">
            <w:pPr>
              <w:spacing w:after="0" w:line="240" w:lineRule="auto"/>
              <w:rPr>
                <w:rFonts w:asciiTheme="minorHAnsi" w:hAnsiTheme="minorHAnsi"/>
                <w:b/>
                <w:bCs/>
                <w:iCs/>
              </w:rPr>
            </w:pPr>
            <w:r w:rsidRPr="00CB427F">
              <w:rPr>
                <w:rFonts w:asciiTheme="minorHAnsi" w:hAnsiTheme="minorHAnsi"/>
                <w:b/>
                <w:bCs/>
                <w:iCs/>
              </w:rPr>
              <w:t xml:space="preserve">SC </w:t>
            </w:r>
          </w:p>
        </w:tc>
      </w:tr>
      <w:tr w:rsidR="00F92D0F" w:rsidRPr="00CB427F" w:rsidTr="00F92D0F">
        <w:trPr>
          <w:trHeight w:val="255"/>
        </w:trPr>
        <w:tc>
          <w:tcPr>
            <w:tcW w:w="1728" w:type="dxa"/>
            <w:vMerge/>
            <w:shd w:val="clear" w:color="auto" w:fill="auto"/>
          </w:tcPr>
          <w:p w:rsidR="00F92D0F" w:rsidRPr="00CB427F" w:rsidRDefault="00F92D0F" w:rsidP="00F92D0F">
            <w:pPr>
              <w:rPr>
                <w:rFonts w:asciiTheme="minorHAnsi" w:hAnsiTheme="minorHAnsi"/>
                <w:b/>
                <w:bCs/>
                <w:iCs/>
              </w:rPr>
            </w:pPr>
          </w:p>
        </w:tc>
        <w:tc>
          <w:tcPr>
            <w:tcW w:w="2490" w:type="dxa"/>
            <w:shd w:val="clear" w:color="auto" w:fill="auto"/>
          </w:tcPr>
          <w:p w:rsidR="00F92D0F" w:rsidRPr="00CB427F" w:rsidRDefault="00F92D0F" w:rsidP="00F92D0F">
            <w:pPr>
              <w:spacing w:after="0" w:line="240" w:lineRule="auto"/>
              <w:rPr>
                <w:rFonts w:asciiTheme="minorHAnsi" w:hAnsiTheme="minorHAnsi"/>
                <w:bCs/>
                <w:iCs/>
              </w:rPr>
            </w:pPr>
            <w:r w:rsidRPr="00CB427F">
              <w:rPr>
                <w:rFonts w:asciiTheme="minorHAnsi" w:hAnsiTheme="minorHAnsi"/>
                <w:bCs/>
                <w:iCs/>
              </w:rPr>
              <w:t>SHUSA Director of Capital Policy</w:t>
            </w:r>
          </w:p>
        </w:tc>
        <w:tc>
          <w:tcPr>
            <w:tcW w:w="2490" w:type="dxa"/>
            <w:shd w:val="clear" w:color="auto" w:fill="auto"/>
          </w:tcPr>
          <w:p w:rsidR="00F92D0F" w:rsidRPr="00CB427F" w:rsidRDefault="00F92D0F" w:rsidP="00F92D0F">
            <w:pPr>
              <w:spacing w:after="0" w:line="240" w:lineRule="auto"/>
              <w:rPr>
                <w:rFonts w:asciiTheme="minorHAnsi" w:hAnsiTheme="minorHAnsi"/>
                <w:bCs/>
                <w:iCs/>
              </w:rPr>
            </w:pPr>
            <w:r>
              <w:rPr>
                <w:rFonts w:asciiTheme="minorHAnsi" w:hAnsiTheme="minorHAnsi"/>
                <w:bCs/>
                <w:iCs/>
              </w:rPr>
              <w:t>SBNA</w:t>
            </w:r>
            <w:r w:rsidRPr="00CB427F">
              <w:rPr>
                <w:rFonts w:asciiTheme="minorHAnsi" w:hAnsiTheme="minorHAnsi"/>
                <w:bCs/>
                <w:iCs/>
              </w:rPr>
              <w:t xml:space="preserve"> Director of Capital Policy</w:t>
            </w:r>
          </w:p>
        </w:tc>
        <w:tc>
          <w:tcPr>
            <w:tcW w:w="2490" w:type="dxa"/>
            <w:shd w:val="clear" w:color="auto" w:fill="auto"/>
          </w:tcPr>
          <w:p w:rsidR="00F92D0F" w:rsidRPr="00CB427F" w:rsidRDefault="00F92D0F" w:rsidP="00F92D0F">
            <w:pPr>
              <w:spacing w:after="0" w:line="240" w:lineRule="auto"/>
              <w:rPr>
                <w:rFonts w:asciiTheme="minorHAnsi" w:hAnsiTheme="minorHAnsi"/>
                <w:bCs/>
                <w:iCs/>
              </w:rPr>
            </w:pPr>
            <w:r>
              <w:rPr>
                <w:rFonts w:asciiTheme="minorHAnsi" w:hAnsiTheme="minorHAnsi"/>
                <w:bCs/>
                <w:iCs/>
              </w:rPr>
              <w:t>SC</w:t>
            </w:r>
            <w:r w:rsidRPr="00CB427F">
              <w:rPr>
                <w:rFonts w:asciiTheme="minorHAnsi" w:hAnsiTheme="minorHAnsi"/>
                <w:bCs/>
                <w:iCs/>
              </w:rPr>
              <w:t xml:space="preserve"> Director of Capital Policy</w:t>
            </w:r>
          </w:p>
        </w:tc>
      </w:tr>
      <w:tr w:rsidR="00F92D0F" w:rsidRPr="00CB427F" w:rsidTr="00F92D0F">
        <w:trPr>
          <w:trHeight w:val="692"/>
        </w:trPr>
        <w:tc>
          <w:tcPr>
            <w:tcW w:w="1728" w:type="dxa"/>
            <w:shd w:val="clear" w:color="auto" w:fill="auto"/>
          </w:tcPr>
          <w:p w:rsidR="00F92D0F" w:rsidRPr="00CB427F" w:rsidRDefault="00F92D0F" w:rsidP="00F92D0F">
            <w:pPr>
              <w:ind w:left="-60"/>
              <w:rPr>
                <w:rFonts w:asciiTheme="minorHAnsi" w:hAnsiTheme="minorHAnsi"/>
                <w:b/>
                <w:bCs/>
                <w:iCs/>
              </w:rPr>
            </w:pPr>
            <w:r w:rsidRPr="00CB427F">
              <w:rPr>
                <w:rFonts w:asciiTheme="minorHAnsi" w:hAnsiTheme="minorHAnsi"/>
                <w:b/>
                <w:bCs/>
                <w:iCs/>
              </w:rPr>
              <w:t>TRIGGER AND LIMIT SETTING</w:t>
            </w:r>
          </w:p>
        </w:tc>
        <w:tc>
          <w:tcPr>
            <w:tcW w:w="7470" w:type="dxa"/>
            <w:gridSpan w:val="3"/>
            <w:shd w:val="clear" w:color="auto" w:fill="auto"/>
          </w:tcPr>
          <w:p w:rsidR="00F92D0F" w:rsidRPr="00CB427F" w:rsidRDefault="00F92D0F" w:rsidP="00F92D0F">
            <w:pPr>
              <w:spacing w:after="0" w:line="240" w:lineRule="auto"/>
              <w:rPr>
                <w:rFonts w:asciiTheme="minorHAnsi" w:hAnsiTheme="minorHAnsi"/>
                <w:iCs/>
                <w:lang w:bidi="en-US"/>
              </w:rPr>
            </w:pPr>
            <w:r w:rsidRPr="00CB427F">
              <w:rPr>
                <w:rFonts w:asciiTheme="minorHAnsi" w:hAnsiTheme="minorHAnsi"/>
                <w:iCs/>
                <w:lang w:bidi="en-US"/>
              </w:rPr>
              <w:t>The Amber trigger and Red limit for CET1 are set annually based on the Entity’s approved CET1 Capital Policy ratios at time of RAS setting:</w:t>
            </w:r>
          </w:p>
          <w:p w:rsidR="00F92D0F" w:rsidRPr="00CB427F" w:rsidRDefault="00F92D0F" w:rsidP="00F92D0F">
            <w:pPr>
              <w:pStyle w:val="ListParagraph"/>
              <w:numPr>
                <w:ilvl w:val="0"/>
                <w:numId w:val="2"/>
              </w:numPr>
              <w:spacing w:after="0" w:line="240" w:lineRule="auto"/>
              <w:rPr>
                <w:rFonts w:eastAsia="Calibri" w:cs="Times New Roman"/>
                <w:iCs/>
                <w:szCs w:val="22"/>
                <w:lang w:val="en-US" w:bidi="en-US"/>
              </w:rPr>
            </w:pPr>
            <w:r w:rsidRPr="00CB427F">
              <w:rPr>
                <w:rFonts w:eastAsia="Calibri" w:cs="Times New Roman"/>
                <w:iCs/>
                <w:szCs w:val="22"/>
                <w:lang w:val="en-US" w:bidi="en-US"/>
              </w:rPr>
              <w:t>BHC Baseline scenario: Trigger is ratio for “use for capital expectations”; Limit is “internal business-as-usual minimum”.</w:t>
            </w:r>
          </w:p>
          <w:p w:rsidR="00F92D0F" w:rsidRPr="00CB427F" w:rsidRDefault="00F92D0F" w:rsidP="00F92D0F">
            <w:pPr>
              <w:pStyle w:val="ListParagraph"/>
              <w:numPr>
                <w:ilvl w:val="0"/>
                <w:numId w:val="2"/>
              </w:numPr>
              <w:spacing w:after="0" w:line="240" w:lineRule="auto"/>
              <w:rPr>
                <w:rFonts w:eastAsia="Calibri" w:cs="Times New Roman"/>
                <w:iCs/>
                <w:szCs w:val="22"/>
                <w:lang w:val="en-US" w:bidi="en-US"/>
              </w:rPr>
            </w:pPr>
            <w:r w:rsidRPr="00CB427F">
              <w:rPr>
                <w:rFonts w:eastAsia="Calibri" w:cs="Times New Roman"/>
                <w:iCs/>
                <w:szCs w:val="22"/>
                <w:lang w:val="en-US" w:bidi="en-US"/>
              </w:rPr>
              <w:t>BHC Stress scenario: Trigger is ratio “internal post-stress minimum level”;  Limit is “well capitalized” Prompt Corrective Action level</w:t>
            </w:r>
          </w:p>
        </w:tc>
      </w:tr>
      <w:tr w:rsidR="00F92D0F" w:rsidRPr="00CB427F" w:rsidTr="00F92D0F">
        <w:trPr>
          <w:trHeight w:val="692"/>
        </w:trPr>
        <w:tc>
          <w:tcPr>
            <w:tcW w:w="1728" w:type="dxa"/>
            <w:shd w:val="clear" w:color="auto" w:fill="auto"/>
          </w:tcPr>
          <w:p w:rsidR="00F92D0F" w:rsidRPr="00CB427F" w:rsidRDefault="00F92D0F" w:rsidP="00F92D0F">
            <w:pPr>
              <w:ind w:left="-60"/>
              <w:rPr>
                <w:rFonts w:asciiTheme="minorHAnsi" w:hAnsiTheme="minorHAnsi"/>
                <w:b/>
                <w:bCs/>
                <w:iCs/>
              </w:rPr>
            </w:pPr>
            <w:r w:rsidRPr="00CB427F">
              <w:rPr>
                <w:rFonts w:asciiTheme="minorHAnsi" w:hAnsiTheme="minorHAnsi"/>
                <w:b/>
                <w:bCs/>
                <w:iCs/>
              </w:rPr>
              <w:t>TESTING FREQUENCY</w:t>
            </w:r>
          </w:p>
        </w:tc>
        <w:tc>
          <w:tcPr>
            <w:tcW w:w="7470" w:type="dxa"/>
            <w:gridSpan w:val="3"/>
            <w:shd w:val="clear" w:color="auto" w:fill="auto"/>
          </w:tcPr>
          <w:p w:rsidR="00F92D0F" w:rsidRPr="00CB427F" w:rsidRDefault="00F92D0F" w:rsidP="00F92D0F">
            <w:pPr>
              <w:pStyle w:val="ListParagraph"/>
              <w:numPr>
                <w:ilvl w:val="0"/>
                <w:numId w:val="2"/>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Annually/CCAR output: The lowest value of the 9 quarters covered by the CCAR exercise is compared to the trigger and limit derived from the application of the Capital Policy (see above). The RAS will be presented for annual review with the CCAR outputs compared to the proposed trigger and limit.</w:t>
            </w:r>
          </w:p>
          <w:p w:rsidR="00F92D0F" w:rsidRPr="00CB427F" w:rsidRDefault="00F92D0F" w:rsidP="00F92D0F">
            <w:pPr>
              <w:pStyle w:val="ListParagraph"/>
              <w:numPr>
                <w:ilvl w:val="0"/>
                <w:numId w:val="2"/>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F92D0F" w:rsidRPr="00CB427F" w:rsidRDefault="00F92D0F" w:rsidP="00F92D0F">
            <w:pPr>
              <w:pStyle w:val="ListParagraph"/>
              <w:numPr>
                <w:ilvl w:val="0"/>
                <w:numId w:val="2"/>
              </w:numPr>
              <w:spacing w:before="120" w:after="120" w:line="240" w:lineRule="auto"/>
              <w:rPr>
                <w:rFonts w:eastAsia="Calibri" w:cs="Times New Roman"/>
                <w:iCs/>
                <w:szCs w:val="22"/>
                <w:lang w:val="en-US" w:bidi="en-US"/>
              </w:rPr>
            </w:pPr>
            <w:r w:rsidRPr="00CB427F">
              <w:rPr>
                <w:rFonts w:eastAsia="Calibri" w:cs="Times New Roman"/>
                <w:iCs/>
                <w:szCs w:val="22"/>
                <w:lang w:val="en-US" w:bidi="en-US"/>
              </w:rPr>
              <w:t xml:space="preserve">Strategic Plan (e.g. P-18): The projected capital levels from the strategic plan are compared to the RAS limits and thresholds </w:t>
            </w:r>
          </w:p>
          <w:p w:rsidR="00F92D0F" w:rsidRPr="00CB427F" w:rsidRDefault="00F92D0F" w:rsidP="00F92D0F">
            <w:pPr>
              <w:pStyle w:val="ListParagraph"/>
              <w:numPr>
                <w:ilvl w:val="0"/>
                <w:numId w:val="2"/>
              </w:numPr>
              <w:spacing w:before="240" w:after="120" w:line="240" w:lineRule="auto"/>
              <w:rPr>
                <w:rFonts w:eastAsia="Calibri" w:cs="Times New Roman"/>
                <w:iCs/>
                <w:szCs w:val="22"/>
                <w:lang w:val="en-US" w:bidi="en-US"/>
              </w:rPr>
            </w:pPr>
            <w:r w:rsidRPr="00CB427F">
              <w:rPr>
                <w:rFonts w:eastAsia="Calibri" w:cs="Times New Roman"/>
                <w:iCs/>
                <w:szCs w:val="22"/>
                <w:lang w:val="en-US" w:bidi="en-US"/>
              </w:rPr>
              <w:t xml:space="preserve">Monthly: On a monthly basis the actual level of the metric is compared only to the BHC Baseline scenario limit and trigger. </w:t>
            </w:r>
          </w:p>
          <w:p w:rsidR="00F92D0F" w:rsidRDefault="00ED1FF6" w:rsidP="00F92D0F">
            <w:pPr>
              <w:spacing w:after="0" w:line="240" w:lineRule="auto"/>
              <w:jc w:val="center"/>
              <w:rPr>
                <w:rFonts w:asciiTheme="minorHAnsi" w:eastAsiaTheme="minorHAnsi" w:hAnsiTheme="minorHAnsi" w:cs="Arial"/>
                <w:iCs/>
              </w:rPr>
            </w:pPr>
            <m:oMath>
              <m:f>
                <m:fPr>
                  <m:ctrlPr>
                    <w:rPr>
                      <w:rFonts w:ascii="Cambria Math" w:eastAsiaTheme="minorHAnsi" w:hAnsi="Cambria Math" w:cs="Arial"/>
                      <w:i/>
                      <w:iCs/>
                      <w:sz w:val="28"/>
                      <w:szCs w:val="28"/>
                    </w:rPr>
                  </m:ctrlPr>
                </m:fPr>
                <m:num>
                  <m:r>
                    <w:rPr>
                      <w:rFonts w:ascii="Cambria Math" w:eastAsiaTheme="minorHAnsi" w:hAnsi="Cambria Math" w:cs="Arial"/>
                      <w:sz w:val="28"/>
                      <w:szCs w:val="28"/>
                    </w:rPr>
                    <m:t>CET1</m:t>
                  </m:r>
                </m:num>
                <m:den>
                  <m:r>
                    <w:rPr>
                      <w:rFonts w:ascii="Cambria Math" w:eastAsiaTheme="minorHAnsi" w:hAnsi="Cambria Math" w:cs="Arial"/>
                      <w:sz w:val="28"/>
                      <w:szCs w:val="28"/>
                    </w:rPr>
                    <m:t>Total Risk Weighted Assets</m:t>
                  </m:r>
                </m:den>
              </m:f>
            </m:oMath>
            <w:r w:rsidR="00F92D0F" w:rsidRPr="00CB427F">
              <w:rPr>
                <w:rFonts w:asciiTheme="minorHAnsi" w:eastAsiaTheme="minorHAnsi" w:hAnsiTheme="minorHAnsi" w:cs="Arial"/>
                <w:iCs/>
              </w:rPr>
              <w:t xml:space="preserve"> </w:t>
            </w:r>
          </w:p>
          <w:p w:rsidR="00F92D0F" w:rsidRPr="00CB427F" w:rsidDel="00744A1B" w:rsidRDefault="00F92D0F" w:rsidP="00F92D0F">
            <w:pPr>
              <w:spacing w:after="0" w:line="240" w:lineRule="auto"/>
              <w:jc w:val="center"/>
              <w:rPr>
                <w:rFonts w:asciiTheme="minorHAnsi" w:eastAsiaTheme="minorHAnsi" w:hAnsiTheme="minorHAnsi" w:cs="Arial"/>
                <w:iCs/>
              </w:rPr>
            </w:pPr>
          </w:p>
        </w:tc>
      </w:tr>
      <w:tr w:rsidR="00F92D0F" w:rsidRPr="00CB427F" w:rsidTr="00F92D0F">
        <w:trPr>
          <w:trHeight w:val="510"/>
        </w:trPr>
        <w:tc>
          <w:tcPr>
            <w:tcW w:w="1728" w:type="dxa"/>
            <w:shd w:val="clear" w:color="auto" w:fill="auto"/>
          </w:tcPr>
          <w:p w:rsidR="00F92D0F" w:rsidRPr="00CB427F" w:rsidRDefault="00F92D0F" w:rsidP="00F92D0F">
            <w:pPr>
              <w:ind w:left="-60"/>
              <w:rPr>
                <w:rFonts w:asciiTheme="minorHAnsi" w:hAnsiTheme="minorHAnsi"/>
                <w:b/>
                <w:bCs/>
                <w:iCs/>
              </w:rPr>
            </w:pPr>
            <w:r w:rsidRPr="00CB427F" w:rsidDel="00EA647D">
              <w:rPr>
                <w:rFonts w:asciiTheme="minorHAnsi" w:hAnsiTheme="minorHAnsi"/>
                <w:b/>
                <w:bCs/>
                <w:iCs/>
              </w:rPr>
              <w:t>SOURCE OF INFORMATION</w:t>
            </w:r>
          </w:p>
        </w:tc>
        <w:tc>
          <w:tcPr>
            <w:tcW w:w="7470" w:type="dxa"/>
            <w:gridSpan w:val="3"/>
            <w:shd w:val="clear" w:color="auto" w:fill="auto"/>
          </w:tcPr>
          <w:p w:rsidR="00F92D0F" w:rsidRPr="00CB427F" w:rsidRDefault="00F92D0F" w:rsidP="00F92D0F">
            <w:pPr>
              <w:numPr>
                <w:ilvl w:val="0"/>
                <w:numId w:val="2"/>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Capital Policy levels: Capital team for each entity, based on the capital policy in effect at the time of the RAS submission</w:t>
            </w:r>
          </w:p>
          <w:p w:rsidR="00F92D0F" w:rsidRPr="00CB427F" w:rsidRDefault="00F92D0F" w:rsidP="00F92D0F">
            <w:pPr>
              <w:numPr>
                <w:ilvl w:val="0"/>
                <w:numId w:val="2"/>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Annual CCAR: CCAR Team. Taken from the Y14A spreadsheet</w:t>
            </w:r>
          </w:p>
          <w:p w:rsidR="00F92D0F" w:rsidRPr="00CB427F" w:rsidRDefault="00F92D0F" w:rsidP="00F92D0F">
            <w:pPr>
              <w:numPr>
                <w:ilvl w:val="0"/>
                <w:numId w:val="2"/>
              </w:numPr>
              <w:spacing w:after="0" w:line="240" w:lineRule="auto"/>
              <w:contextualSpacing/>
              <w:rPr>
                <w:rFonts w:asciiTheme="minorHAnsi" w:eastAsiaTheme="minorHAnsi" w:hAnsiTheme="minorHAnsi" w:cstheme="minorBidi"/>
                <w:bCs/>
                <w:iCs/>
                <w:szCs w:val="24"/>
              </w:rPr>
            </w:pPr>
            <w:r w:rsidRPr="00CB427F">
              <w:rPr>
                <w:rFonts w:asciiTheme="minorHAnsi" w:eastAsiaTheme="minorHAnsi" w:hAnsiTheme="minorHAnsi" w:cstheme="minorBidi"/>
                <w:bCs/>
                <w:iCs/>
                <w:szCs w:val="24"/>
              </w:rPr>
              <w:t>Mid-cycle: CCAR Team. Taken from the Y14A spreadsheet</w:t>
            </w:r>
          </w:p>
          <w:p w:rsidR="00F92D0F" w:rsidRPr="00CB427F" w:rsidRDefault="00F92D0F" w:rsidP="00F92D0F">
            <w:pPr>
              <w:numPr>
                <w:ilvl w:val="0"/>
                <w:numId w:val="2"/>
              </w:numPr>
              <w:spacing w:after="0" w:line="240" w:lineRule="auto"/>
              <w:contextualSpacing/>
              <w:rPr>
                <w:rFonts w:asciiTheme="minorHAnsi" w:hAnsiTheme="minorHAnsi"/>
                <w:bCs/>
                <w:iCs/>
              </w:rPr>
            </w:pPr>
            <w:r w:rsidRPr="00CB427F">
              <w:rPr>
                <w:rFonts w:asciiTheme="minorHAnsi" w:hAnsiTheme="minorHAnsi"/>
                <w:iCs/>
                <w:lang w:bidi="en-US"/>
              </w:rPr>
              <w:t>Strategic Plan</w:t>
            </w:r>
            <w:r w:rsidRPr="00CB427F">
              <w:rPr>
                <w:rFonts w:asciiTheme="minorHAnsi" w:eastAsiaTheme="minorHAnsi" w:hAnsiTheme="minorHAnsi" w:cstheme="minorBidi"/>
                <w:bCs/>
                <w:iCs/>
                <w:szCs w:val="24"/>
              </w:rPr>
              <w:t xml:space="preserve">: Strategic and Capital planning team </w:t>
            </w:r>
          </w:p>
          <w:p w:rsidR="00F92D0F" w:rsidRPr="00CB427F" w:rsidRDefault="00F92D0F" w:rsidP="00F92D0F">
            <w:pPr>
              <w:numPr>
                <w:ilvl w:val="0"/>
                <w:numId w:val="2"/>
              </w:numPr>
              <w:spacing w:after="0" w:line="240" w:lineRule="auto"/>
              <w:contextualSpacing/>
              <w:rPr>
                <w:rFonts w:asciiTheme="minorHAnsi" w:hAnsiTheme="minorHAnsi"/>
                <w:bCs/>
                <w:iCs/>
              </w:rPr>
            </w:pPr>
            <w:r w:rsidRPr="00CB427F">
              <w:rPr>
                <w:rFonts w:asciiTheme="minorHAnsi" w:eastAsiaTheme="minorHAnsi" w:hAnsiTheme="minorHAnsi" w:cstheme="minorBidi"/>
                <w:bCs/>
                <w:iCs/>
                <w:szCs w:val="24"/>
              </w:rPr>
              <w:t>The monthly values for the SHUSA and SBNA Capital metrics are generated by Regulatory Capital and are made available through their SharePoint site each month.</w:t>
            </w:r>
          </w:p>
          <w:p w:rsidR="00F92D0F" w:rsidRPr="00FD587F" w:rsidRDefault="00F92D0F" w:rsidP="00F92D0F">
            <w:pPr>
              <w:pStyle w:val="ListParagraph"/>
              <w:numPr>
                <w:ilvl w:val="0"/>
                <w:numId w:val="2"/>
              </w:numPr>
              <w:spacing w:after="0" w:line="240" w:lineRule="auto"/>
              <w:rPr>
                <w:szCs w:val="22"/>
              </w:rPr>
            </w:pPr>
            <w:r w:rsidRPr="00FD587F">
              <w:rPr>
                <w:bCs/>
                <w:iCs/>
              </w:rPr>
              <w:t>The monthly values for the SC metric are generated by SC</w:t>
            </w:r>
            <w:r w:rsidRPr="00FD587F">
              <w:rPr>
                <w:iCs/>
                <w:szCs w:val="22"/>
                <w:lang w:val="en-US"/>
              </w:rPr>
              <w:t xml:space="preserve"> Regulatory Reporting through the monthly Schedule HC-R – Regulatory Capital report.</w:t>
            </w:r>
          </w:p>
        </w:tc>
      </w:tr>
    </w:tbl>
    <w:p w:rsidR="00F92D0F" w:rsidRDefault="00F92D0F" w:rsidP="00F92D0F">
      <w:pPr>
        <w:pStyle w:val="ListParagraph"/>
        <w:ind w:left="680"/>
        <w:rPr>
          <w:lang w:val="en-US" w:bidi="en-US"/>
        </w:rPr>
      </w:pPr>
    </w:p>
    <w:p w:rsidR="003C1E8B" w:rsidRPr="00B36372" w:rsidRDefault="003C1E8B" w:rsidP="003C1E8B">
      <w:pPr>
        <w:pStyle w:val="ListParagraph"/>
        <w:numPr>
          <w:ilvl w:val="1"/>
          <w:numId w:val="1"/>
        </w:numPr>
        <w:rPr>
          <w:b/>
          <w:sz w:val="24"/>
        </w:rPr>
      </w:pPr>
      <w:r w:rsidRPr="00B36372">
        <w:rPr>
          <w:b/>
          <w:sz w:val="24"/>
        </w:rPr>
        <w:t>Tier 1 Leverage (T1L) Ratio (Baseline and stress)</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firstRow="0" w:lastRow="0" w:firstColumn="0" w:lastColumn="0" w:noHBand="0" w:noVBand="0"/>
      </w:tblPr>
      <w:tblGrid>
        <w:gridCol w:w="1728"/>
        <w:gridCol w:w="2490"/>
        <w:gridCol w:w="2490"/>
        <w:gridCol w:w="2490"/>
      </w:tblGrid>
      <w:tr w:rsidR="00F92D0F" w:rsidRPr="00206D41" w:rsidTr="00F92D0F">
        <w:trPr>
          <w:trHeight w:val="390"/>
        </w:trPr>
        <w:tc>
          <w:tcPr>
            <w:tcW w:w="1728" w:type="dxa"/>
            <w:shd w:val="clear" w:color="auto" w:fill="auto"/>
          </w:tcPr>
          <w:p w:rsidR="00F92D0F" w:rsidRPr="00206D41" w:rsidRDefault="00F92D0F" w:rsidP="00F92D0F">
            <w:pPr>
              <w:rPr>
                <w:b/>
                <w:bCs/>
                <w:iCs/>
              </w:rPr>
            </w:pPr>
            <w:r>
              <w:rPr>
                <w:b/>
                <w:bCs/>
                <w:iCs/>
              </w:rPr>
              <w:t>DEFINITION</w:t>
            </w:r>
          </w:p>
        </w:tc>
        <w:tc>
          <w:tcPr>
            <w:tcW w:w="7470" w:type="dxa"/>
            <w:gridSpan w:val="3"/>
            <w:shd w:val="clear" w:color="auto" w:fill="auto"/>
          </w:tcPr>
          <w:p w:rsidR="00F92D0F" w:rsidRPr="00206D41" w:rsidRDefault="00F92D0F" w:rsidP="00F92D0F">
            <w:pPr>
              <w:spacing w:after="0" w:line="240" w:lineRule="auto"/>
              <w:rPr>
                <w:b/>
                <w:color w:val="000000" w:themeColor="text1"/>
              </w:rPr>
            </w:pPr>
            <w:r>
              <w:rPr>
                <w:rFonts w:asciiTheme="minorHAnsi" w:eastAsiaTheme="minorHAnsi" w:hAnsiTheme="minorHAnsi" w:cstheme="minorBidi"/>
                <w:iCs/>
              </w:rPr>
              <w:t xml:space="preserve">The minimum ratio of T1L </w:t>
            </w:r>
            <w:r>
              <w:rPr>
                <w:bCs/>
                <w:iCs/>
              </w:rPr>
              <w:t>to Adjusted Average Assets</w:t>
            </w:r>
            <w:r w:rsidRPr="00206D41">
              <w:rPr>
                <w:bCs/>
                <w:iCs/>
              </w:rPr>
              <w:t xml:space="preserve"> under </w:t>
            </w:r>
            <w:r w:rsidRPr="00216A36">
              <w:rPr>
                <w:bCs/>
                <w:iCs/>
              </w:rPr>
              <w:t>Base</w:t>
            </w:r>
            <w:r>
              <w:rPr>
                <w:bCs/>
                <w:iCs/>
              </w:rPr>
              <w:t>line</w:t>
            </w:r>
            <w:r w:rsidRPr="00216A36">
              <w:rPr>
                <w:bCs/>
                <w:iCs/>
              </w:rPr>
              <w:t xml:space="preserve"> and Stressed </w:t>
            </w:r>
            <w:r w:rsidRPr="00206D41">
              <w:rPr>
                <w:bCs/>
                <w:iCs/>
              </w:rPr>
              <w:t>conditions</w:t>
            </w:r>
          </w:p>
        </w:tc>
      </w:tr>
      <w:tr w:rsidR="00713D83" w:rsidRPr="00206D41" w:rsidTr="00F92D0F">
        <w:trPr>
          <w:trHeight w:val="462"/>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r w:rsidR="00B36372">
              <w:rPr>
                <w:bCs/>
                <w:iCs/>
              </w:rPr>
              <w:t xml:space="preserve"> metric calculation</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ENTITY</w:t>
            </w:r>
          </w:p>
        </w:tc>
        <w:tc>
          <w:tcPr>
            <w:tcW w:w="2490" w:type="dxa"/>
            <w:shd w:val="clear" w:color="auto" w:fill="auto"/>
          </w:tcPr>
          <w:p w:rsidR="00F92D0F" w:rsidRPr="00037DD3" w:rsidRDefault="00F92D0F" w:rsidP="00F92D0F">
            <w:pPr>
              <w:spacing w:after="0" w:line="240" w:lineRule="auto"/>
              <w:rPr>
                <w:b/>
                <w:bCs/>
                <w:iCs/>
              </w:rPr>
            </w:pPr>
            <w:r w:rsidRPr="00037DD3">
              <w:rPr>
                <w:b/>
                <w:bCs/>
                <w:iCs/>
              </w:rPr>
              <w:t>SHUSA</w:t>
            </w:r>
          </w:p>
        </w:tc>
        <w:tc>
          <w:tcPr>
            <w:tcW w:w="2490" w:type="dxa"/>
            <w:shd w:val="clear" w:color="auto" w:fill="auto"/>
          </w:tcPr>
          <w:p w:rsidR="00F92D0F" w:rsidRPr="00037DD3" w:rsidRDefault="00F92D0F" w:rsidP="00F92D0F">
            <w:pPr>
              <w:spacing w:after="0" w:line="240" w:lineRule="auto"/>
              <w:rPr>
                <w:b/>
                <w:bCs/>
                <w:iCs/>
              </w:rPr>
            </w:pPr>
            <w:r w:rsidRPr="00037DD3">
              <w:rPr>
                <w:b/>
                <w:bCs/>
                <w:iCs/>
              </w:rPr>
              <w:t>SBNA</w:t>
            </w:r>
          </w:p>
        </w:tc>
        <w:tc>
          <w:tcPr>
            <w:tcW w:w="2490" w:type="dxa"/>
            <w:shd w:val="clear" w:color="auto" w:fill="auto"/>
          </w:tcPr>
          <w:p w:rsidR="00F92D0F" w:rsidRPr="00037DD3" w:rsidRDefault="00F92D0F" w:rsidP="00F92D0F">
            <w:pPr>
              <w:spacing w:after="0" w:line="240" w:lineRule="auto"/>
              <w:rPr>
                <w:b/>
                <w:bCs/>
                <w:iCs/>
              </w:rPr>
            </w:pPr>
            <w:r w:rsidRPr="00037DD3">
              <w:rPr>
                <w:b/>
                <w:bCs/>
                <w:iCs/>
              </w:rPr>
              <w:t>SC</w:t>
            </w:r>
          </w:p>
        </w:tc>
      </w:tr>
      <w:tr w:rsidR="00F92D0F" w:rsidRPr="00206D41" w:rsidTr="00F92D0F">
        <w:trPr>
          <w:trHeight w:val="270"/>
        </w:trPr>
        <w:tc>
          <w:tcPr>
            <w:tcW w:w="1728" w:type="dxa"/>
            <w:vMerge/>
            <w:shd w:val="clear" w:color="auto" w:fill="auto"/>
          </w:tcPr>
          <w:p w:rsidR="00F92D0F"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No</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METRIC OWNER</w:t>
            </w:r>
          </w:p>
        </w:tc>
        <w:tc>
          <w:tcPr>
            <w:tcW w:w="2490" w:type="dxa"/>
            <w:shd w:val="clear" w:color="auto" w:fill="auto"/>
          </w:tcPr>
          <w:p w:rsidR="00F92D0F" w:rsidRPr="00037DD3" w:rsidRDefault="00F92D0F" w:rsidP="00F92D0F">
            <w:pPr>
              <w:spacing w:after="0" w:line="240" w:lineRule="auto"/>
              <w:rPr>
                <w:b/>
                <w:bCs/>
                <w:iCs/>
              </w:rPr>
            </w:pPr>
            <w:r w:rsidRPr="00037DD3">
              <w:rPr>
                <w:b/>
                <w:bCs/>
                <w:iCs/>
              </w:rPr>
              <w:t>SHUSA</w:t>
            </w:r>
          </w:p>
        </w:tc>
        <w:tc>
          <w:tcPr>
            <w:tcW w:w="2490" w:type="dxa"/>
            <w:shd w:val="clear" w:color="auto" w:fill="auto"/>
          </w:tcPr>
          <w:p w:rsidR="00F92D0F" w:rsidRPr="00037DD3" w:rsidRDefault="00F92D0F" w:rsidP="00F92D0F">
            <w:pPr>
              <w:spacing w:after="0" w:line="240" w:lineRule="auto"/>
              <w:rPr>
                <w:b/>
                <w:bCs/>
                <w:iCs/>
              </w:rPr>
            </w:pPr>
            <w:r w:rsidRPr="00037DD3">
              <w:rPr>
                <w:b/>
                <w:bCs/>
                <w:iCs/>
              </w:rPr>
              <w:t>SBNA</w:t>
            </w:r>
          </w:p>
        </w:tc>
        <w:tc>
          <w:tcPr>
            <w:tcW w:w="2490" w:type="dxa"/>
            <w:shd w:val="clear" w:color="auto" w:fill="auto"/>
          </w:tcPr>
          <w:p w:rsidR="00F92D0F" w:rsidRPr="00037DD3" w:rsidRDefault="00F92D0F" w:rsidP="00F92D0F">
            <w:pPr>
              <w:spacing w:after="0" w:line="240" w:lineRule="auto"/>
              <w:rPr>
                <w:b/>
                <w:bCs/>
                <w:iCs/>
              </w:rPr>
            </w:pPr>
            <w:r w:rsidRPr="00037DD3">
              <w:rPr>
                <w:b/>
                <w:bCs/>
                <w:iCs/>
              </w:rPr>
              <w:t>SC</w:t>
            </w:r>
          </w:p>
        </w:tc>
      </w:tr>
      <w:tr w:rsidR="00F92D0F" w:rsidRPr="00206D41" w:rsidTr="00F92D0F">
        <w:trPr>
          <w:trHeight w:val="252"/>
        </w:trPr>
        <w:tc>
          <w:tcPr>
            <w:tcW w:w="1728" w:type="dxa"/>
            <w:vMerge/>
            <w:shd w:val="clear" w:color="auto" w:fill="auto"/>
          </w:tcPr>
          <w:p w:rsidR="00F92D0F" w:rsidRPr="00206D41"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SHUSA Director of Capital Policy</w:t>
            </w:r>
          </w:p>
        </w:tc>
        <w:tc>
          <w:tcPr>
            <w:tcW w:w="2490" w:type="dxa"/>
            <w:shd w:val="clear" w:color="auto" w:fill="auto"/>
          </w:tcPr>
          <w:p w:rsidR="00F92D0F" w:rsidRPr="00F95F1B" w:rsidRDefault="00F92D0F" w:rsidP="00F92D0F">
            <w:pPr>
              <w:spacing w:after="0" w:line="240" w:lineRule="auto"/>
              <w:rPr>
                <w:bCs/>
                <w:iCs/>
              </w:rPr>
            </w:pPr>
            <w:r>
              <w:rPr>
                <w:bCs/>
                <w:iCs/>
              </w:rPr>
              <w:t>SBNA</w:t>
            </w:r>
            <w:r w:rsidRPr="00F95F1B">
              <w:rPr>
                <w:bCs/>
                <w:iCs/>
              </w:rPr>
              <w:t xml:space="preserve"> Director of Capital Policy</w:t>
            </w:r>
          </w:p>
        </w:tc>
        <w:tc>
          <w:tcPr>
            <w:tcW w:w="2490" w:type="dxa"/>
            <w:shd w:val="clear" w:color="auto" w:fill="auto"/>
          </w:tcPr>
          <w:p w:rsidR="00F92D0F" w:rsidRPr="00F95F1B" w:rsidRDefault="00F92D0F" w:rsidP="00F92D0F">
            <w:pPr>
              <w:spacing w:after="0" w:line="240" w:lineRule="auto"/>
              <w:rPr>
                <w:bCs/>
                <w:iCs/>
              </w:rPr>
            </w:pPr>
            <w:r>
              <w:rPr>
                <w:bCs/>
                <w:iCs/>
              </w:rPr>
              <w:t>N/A</w:t>
            </w:r>
          </w:p>
        </w:tc>
      </w:tr>
      <w:tr w:rsidR="00F92D0F" w:rsidRPr="00206D41" w:rsidTr="00F92D0F">
        <w:trPr>
          <w:trHeight w:val="510"/>
        </w:trPr>
        <w:tc>
          <w:tcPr>
            <w:tcW w:w="1728" w:type="dxa"/>
            <w:shd w:val="clear" w:color="auto" w:fill="auto"/>
          </w:tcPr>
          <w:p w:rsidR="00F92D0F" w:rsidRPr="005B0BAF" w:rsidRDefault="00F92D0F" w:rsidP="00F92D0F">
            <w:pPr>
              <w:ind w:left="-60"/>
              <w:rPr>
                <w:rFonts w:asciiTheme="minorHAnsi" w:hAnsiTheme="minorHAnsi"/>
                <w:b/>
                <w:bCs/>
                <w:iCs/>
              </w:rPr>
            </w:pPr>
            <w:r w:rsidRPr="005B0BAF">
              <w:rPr>
                <w:rFonts w:asciiTheme="minorHAnsi" w:hAnsiTheme="minorHAnsi"/>
                <w:b/>
                <w:bCs/>
                <w:iCs/>
              </w:rPr>
              <w:t>TRIGGER AND LIMIT SETTING</w:t>
            </w:r>
          </w:p>
        </w:tc>
        <w:tc>
          <w:tcPr>
            <w:tcW w:w="7470" w:type="dxa"/>
            <w:gridSpan w:val="3"/>
            <w:shd w:val="clear" w:color="auto" w:fill="auto"/>
          </w:tcPr>
          <w:p w:rsidR="00F92D0F" w:rsidRPr="00EB0A0D" w:rsidRDefault="00F92D0F" w:rsidP="00F92D0F">
            <w:pPr>
              <w:spacing w:after="0" w:line="240" w:lineRule="auto"/>
              <w:rPr>
                <w:iCs/>
                <w:lang w:bidi="en-US"/>
              </w:rPr>
            </w:pPr>
            <w:r w:rsidRPr="00EB0A0D">
              <w:rPr>
                <w:iCs/>
                <w:lang w:bidi="en-US"/>
              </w:rPr>
              <w:t xml:space="preserve">The Amber trigger and Red limit for </w:t>
            </w:r>
            <w:r>
              <w:rPr>
                <w:iCs/>
                <w:lang w:bidi="en-US"/>
              </w:rPr>
              <w:t>T1L</w:t>
            </w:r>
            <w:r w:rsidRPr="00EB0A0D">
              <w:rPr>
                <w:iCs/>
                <w:lang w:bidi="en-US"/>
              </w:rPr>
              <w:t xml:space="preserve"> are set annually based on the Entity’s approved </w:t>
            </w:r>
            <w:r>
              <w:rPr>
                <w:iCs/>
                <w:lang w:bidi="en-US"/>
              </w:rPr>
              <w:t>T1L</w:t>
            </w:r>
            <w:r w:rsidRPr="00EB0A0D">
              <w:rPr>
                <w:iCs/>
                <w:lang w:bidi="en-US"/>
              </w:rPr>
              <w:t xml:space="preserve"> Capital Policy ratios at time of RAS setting:</w:t>
            </w:r>
          </w:p>
          <w:p w:rsidR="00F92D0F" w:rsidRPr="00F34844" w:rsidRDefault="00F92D0F" w:rsidP="00F92D0F">
            <w:pPr>
              <w:pStyle w:val="ListParagraph"/>
              <w:numPr>
                <w:ilvl w:val="0"/>
                <w:numId w:val="2"/>
              </w:numPr>
              <w:spacing w:after="0" w:line="240" w:lineRule="auto"/>
              <w:rPr>
                <w:rFonts w:eastAsia="Calibri" w:cs="Times New Roman"/>
                <w:iCs/>
                <w:szCs w:val="22"/>
                <w:lang w:val="en-US" w:bidi="en-US"/>
              </w:rPr>
            </w:pPr>
            <w:r w:rsidRPr="00F34844">
              <w:rPr>
                <w:rFonts w:eastAsia="Calibri" w:cs="Times New Roman"/>
                <w:iCs/>
                <w:szCs w:val="22"/>
                <w:lang w:val="en-US" w:bidi="en-US"/>
              </w:rPr>
              <w:t>BHC Baseline scenario:</w:t>
            </w:r>
            <w:r>
              <w:rPr>
                <w:rFonts w:eastAsia="Calibri" w:cs="Times New Roman"/>
                <w:iCs/>
                <w:szCs w:val="22"/>
                <w:lang w:val="en-US" w:bidi="en-US"/>
              </w:rPr>
              <w:t xml:space="preserve"> Trigger is ratio for </w:t>
            </w:r>
            <w:r w:rsidRPr="00F34844">
              <w:rPr>
                <w:rFonts w:eastAsia="Calibri" w:cs="Times New Roman"/>
                <w:iCs/>
                <w:szCs w:val="22"/>
                <w:lang w:val="en-US" w:bidi="en-US"/>
              </w:rPr>
              <w:t xml:space="preserve">“use for capital expectations”; </w:t>
            </w:r>
            <w:r>
              <w:rPr>
                <w:rFonts w:eastAsia="Calibri" w:cs="Times New Roman"/>
                <w:iCs/>
                <w:szCs w:val="22"/>
                <w:lang w:val="en-US" w:bidi="en-US"/>
              </w:rPr>
              <w:t>L</w:t>
            </w:r>
            <w:r w:rsidRPr="00F34844">
              <w:rPr>
                <w:rFonts w:eastAsia="Calibri" w:cs="Times New Roman"/>
                <w:iCs/>
                <w:szCs w:val="22"/>
                <w:lang w:val="en-US" w:bidi="en-US"/>
              </w:rPr>
              <w:t>imit</w:t>
            </w:r>
            <w:r>
              <w:rPr>
                <w:rFonts w:eastAsia="Calibri" w:cs="Times New Roman"/>
                <w:iCs/>
                <w:szCs w:val="22"/>
                <w:lang w:val="en-US" w:bidi="en-US"/>
              </w:rPr>
              <w:t xml:space="preserve"> is</w:t>
            </w:r>
            <w:r w:rsidRPr="00F34844">
              <w:rPr>
                <w:rFonts w:eastAsia="Calibri" w:cs="Times New Roman"/>
                <w:iCs/>
                <w:szCs w:val="22"/>
                <w:lang w:val="en-US" w:bidi="en-US"/>
              </w:rPr>
              <w:t xml:space="preserve"> </w:t>
            </w:r>
            <w:r>
              <w:rPr>
                <w:rFonts w:eastAsia="Calibri" w:cs="Times New Roman"/>
                <w:iCs/>
                <w:szCs w:val="22"/>
                <w:lang w:val="en-US" w:bidi="en-US"/>
              </w:rPr>
              <w:t>“</w:t>
            </w:r>
            <w:r w:rsidRPr="00F34844">
              <w:rPr>
                <w:rFonts w:eastAsia="Calibri" w:cs="Times New Roman"/>
                <w:iCs/>
                <w:szCs w:val="22"/>
                <w:lang w:val="en-US" w:bidi="en-US"/>
              </w:rPr>
              <w:t>internal business-as-usual minimum</w:t>
            </w:r>
            <w:r>
              <w:rPr>
                <w:rFonts w:eastAsia="Calibri" w:cs="Times New Roman"/>
                <w:iCs/>
                <w:szCs w:val="22"/>
                <w:lang w:val="en-US" w:bidi="en-US"/>
              </w:rPr>
              <w:t>”</w:t>
            </w:r>
            <w:r w:rsidRPr="00F34844">
              <w:rPr>
                <w:rFonts w:eastAsia="Calibri" w:cs="Times New Roman"/>
                <w:iCs/>
                <w:szCs w:val="22"/>
                <w:lang w:val="en-US" w:bidi="en-US"/>
              </w:rPr>
              <w:t>.</w:t>
            </w:r>
          </w:p>
          <w:p w:rsidR="00F92D0F" w:rsidRPr="00F34844" w:rsidRDefault="00F92D0F" w:rsidP="00F92D0F">
            <w:pPr>
              <w:pStyle w:val="ListParagraph"/>
              <w:numPr>
                <w:ilvl w:val="0"/>
                <w:numId w:val="2"/>
              </w:numPr>
              <w:spacing w:after="0" w:line="240" w:lineRule="auto"/>
              <w:rPr>
                <w:rFonts w:eastAsia="Calibri" w:cs="Times New Roman"/>
                <w:iCs/>
                <w:szCs w:val="22"/>
                <w:lang w:val="en-US" w:bidi="en-US"/>
              </w:rPr>
            </w:pPr>
            <w:r w:rsidRPr="00EB0A0D">
              <w:rPr>
                <w:rFonts w:eastAsia="Calibri" w:cs="Times New Roman"/>
                <w:iCs/>
                <w:szCs w:val="22"/>
                <w:lang w:val="en-US" w:bidi="en-US"/>
              </w:rPr>
              <w:t>BHC Stress scenario: Trigger is ratio “internal post-stress minimum level”; Limit is “well capitalized” Prompt Corrective Action level.</w:t>
            </w:r>
          </w:p>
        </w:tc>
      </w:tr>
      <w:tr w:rsidR="00F92D0F" w:rsidRPr="00206D41" w:rsidTr="00F92D0F">
        <w:trPr>
          <w:trHeight w:val="510"/>
        </w:trPr>
        <w:tc>
          <w:tcPr>
            <w:tcW w:w="1728" w:type="dxa"/>
            <w:shd w:val="clear" w:color="auto" w:fill="auto"/>
          </w:tcPr>
          <w:p w:rsidR="00F92D0F" w:rsidRPr="005B0BAF" w:rsidRDefault="00F92D0F" w:rsidP="00F92D0F">
            <w:pPr>
              <w:ind w:left="-60"/>
              <w:rPr>
                <w:rFonts w:asciiTheme="minorHAnsi" w:hAnsiTheme="minorHAnsi"/>
                <w:b/>
                <w:bCs/>
                <w:iCs/>
              </w:rPr>
            </w:pPr>
            <w:r w:rsidRPr="005B0BAF">
              <w:rPr>
                <w:rFonts w:asciiTheme="minorHAnsi" w:hAnsiTheme="minorHAnsi"/>
                <w:b/>
                <w:bCs/>
                <w:iCs/>
              </w:rPr>
              <w:t>TESTING FREQUENCY</w:t>
            </w:r>
          </w:p>
        </w:tc>
        <w:tc>
          <w:tcPr>
            <w:tcW w:w="7470" w:type="dxa"/>
            <w:gridSpan w:val="3"/>
            <w:shd w:val="clear" w:color="auto" w:fill="auto"/>
          </w:tcPr>
          <w:p w:rsidR="00F92D0F" w:rsidRDefault="00F92D0F" w:rsidP="00F92D0F">
            <w:pPr>
              <w:pStyle w:val="ListParagraph"/>
              <w:numPr>
                <w:ilvl w:val="0"/>
                <w:numId w:val="2"/>
              </w:numPr>
              <w:spacing w:before="120" w:after="120" w:line="240" w:lineRule="auto"/>
              <w:rPr>
                <w:rFonts w:eastAsia="Calibri" w:cs="Times New Roman"/>
                <w:iCs/>
                <w:szCs w:val="22"/>
                <w:lang w:val="en-US" w:bidi="en-US"/>
              </w:rPr>
            </w:pPr>
            <w:r w:rsidRPr="005B0BAF">
              <w:rPr>
                <w:rFonts w:eastAsia="Calibri" w:cs="Times New Roman"/>
                <w:iCs/>
                <w:szCs w:val="22"/>
                <w:lang w:val="en-US" w:bidi="en-US"/>
              </w:rPr>
              <w:t xml:space="preserve">Annually/CCAR output: The lowest value of the 9 quarters covered by the CCAR exercise </w:t>
            </w:r>
            <w:r>
              <w:rPr>
                <w:rFonts w:eastAsia="Calibri" w:cs="Times New Roman"/>
                <w:iCs/>
                <w:szCs w:val="22"/>
                <w:lang w:val="en-US" w:bidi="en-US"/>
              </w:rPr>
              <w:t>is</w:t>
            </w:r>
            <w:r w:rsidRPr="005B0BAF">
              <w:rPr>
                <w:rFonts w:eastAsia="Calibri" w:cs="Times New Roman"/>
                <w:iCs/>
                <w:szCs w:val="22"/>
                <w:lang w:val="en-US" w:bidi="en-US"/>
              </w:rPr>
              <w:t xml:space="preserve"> compared to the trigger</w:t>
            </w:r>
            <w:r>
              <w:rPr>
                <w:rFonts w:eastAsia="Calibri" w:cs="Times New Roman"/>
                <w:iCs/>
                <w:szCs w:val="22"/>
                <w:lang w:val="en-US" w:bidi="en-US"/>
              </w:rPr>
              <w:t xml:space="preserve"> and limit derived from the application of the Capital Policy (see above)</w:t>
            </w:r>
            <w:r w:rsidRPr="005B0BAF">
              <w:rPr>
                <w:rFonts w:eastAsia="Calibri" w:cs="Times New Roman"/>
                <w:iCs/>
                <w:szCs w:val="22"/>
                <w:lang w:val="en-US" w:bidi="en-US"/>
              </w:rPr>
              <w:t xml:space="preserve">. The RAS will be presented for annual review with the CCAR outputs compared to the </w:t>
            </w:r>
            <w:r>
              <w:rPr>
                <w:rFonts w:eastAsia="Calibri" w:cs="Times New Roman"/>
                <w:iCs/>
                <w:szCs w:val="22"/>
                <w:lang w:val="en-US" w:bidi="en-US"/>
              </w:rPr>
              <w:t xml:space="preserve">proposed </w:t>
            </w:r>
            <w:r w:rsidRPr="005B0BAF">
              <w:rPr>
                <w:rFonts w:eastAsia="Calibri" w:cs="Times New Roman"/>
                <w:iCs/>
                <w:szCs w:val="22"/>
                <w:lang w:val="en-US" w:bidi="en-US"/>
              </w:rPr>
              <w:t>trigger and limit.</w:t>
            </w:r>
          </w:p>
          <w:p w:rsidR="00F92D0F" w:rsidRDefault="00F92D0F" w:rsidP="00F92D0F">
            <w:pPr>
              <w:pStyle w:val="ListParagraph"/>
              <w:numPr>
                <w:ilvl w:val="0"/>
                <w:numId w:val="2"/>
              </w:numPr>
              <w:spacing w:before="120" w:after="120" w:line="240" w:lineRule="auto"/>
              <w:rPr>
                <w:rFonts w:eastAsia="Calibri" w:cs="Times New Roman"/>
                <w:iCs/>
                <w:szCs w:val="22"/>
                <w:lang w:val="en-US" w:bidi="en-US"/>
              </w:rPr>
            </w:pPr>
            <w:r>
              <w:rPr>
                <w:rFonts w:eastAsia="Calibri" w:cs="Times New Roman"/>
                <w:iCs/>
                <w:szCs w:val="22"/>
                <w:lang w:val="en-US" w:bidi="en-US"/>
              </w:rPr>
              <w:t>Mid-cycle: The lowest value of the 9 quarters covered  by the Mid-cycle exercise is compared to the trigger and limit derived from the application of the Capital Policy</w:t>
            </w:r>
          </w:p>
          <w:p w:rsidR="00F92D0F" w:rsidRPr="005B0BAF" w:rsidRDefault="00F92D0F" w:rsidP="00F92D0F">
            <w:pPr>
              <w:pStyle w:val="ListParagraph"/>
              <w:numPr>
                <w:ilvl w:val="0"/>
                <w:numId w:val="2"/>
              </w:numPr>
              <w:spacing w:before="120" w:after="120" w:line="240" w:lineRule="auto"/>
              <w:rPr>
                <w:rFonts w:eastAsia="Calibri" w:cs="Times New Roman"/>
                <w:iCs/>
                <w:szCs w:val="22"/>
                <w:lang w:val="en-US" w:bidi="en-US"/>
              </w:rPr>
            </w:pPr>
            <w:r>
              <w:rPr>
                <w:rFonts w:eastAsia="Calibri" w:cs="Times New Roman"/>
                <w:iCs/>
                <w:szCs w:val="22"/>
                <w:lang w:val="en-US" w:bidi="en-US"/>
              </w:rPr>
              <w:t xml:space="preserve">Strategic Plan (e.g. P-18): The projected capital levels from the strategic plan are compared to the RAS limits and thresholds </w:t>
            </w:r>
          </w:p>
          <w:p w:rsidR="00F92D0F" w:rsidRDefault="00F92D0F" w:rsidP="00F92D0F">
            <w:pPr>
              <w:pStyle w:val="ListParagraph"/>
              <w:numPr>
                <w:ilvl w:val="0"/>
                <w:numId w:val="2"/>
              </w:numPr>
              <w:spacing w:before="240" w:after="120" w:line="240" w:lineRule="auto"/>
              <w:rPr>
                <w:rFonts w:eastAsia="Calibri" w:cs="Times New Roman"/>
                <w:iCs/>
                <w:szCs w:val="22"/>
                <w:lang w:val="en-US" w:bidi="en-US"/>
              </w:rPr>
            </w:pPr>
            <w:r w:rsidRPr="005B0BAF">
              <w:rPr>
                <w:rFonts w:eastAsia="Calibri" w:cs="Times New Roman"/>
                <w:iCs/>
                <w:szCs w:val="22"/>
                <w:lang w:val="en-US" w:bidi="en-US"/>
              </w:rPr>
              <w:t xml:space="preserve">Monthly: On a monthly basis the actual level of </w:t>
            </w:r>
            <w:r>
              <w:rPr>
                <w:rFonts w:eastAsia="Calibri" w:cs="Times New Roman"/>
                <w:iCs/>
                <w:szCs w:val="22"/>
                <w:lang w:val="en-US" w:bidi="en-US"/>
              </w:rPr>
              <w:t xml:space="preserve">the </w:t>
            </w:r>
            <w:r w:rsidRPr="005B0BAF">
              <w:rPr>
                <w:rFonts w:eastAsia="Calibri" w:cs="Times New Roman"/>
                <w:iCs/>
                <w:szCs w:val="22"/>
                <w:lang w:val="en-US" w:bidi="en-US"/>
              </w:rPr>
              <w:t xml:space="preserve">metric </w:t>
            </w:r>
            <w:r>
              <w:rPr>
                <w:rFonts w:eastAsia="Calibri" w:cs="Times New Roman"/>
                <w:iCs/>
                <w:szCs w:val="22"/>
                <w:lang w:val="en-US" w:bidi="en-US"/>
              </w:rPr>
              <w:t>is</w:t>
            </w:r>
            <w:r w:rsidRPr="005B0BAF">
              <w:rPr>
                <w:rFonts w:eastAsia="Calibri" w:cs="Times New Roman"/>
                <w:iCs/>
                <w:szCs w:val="22"/>
                <w:lang w:val="en-US" w:bidi="en-US"/>
              </w:rPr>
              <w:t xml:space="preserve"> compared only to the BHC Baseline scenario limit</w:t>
            </w:r>
            <w:r>
              <w:rPr>
                <w:rFonts w:eastAsia="Calibri" w:cs="Times New Roman"/>
                <w:iCs/>
                <w:szCs w:val="22"/>
                <w:lang w:val="en-US" w:bidi="en-US"/>
              </w:rPr>
              <w:t xml:space="preserve"> and trigger</w:t>
            </w:r>
            <w:r w:rsidRPr="005B0BAF">
              <w:rPr>
                <w:rFonts w:eastAsia="Calibri" w:cs="Times New Roman"/>
                <w:iCs/>
                <w:szCs w:val="22"/>
                <w:lang w:val="en-US" w:bidi="en-US"/>
              </w:rPr>
              <w:t xml:space="preserve">. </w:t>
            </w:r>
          </w:p>
          <w:p w:rsidR="00F92D0F" w:rsidRPr="008F032D" w:rsidDel="00744A1B" w:rsidRDefault="00ED1FF6" w:rsidP="00F92D0F">
            <w:pPr>
              <w:spacing w:before="240" w:after="120" w:line="240" w:lineRule="auto"/>
              <w:jc w:val="center"/>
              <w:rPr>
                <w:iCs/>
                <w:sz w:val="28"/>
                <w:szCs w:val="28"/>
                <w:lang w:bidi="en-US"/>
              </w:rPr>
            </w:pPr>
            <m:oMath>
              <m:f>
                <m:fPr>
                  <m:ctrlPr>
                    <w:rPr>
                      <w:rFonts w:ascii="Cambria Math" w:hAnsi="Cambria Math" w:cs="Arial"/>
                      <w:i/>
                      <w:iCs/>
                      <w:sz w:val="28"/>
                      <w:szCs w:val="28"/>
                    </w:rPr>
                  </m:ctrlPr>
                </m:fPr>
                <m:num>
                  <m:r>
                    <w:rPr>
                      <w:rFonts w:ascii="Cambria Math" w:hAnsi="Cambria Math" w:cs="Arial"/>
                      <w:sz w:val="28"/>
                      <w:szCs w:val="28"/>
                    </w:rPr>
                    <m:t>Tier 1 Risk Based Capital</m:t>
                  </m:r>
                </m:num>
                <m:den>
                  <m:r>
                    <w:rPr>
                      <w:rFonts w:ascii="Cambria Math" w:hAnsi="Cambria Math" w:cs="Arial"/>
                      <w:sz w:val="28"/>
                      <w:szCs w:val="28"/>
                    </w:rPr>
                    <m:t>Adjusted Average Assets</m:t>
                  </m:r>
                </m:den>
              </m:f>
            </m:oMath>
            <w:r w:rsidR="00F92D0F" w:rsidRPr="008F032D">
              <w:rPr>
                <w:iCs/>
                <w:sz w:val="28"/>
                <w:szCs w:val="28"/>
                <w:lang w:bidi="en-US"/>
              </w:rPr>
              <w:t xml:space="preserve"> </w:t>
            </w:r>
          </w:p>
        </w:tc>
      </w:tr>
      <w:tr w:rsidR="00F92D0F" w:rsidRPr="00ED05B8" w:rsidTr="00F92D0F">
        <w:trPr>
          <w:trHeight w:val="525"/>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470" w:type="dxa"/>
            <w:gridSpan w:val="3"/>
            <w:shd w:val="clear" w:color="auto" w:fill="auto"/>
          </w:tcPr>
          <w:p w:rsidR="00F92D0F" w:rsidRPr="00DF3739" w:rsidRDefault="00F92D0F" w:rsidP="00F92D0F">
            <w:pPr>
              <w:numPr>
                <w:ilvl w:val="0"/>
                <w:numId w:val="2"/>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Capital Policy levels: Capital team for each entity, based on the capital policy in effect at the time of the RAS submission</w:t>
            </w:r>
          </w:p>
          <w:p w:rsidR="00F92D0F" w:rsidRDefault="00F92D0F" w:rsidP="00F92D0F">
            <w:pPr>
              <w:numPr>
                <w:ilvl w:val="0"/>
                <w:numId w:val="2"/>
              </w:numPr>
              <w:spacing w:after="0" w:line="240" w:lineRule="auto"/>
              <w:contextualSpacing/>
              <w:rPr>
                <w:rFonts w:asciiTheme="minorHAnsi" w:eastAsiaTheme="minorHAnsi" w:hAnsiTheme="minorHAnsi" w:cstheme="minorBidi"/>
                <w:bCs/>
                <w:iCs/>
                <w:szCs w:val="24"/>
              </w:rPr>
            </w:pPr>
            <w:r w:rsidRPr="00DF3739">
              <w:rPr>
                <w:rFonts w:asciiTheme="minorHAnsi" w:eastAsiaTheme="minorHAnsi" w:hAnsiTheme="minorHAnsi" w:cstheme="minorBidi"/>
                <w:bCs/>
                <w:iCs/>
                <w:szCs w:val="24"/>
              </w:rPr>
              <w:t xml:space="preserve">Annual CCAR: CCAR Team. </w:t>
            </w:r>
            <w:r>
              <w:rPr>
                <w:rFonts w:asciiTheme="minorHAnsi" w:eastAsiaTheme="minorHAnsi" w:hAnsiTheme="minorHAnsi" w:cstheme="minorBidi"/>
                <w:bCs/>
                <w:iCs/>
                <w:szCs w:val="24"/>
              </w:rPr>
              <w:t>Taken from the Y14A spreadsheet</w:t>
            </w:r>
          </w:p>
          <w:p w:rsidR="00F92D0F" w:rsidRDefault="00F92D0F" w:rsidP="00F92D0F">
            <w:pPr>
              <w:numPr>
                <w:ilvl w:val="0"/>
                <w:numId w:val="2"/>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Mid-cycle: CCAR Team. Taken from the Y14A spreadsheet</w:t>
            </w:r>
          </w:p>
          <w:p w:rsidR="00F92D0F" w:rsidRDefault="00F92D0F" w:rsidP="00F92D0F">
            <w:pPr>
              <w:numPr>
                <w:ilvl w:val="0"/>
                <w:numId w:val="2"/>
              </w:numPr>
              <w:spacing w:after="0" w:line="240" w:lineRule="auto"/>
              <w:contextualSpacing/>
              <w:rPr>
                <w:rFonts w:asciiTheme="minorHAnsi" w:eastAsiaTheme="minorHAnsi" w:hAnsiTheme="minorHAnsi" w:cstheme="minorBidi"/>
                <w:bCs/>
                <w:iCs/>
                <w:szCs w:val="24"/>
              </w:rPr>
            </w:pPr>
            <w:r>
              <w:rPr>
                <w:rFonts w:asciiTheme="minorHAnsi" w:eastAsiaTheme="minorHAnsi" w:hAnsiTheme="minorHAnsi" w:cstheme="minorBidi"/>
                <w:bCs/>
                <w:iCs/>
                <w:szCs w:val="24"/>
              </w:rPr>
              <w:t xml:space="preserve">Strategic Plan: Strategic and Capital planning team </w:t>
            </w:r>
          </w:p>
          <w:p w:rsidR="00F92D0F" w:rsidRDefault="00F92D0F" w:rsidP="00F92D0F">
            <w:pPr>
              <w:pStyle w:val="ListParagraph"/>
              <w:numPr>
                <w:ilvl w:val="0"/>
                <w:numId w:val="2"/>
              </w:numPr>
              <w:spacing w:after="0" w:line="240" w:lineRule="auto"/>
              <w:rPr>
                <w:bCs/>
                <w:iCs/>
              </w:rPr>
            </w:pPr>
            <w:r w:rsidRPr="00FD587F">
              <w:rPr>
                <w:bCs/>
                <w:iCs/>
              </w:rPr>
              <w:t>The monthly values for the SHUSA and SBNA Capital metrics are generated by Regulatory Capital and are made available through their SharePoint site each month</w:t>
            </w:r>
          </w:p>
          <w:p w:rsidR="00F92D0F" w:rsidRPr="00FD587F" w:rsidRDefault="00F92D0F" w:rsidP="00F92D0F">
            <w:pPr>
              <w:pStyle w:val="ListParagraph"/>
              <w:spacing w:after="0" w:line="240" w:lineRule="auto"/>
              <w:ind w:left="360"/>
              <w:rPr>
                <w:bCs/>
                <w:iCs/>
              </w:rPr>
            </w:pPr>
          </w:p>
        </w:tc>
      </w:tr>
    </w:tbl>
    <w:p w:rsidR="003C1E8B" w:rsidRDefault="003C1E8B" w:rsidP="003C1E8B"/>
    <w:p w:rsidR="003C1E8B" w:rsidRDefault="003C1E8B" w:rsidP="003C1E8B"/>
    <w:p w:rsidR="003C1E8B" w:rsidRDefault="0057138C" w:rsidP="003C1E8B">
      <w:pPr>
        <w:pStyle w:val="SANUS1"/>
        <w:numPr>
          <w:ilvl w:val="0"/>
          <w:numId w:val="1"/>
        </w:numPr>
      </w:pPr>
      <w:r>
        <w:lastRenderedPageBreak/>
        <w:t>Liquidity</w:t>
      </w:r>
      <w:r w:rsidR="003C1E8B">
        <w:t xml:space="preserve"> metrics</w:t>
      </w:r>
    </w:p>
    <w:p w:rsidR="0057138C" w:rsidRPr="000C32A5" w:rsidRDefault="006A3B48" w:rsidP="0057138C">
      <w:pPr>
        <w:pStyle w:val="ListParagraph"/>
        <w:numPr>
          <w:ilvl w:val="1"/>
          <w:numId w:val="1"/>
        </w:numPr>
        <w:rPr>
          <w:b/>
          <w:sz w:val="24"/>
          <w:highlight w:val="red"/>
        </w:rPr>
      </w:pPr>
      <w:r w:rsidRPr="000C32A5">
        <w:rPr>
          <w:b/>
          <w:sz w:val="24"/>
          <w:highlight w:val="red"/>
        </w:rPr>
        <w:t>Trading Portfolio</w:t>
      </w: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B36372" w:rsidRPr="00E20AC7" w:rsidTr="00A763AE">
        <w:trPr>
          <w:trHeight w:val="390"/>
        </w:trPr>
        <w:tc>
          <w:tcPr>
            <w:tcW w:w="1728" w:type="dxa"/>
            <w:shd w:val="clear" w:color="auto" w:fill="auto"/>
          </w:tcPr>
          <w:p w:rsidR="00B36372" w:rsidRPr="00E20AC7" w:rsidRDefault="00B36372" w:rsidP="00A763AE">
            <w:pPr>
              <w:rPr>
                <w:b/>
                <w:bCs/>
                <w:iCs/>
              </w:rPr>
            </w:pPr>
            <w:r w:rsidRPr="00E20AC7">
              <w:rPr>
                <w:b/>
                <w:bCs/>
                <w:iCs/>
              </w:rPr>
              <w:t>METRIC</w:t>
            </w:r>
          </w:p>
        </w:tc>
        <w:tc>
          <w:tcPr>
            <w:tcW w:w="7470" w:type="dxa"/>
            <w:gridSpan w:val="3"/>
            <w:shd w:val="clear" w:color="auto" w:fill="auto"/>
          </w:tcPr>
          <w:p w:rsidR="00B36372" w:rsidRPr="00E20AC7" w:rsidRDefault="00B36372" w:rsidP="00A763AE">
            <w:pPr>
              <w:spacing w:after="0" w:line="240" w:lineRule="auto"/>
              <w:rPr>
                <w:bCs/>
                <w:iCs/>
              </w:rPr>
            </w:pPr>
            <w:r>
              <w:rPr>
                <w:bCs/>
                <w:iCs/>
              </w:rPr>
              <w:t>Trading Portfolio</w:t>
            </w:r>
          </w:p>
        </w:tc>
      </w:tr>
      <w:tr w:rsidR="00B36372" w:rsidRPr="00E20AC7" w:rsidTr="00A763AE">
        <w:trPr>
          <w:trHeight w:val="390"/>
        </w:trPr>
        <w:tc>
          <w:tcPr>
            <w:tcW w:w="1728" w:type="dxa"/>
            <w:shd w:val="clear" w:color="auto" w:fill="auto"/>
          </w:tcPr>
          <w:p w:rsidR="00B36372" w:rsidRPr="00E20AC7" w:rsidRDefault="00B36372" w:rsidP="00A763AE">
            <w:pPr>
              <w:rPr>
                <w:b/>
                <w:bCs/>
                <w:iCs/>
              </w:rPr>
            </w:pPr>
            <w:r>
              <w:rPr>
                <w:b/>
                <w:bCs/>
                <w:iCs/>
              </w:rPr>
              <w:t>DIFFERENT FROM SHUSA</w:t>
            </w:r>
          </w:p>
        </w:tc>
        <w:tc>
          <w:tcPr>
            <w:tcW w:w="7470" w:type="dxa"/>
            <w:gridSpan w:val="3"/>
            <w:shd w:val="clear" w:color="auto" w:fill="auto"/>
          </w:tcPr>
          <w:p w:rsidR="00B36372" w:rsidRDefault="00E703F4" w:rsidP="00A763AE">
            <w:pPr>
              <w:spacing w:after="0" w:line="240" w:lineRule="auto"/>
              <w:rPr>
                <w:bCs/>
                <w:iCs/>
              </w:rPr>
            </w:pPr>
            <w:r>
              <w:rPr>
                <w:bCs/>
                <w:iCs/>
              </w:rPr>
              <w:t>S</w:t>
            </w:r>
            <w:r w:rsidRPr="00E703F4">
              <w:rPr>
                <w:bCs/>
                <w:iCs/>
              </w:rPr>
              <w:t>tress in trading portfolio assuming 1 month under stress (since 2007 only higher losses are taken once every 60 months, 1 month every 5 years) and poor performance over the remaining 11 months.</w:t>
            </w:r>
          </w:p>
        </w:tc>
      </w:tr>
      <w:tr w:rsidR="00B36372" w:rsidRPr="00E20AC7" w:rsidTr="00A763AE">
        <w:trPr>
          <w:trHeight w:val="270"/>
        </w:trPr>
        <w:tc>
          <w:tcPr>
            <w:tcW w:w="1728" w:type="dxa"/>
            <w:vMerge w:val="restart"/>
            <w:shd w:val="clear" w:color="auto" w:fill="auto"/>
          </w:tcPr>
          <w:p w:rsidR="00B36372" w:rsidRPr="00E20AC7" w:rsidRDefault="00B36372" w:rsidP="00A763AE">
            <w:pPr>
              <w:rPr>
                <w:b/>
                <w:bCs/>
                <w:iCs/>
              </w:rPr>
            </w:pPr>
            <w:r w:rsidRPr="00E20AC7">
              <w:rPr>
                <w:b/>
                <w:bCs/>
                <w:iCs/>
              </w:rPr>
              <w:t>ENTITY</w:t>
            </w:r>
          </w:p>
        </w:tc>
        <w:tc>
          <w:tcPr>
            <w:tcW w:w="2160" w:type="dxa"/>
            <w:shd w:val="clear" w:color="auto" w:fill="auto"/>
          </w:tcPr>
          <w:p w:rsidR="00B36372" w:rsidRPr="00E20AC7" w:rsidRDefault="00B36372" w:rsidP="00A763AE">
            <w:pPr>
              <w:spacing w:after="0" w:line="240" w:lineRule="auto"/>
              <w:rPr>
                <w:bCs/>
                <w:iCs/>
              </w:rPr>
            </w:pPr>
            <w:r w:rsidRPr="00E20AC7">
              <w:rPr>
                <w:bCs/>
                <w:iCs/>
              </w:rPr>
              <w:t>SHUSA</w:t>
            </w:r>
          </w:p>
        </w:tc>
        <w:tc>
          <w:tcPr>
            <w:tcW w:w="3000" w:type="dxa"/>
            <w:shd w:val="clear" w:color="auto" w:fill="auto"/>
          </w:tcPr>
          <w:p w:rsidR="00B36372" w:rsidRPr="00E20AC7" w:rsidRDefault="00B36372" w:rsidP="00A763AE">
            <w:pPr>
              <w:spacing w:after="0" w:line="240" w:lineRule="auto"/>
              <w:rPr>
                <w:bCs/>
                <w:iCs/>
              </w:rPr>
            </w:pPr>
            <w:r w:rsidRPr="00E20AC7">
              <w:rPr>
                <w:bCs/>
                <w:iCs/>
              </w:rPr>
              <w:t>SBNA</w:t>
            </w:r>
          </w:p>
        </w:tc>
        <w:tc>
          <w:tcPr>
            <w:tcW w:w="2310" w:type="dxa"/>
            <w:shd w:val="clear" w:color="auto" w:fill="auto"/>
          </w:tcPr>
          <w:p w:rsidR="00B36372" w:rsidRPr="00E20AC7" w:rsidRDefault="00B36372" w:rsidP="00A763AE">
            <w:pPr>
              <w:spacing w:after="0" w:line="240" w:lineRule="auto"/>
              <w:rPr>
                <w:bCs/>
                <w:iCs/>
              </w:rPr>
            </w:pPr>
            <w:r w:rsidRPr="00E20AC7">
              <w:rPr>
                <w:bCs/>
                <w:iCs/>
              </w:rPr>
              <w:t>SC</w:t>
            </w:r>
          </w:p>
        </w:tc>
      </w:tr>
      <w:tr w:rsidR="00B36372" w:rsidRPr="00E20AC7" w:rsidTr="00A763AE">
        <w:trPr>
          <w:trHeight w:val="252"/>
        </w:trPr>
        <w:tc>
          <w:tcPr>
            <w:tcW w:w="1728" w:type="dxa"/>
            <w:vMerge/>
            <w:shd w:val="clear" w:color="auto" w:fill="auto"/>
          </w:tcPr>
          <w:p w:rsidR="00B36372" w:rsidRPr="00E20AC7" w:rsidRDefault="00B36372" w:rsidP="00A763AE">
            <w:pPr>
              <w:rPr>
                <w:b/>
                <w:bCs/>
                <w:iCs/>
              </w:rPr>
            </w:pPr>
          </w:p>
        </w:tc>
        <w:tc>
          <w:tcPr>
            <w:tcW w:w="2160" w:type="dxa"/>
            <w:shd w:val="clear" w:color="auto" w:fill="auto"/>
          </w:tcPr>
          <w:p w:rsidR="00B36372" w:rsidRPr="00E20AC7" w:rsidRDefault="00B36372" w:rsidP="00A763AE">
            <w:pPr>
              <w:spacing w:after="0" w:line="240" w:lineRule="auto"/>
              <w:rPr>
                <w:bCs/>
                <w:iCs/>
              </w:rPr>
            </w:pPr>
            <w:r w:rsidRPr="00E20AC7">
              <w:rPr>
                <w:bCs/>
                <w:iCs/>
              </w:rPr>
              <w:t>Yes</w:t>
            </w:r>
          </w:p>
        </w:tc>
        <w:tc>
          <w:tcPr>
            <w:tcW w:w="3000" w:type="dxa"/>
            <w:shd w:val="clear" w:color="auto" w:fill="auto"/>
          </w:tcPr>
          <w:p w:rsidR="00B36372" w:rsidRPr="00E20AC7" w:rsidRDefault="00B36372" w:rsidP="00A763AE">
            <w:pPr>
              <w:spacing w:after="0" w:line="240" w:lineRule="auto"/>
              <w:rPr>
                <w:bCs/>
                <w:iCs/>
              </w:rPr>
            </w:pPr>
            <w:r w:rsidRPr="00E20AC7">
              <w:rPr>
                <w:bCs/>
                <w:iCs/>
              </w:rPr>
              <w:t>Yes</w:t>
            </w:r>
          </w:p>
        </w:tc>
        <w:tc>
          <w:tcPr>
            <w:tcW w:w="2310" w:type="dxa"/>
            <w:shd w:val="clear" w:color="auto" w:fill="auto"/>
          </w:tcPr>
          <w:p w:rsidR="00B36372" w:rsidRPr="00E20AC7" w:rsidRDefault="00B36372" w:rsidP="00A763AE">
            <w:pPr>
              <w:spacing w:after="0" w:line="240" w:lineRule="auto"/>
              <w:rPr>
                <w:bCs/>
                <w:iCs/>
              </w:rPr>
            </w:pPr>
            <w:r w:rsidRPr="00E20AC7">
              <w:rPr>
                <w:bCs/>
                <w:iCs/>
              </w:rPr>
              <w:t>N/A</w:t>
            </w:r>
          </w:p>
        </w:tc>
      </w:tr>
      <w:tr w:rsidR="00B36372" w:rsidRPr="00E20AC7" w:rsidTr="00A763AE">
        <w:trPr>
          <w:trHeight w:val="360"/>
        </w:trPr>
        <w:tc>
          <w:tcPr>
            <w:tcW w:w="1728" w:type="dxa"/>
            <w:shd w:val="clear" w:color="auto" w:fill="auto"/>
          </w:tcPr>
          <w:p w:rsidR="00B36372" w:rsidRPr="00E20AC7" w:rsidRDefault="00B36372" w:rsidP="00A763AE">
            <w:pPr>
              <w:ind w:left="-60"/>
              <w:rPr>
                <w:b/>
                <w:bCs/>
                <w:iCs/>
              </w:rPr>
            </w:pPr>
            <w:r w:rsidRPr="00E20AC7">
              <w:rPr>
                <w:b/>
                <w:bCs/>
                <w:iCs/>
              </w:rPr>
              <w:t>CALCULATION</w:t>
            </w:r>
          </w:p>
        </w:tc>
        <w:tc>
          <w:tcPr>
            <w:tcW w:w="7470" w:type="dxa"/>
            <w:gridSpan w:val="3"/>
            <w:shd w:val="clear" w:color="auto" w:fill="auto"/>
          </w:tcPr>
          <w:p w:rsidR="00B36372" w:rsidRPr="00E20AC7" w:rsidRDefault="00B36372" w:rsidP="00B36372">
            <w:pPr>
              <w:spacing w:after="0" w:line="240" w:lineRule="auto"/>
              <w:rPr>
                <w:bCs/>
                <w:iCs/>
                <w:lang w:val="en-GB"/>
              </w:rPr>
            </w:pPr>
            <w:r>
              <w:rPr>
                <w:bCs/>
                <w:iCs/>
              </w:rPr>
              <w:t xml:space="preserve">Trading </w:t>
            </w:r>
          </w:p>
        </w:tc>
      </w:tr>
      <w:tr w:rsidR="00B36372" w:rsidRPr="00E20AC7" w:rsidTr="00A763AE">
        <w:trPr>
          <w:trHeight w:val="510"/>
        </w:trPr>
        <w:tc>
          <w:tcPr>
            <w:tcW w:w="1728" w:type="dxa"/>
            <w:shd w:val="clear" w:color="auto" w:fill="auto"/>
          </w:tcPr>
          <w:p w:rsidR="00B36372" w:rsidRPr="00E20AC7" w:rsidRDefault="00B36372" w:rsidP="00A763AE">
            <w:pPr>
              <w:ind w:left="-60"/>
              <w:rPr>
                <w:b/>
                <w:bCs/>
                <w:iCs/>
              </w:rPr>
            </w:pPr>
            <w:r w:rsidRPr="00E20AC7">
              <w:rPr>
                <w:b/>
                <w:bCs/>
                <w:iCs/>
              </w:rPr>
              <w:t>FREQUENCY</w:t>
            </w:r>
          </w:p>
        </w:tc>
        <w:tc>
          <w:tcPr>
            <w:tcW w:w="7470" w:type="dxa"/>
            <w:gridSpan w:val="3"/>
            <w:shd w:val="clear" w:color="auto" w:fill="auto"/>
          </w:tcPr>
          <w:p w:rsidR="00B36372" w:rsidRDefault="000C32A5" w:rsidP="00A763AE">
            <w:pPr>
              <w:rPr>
                <w:rFonts w:asciiTheme="minorHAnsi" w:eastAsiaTheme="minorHAnsi" w:hAnsiTheme="minorHAnsi" w:cstheme="minorBidi"/>
                <w:iCs/>
              </w:rPr>
            </w:pPr>
            <w:r>
              <w:rPr>
                <w:rFonts w:asciiTheme="minorHAnsi" w:eastAsiaTheme="minorHAnsi" w:hAnsiTheme="minorHAnsi" w:cstheme="minorBidi"/>
                <w:iCs/>
              </w:rPr>
              <w:t>Quarterly</w:t>
            </w:r>
          </w:p>
          <w:p w:rsidR="000C32A5" w:rsidRPr="000C32A5" w:rsidRDefault="000C32A5" w:rsidP="00A763AE">
            <w:pPr>
              <w:rPr>
                <w:color w:val="FF0000"/>
                <w:lang w:val="en-GB"/>
              </w:rPr>
            </w:pPr>
            <w:r>
              <w:rPr>
                <w:rFonts w:asciiTheme="minorHAnsi" w:eastAsiaTheme="minorHAnsi" w:hAnsiTheme="minorHAnsi" w:cstheme="minorBidi"/>
                <w:iCs/>
                <w:color w:val="FF0000"/>
              </w:rPr>
              <w:t>ASK CESAR for calculation</w:t>
            </w:r>
          </w:p>
        </w:tc>
      </w:tr>
      <w:tr w:rsidR="00B36372" w:rsidRPr="00E20AC7" w:rsidTr="00A763AE">
        <w:trPr>
          <w:trHeight w:val="525"/>
        </w:trPr>
        <w:tc>
          <w:tcPr>
            <w:tcW w:w="1728" w:type="dxa"/>
            <w:shd w:val="clear" w:color="auto" w:fill="auto"/>
          </w:tcPr>
          <w:p w:rsidR="00B36372" w:rsidRPr="00E20AC7" w:rsidRDefault="00B36372" w:rsidP="00A763AE">
            <w:pPr>
              <w:rPr>
                <w:b/>
                <w:bCs/>
                <w:iCs/>
              </w:rPr>
            </w:pPr>
            <w:r w:rsidRPr="00E20AC7">
              <w:rPr>
                <w:b/>
                <w:bCs/>
                <w:iCs/>
              </w:rPr>
              <w:t>SOURCE OF INFORMATION</w:t>
            </w:r>
          </w:p>
        </w:tc>
        <w:tc>
          <w:tcPr>
            <w:tcW w:w="7470" w:type="dxa"/>
            <w:gridSpan w:val="3"/>
            <w:shd w:val="clear" w:color="auto" w:fill="auto"/>
          </w:tcPr>
          <w:p w:rsidR="00B36372" w:rsidRPr="00E20AC7" w:rsidRDefault="00B36372" w:rsidP="00A763AE">
            <w:pPr>
              <w:spacing w:after="0" w:line="240" w:lineRule="auto"/>
              <w:rPr>
                <w:bCs/>
                <w:iCs/>
              </w:rPr>
            </w:pPr>
            <w:r w:rsidRPr="00E20AC7">
              <w:rPr>
                <w:bCs/>
                <w:iCs/>
              </w:rPr>
              <w:t>SHUSA Market Risk</w:t>
            </w:r>
          </w:p>
        </w:tc>
      </w:tr>
    </w:tbl>
    <w:p w:rsidR="006A3B48" w:rsidRPr="00907DCD" w:rsidRDefault="006A3B48" w:rsidP="006A3B48">
      <w:pPr>
        <w:pStyle w:val="ListParagraph"/>
        <w:ind w:left="680"/>
        <w:rPr>
          <w:b/>
          <w:sz w:val="24"/>
        </w:rPr>
      </w:pPr>
    </w:p>
    <w:p w:rsidR="006A3B48" w:rsidRPr="00907DCD" w:rsidRDefault="006A3B48" w:rsidP="0057138C">
      <w:pPr>
        <w:pStyle w:val="ListParagraph"/>
        <w:numPr>
          <w:ilvl w:val="1"/>
          <w:numId w:val="1"/>
        </w:numPr>
        <w:rPr>
          <w:b/>
          <w:sz w:val="24"/>
        </w:rPr>
      </w:pPr>
      <w:r w:rsidRPr="00907DCD">
        <w:rPr>
          <w:b/>
          <w:sz w:val="24"/>
        </w:rPr>
        <w:t>CVA</w:t>
      </w:r>
    </w:p>
    <w:p w:rsidR="006A3B48" w:rsidRPr="006A3B48" w:rsidRDefault="006A3B48" w:rsidP="006A3B48">
      <w:pPr>
        <w:pStyle w:val="ListParagraph"/>
        <w:rPr>
          <w:b/>
          <w:sz w:val="24"/>
          <w:highlight w:val="green"/>
        </w:rPr>
      </w:pPr>
    </w:p>
    <w:tbl>
      <w:tblPr>
        <w:tblpPr w:leftFromText="180" w:rightFromText="180" w:vertAnchor="text" w:tblpX="168" w:tblpY="1"/>
        <w:tblOverlap w:val="neve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2160"/>
        <w:gridCol w:w="3000"/>
        <w:gridCol w:w="2310"/>
      </w:tblGrid>
      <w:tr w:rsidR="006A3B48" w:rsidRPr="00E20AC7" w:rsidTr="001D0D9A">
        <w:trPr>
          <w:trHeight w:val="390"/>
        </w:trPr>
        <w:tc>
          <w:tcPr>
            <w:tcW w:w="1728" w:type="dxa"/>
            <w:shd w:val="clear" w:color="auto" w:fill="auto"/>
          </w:tcPr>
          <w:p w:rsidR="006A3B48" w:rsidRPr="00E20AC7" w:rsidRDefault="006A3B48" w:rsidP="001D0D9A">
            <w:pPr>
              <w:rPr>
                <w:b/>
                <w:bCs/>
                <w:iCs/>
              </w:rPr>
            </w:pPr>
            <w:r w:rsidRPr="00E20AC7">
              <w:rPr>
                <w:b/>
                <w:bCs/>
                <w:iCs/>
              </w:rPr>
              <w:t>METRIC</w:t>
            </w:r>
          </w:p>
        </w:tc>
        <w:tc>
          <w:tcPr>
            <w:tcW w:w="7470" w:type="dxa"/>
            <w:gridSpan w:val="3"/>
            <w:shd w:val="clear" w:color="auto" w:fill="auto"/>
          </w:tcPr>
          <w:p w:rsidR="006A3B48" w:rsidRPr="00E20AC7" w:rsidRDefault="006A3B48" w:rsidP="001D0D9A">
            <w:pPr>
              <w:spacing w:after="0" w:line="240" w:lineRule="auto"/>
              <w:rPr>
                <w:bCs/>
                <w:iCs/>
              </w:rPr>
            </w:pPr>
            <w:r w:rsidRPr="00E20AC7">
              <w:rPr>
                <w:bCs/>
                <w:iCs/>
              </w:rPr>
              <w:t>Stressed Credit Valuation Adjustment (“CVA”)</w:t>
            </w:r>
          </w:p>
        </w:tc>
      </w:tr>
      <w:tr w:rsidR="006A3B48" w:rsidRPr="00E20AC7" w:rsidTr="001D0D9A">
        <w:trPr>
          <w:trHeight w:val="270"/>
        </w:trPr>
        <w:tc>
          <w:tcPr>
            <w:tcW w:w="1728" w:type="dxa"/>
            <w:vMerge w:val="restart"/>
            <w:shd w:val="clear" w:color="auto" w:fill="auto"/>
          </w:tcPr>
          <w:p w:rsidR="006A3B48" w:rsidRPr="00E20AC7" w:rsidRDefault="006A3B48" w:rsidP="001D0D9A">
            <w:pPr>
              <w:rPr>
                <w:b/>
                <w:bCs/>
                <w:iCs/>
              </w:rPr>
            </w:pPr>
            <w:r w:rsidRPr="00E20AC7">
              <w:rPr>
                <w:b/>
                <w:bCs/>
                <w:iCs/>
              </w:rPr>
              <w:t>ENTITY</w:t>
            </w:r>
          </w:p>
        </w:tc>
        <w:tc>
          <w:tcPr>
            <w:tcW w:w="2160" w:type="dxa"/>
            <w:shd w:val="clear" w:color="auto" w:fill="auto"/>
          </w:tcPr>
          <w:p w:rsidR="006A3B48" w:rsidRPr="00E20AC7" w:rsidRDefault="006A3B48" w:rsidP="001D0D9A">
            <w:pPr>
              <w:spacing w:after="0" w:line="240" w:lineRule="auto"/>
              <w:rPr>
                <w:bCs/>
                <w:iCs/>
              </w:rPr>
            </w:pPr>
            <w:r w:rsidRPr="00E20AC7">
              <w:rPr>
                <w:bCs/>
                <w:iCs/>
              </w:rPr>
              <w:t>SHUSA</w:t>
            </w:r>
          </w:p>
        </w:tc>
        <w:tc>
          <w:tcPr>
            <w:tcW w:w="3000" w:type="dxa"/>
            <w:shd w:val="clear" w:color="auto" w:fill="auto"/>
          </w:tcPr>
          <w:p w:rsidR="006A3B48" w:rsidRPr="00E20AC7" w:rsidRDefault="006A3B48" w:rsidP="001D0D9A">
            <w:pPr>
              <w:spacing w:after="0" w:line="240" w:lineRule="auto"/>
              <w:rPr>
                <w:bCs/>
                <w:iCs/>
              </w:rPr>
            </w:pPr>
            <w:r w:rsidRPr="00E20AC7">
              <w:rPr>
                <w:bCs/>
                <w:iCs/>
              </w:rPr>
              <w:t>SBNA</w:t>
            </w:r>
          </w:p>
        </w:tc>
        <w:tc>
          <w:tcPr>
            <w:tcW w:w="2310" w:type="dxa"/>
            <w:shd w:val="clear" w:color="auto" w:fill="auto"/>
          </w:tcPr>
          <w:p w:rsidR="006A3B48" w:rsidRPr="00E20AC7" w:rsidRDefault="006A3B48" w:rsidP="001D0D9A">
            <w:pPr>
              <w:spacing w:after="0" w:line="240" w:lineRule="auto"/>
              <w:rPr>
                <w:bCs/>
                <w:iCs/>
              </w:rPr>
            </w:pPr>
            <w:r w:rsidRPr="00E20AC7">
              <w:rPr>
                <w:bCs/>
                <w:iCs/>
              </w:rPr>
              <w:t>SC</w:t>
            </w:r>
          </w:p>
        </w:tc>
      </w:tr>
      <w:tr w:rsidR="006A3B48" w:rsidRPr="00E20AC7" w:rsidTr="001D0D9A">
        <w:trPr>
          <w:trHeight w:val="252"/>
        </w:trPr>
        <w:tc>
          <w:tcPr>
            <w:tcW w:w="1728" w:type="dxa"/>
            <w:vMerge/>
            <w:shd w:val="clear" w:color="auto" w:fill="auto"/>
          </w:tcPr>
          <w:p w:rsidR="006A3B48" w:rsidRPr="00E20AC7" w:rsidRDefault="006A3B48" w:rsidP="001D0D9A">
            <w:pPr>
              <w:rPr>
                <w:b/>
                <w:bCs/>
                <w:iCs/>
              </w:rPr>
            </w:pPr>
          </w:p>
        </w:tc>
        <w:tc>
          <w:tcPr>
            <w:tcW w:w="2160" w:type="dxa"/>
            <w:shd w:val="clear" w:color="auto" w:fill="auto"/>
          </w:tcPr>
          <w:p w:rsidR="006A3B48" w:rsidRPr="00E20AC7" w:rsidRDefault="006A3B48" w:rsidP="001D0D9A">
            <w:pPr>
              <w:spacing w:after="0" w:line="240" w:lineRule="auto"/>
              <w:rPr>
                <w:bCs/>
                <w:iCs/>
              </w:rPr>
            </w:pPr>
            <w:r w:rsidRPr="00E20AC7">
              <w:rPr>
                <w:bCs/>
                <w:iCs/>
              </w:rPr>
              <w:t>Yes</w:t>
            </w:r>
          </w:p>
        </w:tc>
        <w:tc>
          <w:tcPr>
            <w:tcW w:w="3000" w:type="dxa"/>
            <w:shd w:val="clear" w:color="auto" w:fill="auto"/>
          </w:tcPr>
          <w:p w:rsidR="006A3B48" w:rsidRPr="00E20AC7" w:rsidRDefault="006A3B48" w:rsidP="001D0D9A">
            <w:pPr>
              <w:spacing w:after="0" w:line="240" w:lineRule="auto"/>
              <w:rPr>
                <w:bCs/>
                <w:iCs/>
              </w:rPr>
            </w:pPr>
            <w:r w:rsidRPr="00E20AC7">
              <w:rPr>
                <w:bCs/>
                <w:iCs/>
              </w:rPr>
              <w:t>Yes</w:t>
            </w:r>
          </w:p>
        </w:tc>
        <w:tc>
          <w:tcPr>
            <w:tcW w:w="2310" w:type="dxa"/>
            <w:shd w:val="clear" w:color="auto" w:fill="auto"/>
          </w:tcPr>
          <w:p w:rsidR="006A3B48" w:rsidRPr="00E20AC7" w:rsidRDefault="006A3B48" w:rsidP="001D0D9A">
            <w:pPr>
              <w:spacing w:after="0" w:line="240" w:lineRule="auto"/>
              <w:rPr>
                <w:bCs/>
                <w:iCs/>
              </w:rPr>
            </w:pPr>
            <w:r w:rsidRPr="00E20AC7">
              <w:rPr>
                <w:bCs/>
                <w:iCs/>
              </w:rPr>
              <w:t>N/A</w:t>
            </w:r>
          </w:p>
        </w:tc>
      </w:tr>
      <w:tr w:rsidR="006A3B48" w:rsidRPr="00E20AC7" w:rsidTr="001D0D9A">
        <w:trPr>
          <w:trHeight w:val="360"/>
        </w:trPr>
        <w:tc>
          <w:tcPr>
            <w:tcW w:w="1728" w:type="dxa"/>
            <w:shd w:val="clear" w:color="auto" w:fill="auto"/>
          </w:tcPr>
          <w:p w:rsidR="006A3B48" w:rsidRPr="00E20AC7" w:rsidRDefault="006A3B48" w:rsidP="001D0D9A">
            <w:pPr>
              <w:ind w:left="-60"/>
              <w:rPr>
                <w:b/>
                <w:bCs/>
                <w:iCs/>
              </w:rPr>
            </w:pPr>
            <w:r w:rsidRPr="00E20AC7">
              <w:rPr>
                <w:b/>
                <w:bCs/>
                <w:iCs/>
              </w:rPr>
              <w:t>CALCULATION</w:t>
            </w:r>
          </w:p>
        </w:tc>
        <w:tc>
          <w:tcPr>
            <w:tcW w:w="7470" w:type="dxa"/>
            <w:gridSpan w:val="3"/>
            <w:shd w:val="clear" w:color="auto" w:fill="auto"/>
          </w:tcPr>
          <w:p w:rsidR="006A3B48" w:rsidRPr="00E20AC7" w:rsidRDefault="00E703F4" w:rsidP="001D0D9A">
            <w:pPr>
              <w:spacing w:after="0" w:line="240" w:lineRule="auto"/>
              <w:rPr>
                <w:bCs/>
                <w:iCs/>
                <w:lang w:val="en-GB"/>
              </w:rPr>
            </w:pPr>
            <w:r>
              <w:rPr>
                <w:bCs/>
                <w:iCs/>
              </w:rPr>
              <w:t>S</w:t>
            </w:r>
            <w:bookmarkStart w:id="10" w:name="_GoBack"/>
            <w:bookmarkEnd w:id="10"/>
            <w:r w:rsidRPr="00E703F4">
              <w:rPr>
                <w:bCs/>
                <w:iCs/>
              </w:rPr>
              <w:t>tress in CVAs by counterparty to a 60% LGD.   To be considered in each year of stress</w:t>
            </w:r>
          </w:p>
        </w:tc>
      </w:tr>
      <w:tr w:rsidR="006A3B48" w:rsidRPr="00E20AC7" w:rsidTr="001D0D9A">
        <w:trPr>
          <w:trHeight w:val="510"/>
        </w:trPr>
        <w:tc>
          <w:tcPr>
            <w:tcW w:w="1728" w:type="dxa"/>
            <w:shd w:val="clear" w:color="auto" w:fill="auto"/>
          </w:tcPr>
          <w:p w:rsidR="006A3B48" w:rsidRPr="00E20AC7" w:rsidRDefault="006A3B48" w:rsidP="001D0D9A">
            <w:pPr>
              <w:ind w:left="-60"/>
              <w:rPr>
                <w:b/>
                <w:bCs/>
                <w:iCs/>
              </w:rPr>
            </w:pPr>
            <w:r w:rsidRPr="00E20AC7">
              <w:rPr>
                <w:b/>
                <w:bCs/>
                <w:iCs/>
              </w:rPr>
              <w:t>FREQUENCY</w:t>
            </w:r>
          </w:p>
        </w:tc>
        <w:tc>
          <w:tcPr>
            <w:tcW w:w="7470" w:type="dxa"/>
            <w:gridSpan w:val="3"/>
            <w:shd w:val="clear" w:color="auto" w:fill="auto"/>
          </w:tcPr>
          <w:p w:rsidR="006A3B48" w:rsidRDefault="000C32A5" w:rsidP="001D0D9A">
            <w:pPr>
              <w:rPr>
                <w:rFonts w:asciiTheme="minorHAnsi" w:eastAsiaTheme="minorHAnsi" w:hAnsiTheme="minorHAnsi" w:cstheme="minorBidi"/>
                <w:iCs/>
              </w:rPr>
            </w:pPr>
            <w:r>
              <w:rPr>
                <w:rFonts w:asciiTheme="minorHAnsi" w:eastAsiaTheme="minorHAnsi" w:hAnsiTheme="minorHAnsi" w:cstheme="minorBidi"/>
                <w:iCs/>
              </w:rPr>
              <w:t xml:space="preserve">Quarterly </w:t>
            </w:r>
          </w:p>
          <w:p w:rsidR="000C32A5" w:rsidRPr="00E20AC7" w:rsidRDefault="000C32A5" w:rsidP="001D0D9A">
            <w:pPr>
              <w:rPr>
                <w:lang w:val="en-GB"/>
              </w:rPr>
            </w:pPr>
            <w:r>
              <w:rPr>
                <w:rFonts w:asciiTheme="minorHAnsi" w:eastAsiaTheme="minorHAnsi" w:hAnsiTheme="minorHAnsi" w:cstheme="minorBidi"/>
                <w:iCs/>
                <w:color w:val="FF0000"/>
              </w:rPr>
              <w:t>ASK CESAR for calculation</w:t>
            </w:r>
          </w:p>
        </w:tc>
      </w:tr>
      <w:tr w:rsidR="006A3B48" w:rsidRPr="00E20AC7" w:rsidTr="001D0D9A">
        <w:trPr>
          <w:trHeight w:val="525"/>
        </w:trPr>
        <w:tc>
          <w:tcPr>
            <w:tcW w:w="1728" w:type="dxa"/>
            <w:shd w:val="clear" w:color="auto" w:fill="auto"/>
          </w:tcPr>
          <w:p w:rsidR="006A3B48" w:rsidRPr="00E20AC7" w:rsidRDefault="006A3B48" w:rsidP="001D0D9A">
            <w:pPr>
              <w:rPr>
                <w:b/>
                <w:bCs/>
                <w:iCs/>
              </w:rPr>
            </w:pPr>
            <w:r w:rsidRPr="00E20AC7">
              <w:rPr>
                <w:b/>
                <w:bCs/>
                <w:iCs/>
              </w:rPr>
              <w:t>SOURCE OF INFORMATION</w:t>
            </w:r>
          </w:p>
        </w:tc>
        <w:tc>
          <w:tcPr>
            <w:tcW w:w="7470" w:type="dxa"/>
            <w:gridSpan w:val="3"/>
            <w:shd w:val="clear" w:color="auto" w:fill="auto"/>
          </w:tcPr>
          <w:p w:rsidR="006A3B48" w:rsidRPr="00E20AC7" w:rsidRDefault="006A3B48" w:rsidP="001D0D9A">
            <w:pPr>
              <w:spacing w:after="0" w:line="240" w:lineRule="auto"/>
              <w:rPr>
                <w:bCs/>
                <w:iCs/>
              </w:rPr>
            </w:pPr>
            <w:r w:rsidRPr="00E20AC7">
              <w:rPr>
                <w:bCs/>
                <w:iCs/>
              </w:rPr>
              <w:t>SHUSA Market Risk</w:t>
            </w:r>
          </w:p>
        </w:tc>
      </w:tr>
    </w:tbl>
    <w:p w:rsidR="006A3B48" w:rsidRPr="006A3B48" w:rsidRDefault="006A3B48" w:rsidP="006A3B48">
      <w:pPr>
        <w:rPr>
          <w:b/>
          <w:sz w:val="24"/>
          <w:highlight w:val="green"/>
        </w:rPr>
      </w:pPr>
    </w:p>
    <w:p w:rsidR="006A3B48" w:rsidRDefault="006A3B48" w:rsidP="006A3B48">
      <w:pPr>
        <w:pStyle w:val="ListParagraph"/>
        <w:ind w:left="680"/>
        <w:rPr>
          <w:b/>
          <w:sz w:val="24"/>
          <w:highlight w:val="green"/>
        </w:rPr>
      </w:pPr>
    </w:p>
    <w:p w:rsidR="006A3B48" w:rsidRPr="004145FC" w:rsidRDefault="006A3B48" w:rsidP="006A3B48">
      <w:pPr>
        <w:pStyle w:val="ListParagraph"/>
        <w:numPr>
          <w:ilvl w:val="1"/>
          <w:numId w:val="1"/>
        </w:numPr>
      </w:pPr>
      <w:r w:rsidRPr="004145FC">
        <w:rPr>
          <w:b/>
          <w:sz w:val="24"/>
        </w:rPr>
        <w:t>Structural Funding Ratio</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2442"/>
      </w:tblGrid>
      <w:tr w:rsidR="00F92D0F" w:rsidRPr="00206D41" w:rsidTr="00F92D0F">
        <w:trPr>
          <w:trHeight w:val="462"/>
        </w:trPr>
        <w:tc>
          <w:tcPr>
            <w:tcW w:w="1872" w:type="dxa"/>
            <w:shd w:val="clear" w:color="auto" w:fill="auto"/>
          </w:tcPr>
          <w:p w:rsidR="00F92D0F" w:rsidRPr="00206D41" w:rsidRDefault="00F92D0F" w:rsidP="00F92D0F">
            <w:pPr>
              <w:rPr>
                <w:b/>
                <w:bCs/>
                <w:iCs/>
              </w:rPr>
            </w:pPr>
            <w:r>
              <w:rPr>
                <w:b/>
                <w:bCs/>
                <w:iCs/>
              </w:rPr>
              <w:t>DEFINITION</w:t>
            </w:r>
          </w:p>
        </w:tc>
        <w:tc>
          <w:tcPr>
            <w:tcW w:w="7326" w:type="dxa"/>
            <w:gridSpan w:val="3"/>
            <w:shd w:val="clear" w:color="auto" w:fill="auto"/>
          </w:tcPr>
          <w:p w:rsidR="00F92D0F" w:rsidRPr="00206D41" w:rsidRDefault="00F92D0F" w:rsidP="00F92D0F">
            <w:pPr>
              <w:spacing w:after="0" w:line="240" w:lineRule="auto"/>
              <w:rPr>
                <w:bCs/>
                <w:iCs/>
              </w:rPr>
            </w:pPr>
            <w:r>
              <w:rPr>
                <w:bCs/>
                <w:iCs/>
              </w:rPr>
              <w:t>The percentage of structural assets that are funded with medium and long term liabilities</w:t>
            </w:r>
          </w:p>
        </w:tc>
      </w:tr>
      <w:tr w:rsidR="00713D83" w:rsidRPr="00206D41" w:rsidTr="00F92D0F">
        <w:trPr>
          <w:cantSplit/>
          <w:trHeight w:val="429"/>
        </w:trPr>
        <w:tc>
          <w:tcPr>
            <w:tcW w:w="1872" w:type="dxa"/>
            <w:shd w:val="clear" w:color="auto" w:fill="auto"/>
          </w:tcPr>
          <w:p w:rsidR="00713D83" w:rsidRDefault="00713D83" w:rsidP="00713D83">
            <w:pPr>
              <w:rPr>
                <w:b/>
                <w:bCs/>
                <w:iCs/>
              </w:rPr>
            </w:pPr>
            <w:r>
              <w:rPr>
                <w:b/>
                <w:bCs/>
                <w:iCs/>
              </w:rPr>
              <w:t>DIFFERENT FROM SHUSA</w:t>
            </w:r>
          </w:p>
        </w:tc>
        <w:tc>
          <w:tcPr>
            <w:tcW w:w="7326" w:type="dxa"/>
            <w:gridSpan w:val="3"/>
            <w:shd w:val="clear" w:color="auto" w:fill="auto"/>
          </w:tcPr>
          <w:p w:rsidR="00713D83" w:rsidRDefault="00713D83" w:rsidP="00713D83">
            <w:pPr>
              <w:spacing w:after="0" w:line="240" w:lineRule="auto"/>
              <w:rPr>
                <w:bCs/>
                <w:iCs/>
              </w:rPr>
            </w:pPr>
            <w:r>
              <w:rPr>
                <w:bCs/>
                <w:iCs/>
              </w:rPr>
              <w:t>SAME</w:t>
            </w:r>
            <w:r w:rsidR="004145FC">
              <w:rPr>
                <w:bCs/>
                <w:iCs/>
              </w:rPr>
              <w:t xml:space="preserve"> calculation and Limits</w:t>
            </w:r>
          </w:p>
        </w:tc>
      </w:tr>
      <w:tr w:rsidR="00F92D0F" w:rsidRPr="00206D41" w:rsidTr="00F92D0F">
        <w:trPr>
          <w:cantSplit/>
          <w:trHeight w:val="270"/>
        </w:trPr>
        <w:tc>
          <w:tcPr>
            <w:tcW w:w="1872" w:type="dxa"/>
            <w:vMerge w:val="restart"/>
            <w:shd w:val="clear" w:color="auto" w:fill="auto"/>
          </w:tcPr>
          <w:p w:rsidR="00F92D0F" w:rsidRPr="00206D41" w:rsidRDefault="00F92D0F" w:rsidP="00F92D0F">
            <w:pPr>
              <w:rPr>
                <w:b/>
                <w:bCs/>
                <w:iCs/>
              </w:rPr>
            </w:pPr>
            <w:r>
              <w:rPr>
                <w:b/>
                <w:bCs/>
                <w:iCs/>
              </w:rPr>
              <w:lastRenderedPageBreak/>
              <w:t>ENTITY</w:t>
            </w:r>
          </w:p>
        </w:tc>
        <w:tc>
          <w:tcPr>
            <w:tcW w:w="2442" w:type="dxa"/>
            <w:shd w:val="clear" w:color="auto" w:fill="auto"/>
          </w:tcPr>
          <w:p w:rsidR="00F92D0F" w:rsidRPr="00157B7A" w:rsidRDefault="00F92D0F" w:rsidP="00F92D0F">
            <w:pPr>
              <w:spacing w:after="0" w:line="240" w:lineRule="auto"/>
              <w:rPr>
                <w:b/>
                <w:bCs/>
                <w:iCs/>
              </w:rPr>
            </w:pPr>
            <w:r w:rsidRPr="00157B7A">
              <w:rPr>
                <w:b/>
                <w:bCs/>
                <w:iCs/>
              </w:rPr>
              <w:t>SHUSA</w:t>
            </w:r>
          </w:p>
        </w:tc>
        <w:tc>
          <w:tcPr>
            <w:tcW w:w="2442" w:type="dxa"/>
            <w:shd w:val="clear" w:color="auto" w:fill="auto"/>
          </w:tcPr>
          <w:p w:rsidR="00F92D0F" w:rsidRPr="00157B7A" w:rsidRDefault="00F92D0F" w:rsidP="00F92D0F">
            <w:pPr>
              <w:spacing w:after="0" w:line="240" w:lineRule="auto"/>
              <w:rPr>
                <w:b/>
                <w:bCs/>
                <w:iCs/>
              </w:rPr>
            </w:pPr>
            <w:r w:rsidRPr="00157B7A">
              <w:rPr>
                <w:b/>
                <w:bCs/>
                <w:iCs/>
              </w:rPr>
              <w:t xml:space="preserve">SBNA </w:t>
            </w:r>
          </w:p>
        </w:tc>
        <w:tc>
          <w:tcPr>
            <w:tcW w:w="2442" w:type="dxa"/>
            <w:shd w:val="clear" w:color="auto" w:fill="auto"/>
          </w:tcPr>
          <w:p w:rsidR="00F92D0F" w:rsidRPr="00157B7A" w:rsidRDefault="00F92D0F" w:rsidP="00F92D0F">
            <w:pPr>
              <w:spacing w:after="0" w:line="240" w:lineRule="auto"/>
              <w:rPr>
                <w:b/>
                <w:bCs/>
                <w:iCs/>
              </w:rPr>
            </w:pPr>
            <w:r w:rsidRPr="00157B7A">
              <w:rPr>
                <w:b/>
                <w:bCs/>
                <w:iCs/>
              </w:rPr>
              <w:t>SC</w:t>
            </w:r>
          </w:p>
        </w:tc>
      </w:tr>
      <w:tr w:rsidR="00F92D0F" w:rsidRPr="00206D41" w:rsidTr="00F92D0F">
        <w:trPr>
          <w:trHeight w:val="270"/>
        </w:trPr>
        <w:tc>
          <w:tcPr>
            <w:tcW w:w="1872" w:type="dxa"/>
            <w:vMerge/>
            <w:shd w:val="clear" w:color="auto" w:fill="auto"/>
          </w:tcPr>
          <w:p w:rsidR="00F92D0F" w:rsidRDefault="00F92D0F" w:rsidP="00F92D0F">
            <w:pPr>
              <w:rPr>
                <w:b/>
                <w:bCs/>
                <w:iCs/>
              </w:rPr>
            </w:pPr>
          </w:p>
        </w:tc>
        <w:tc>
          <w:tcPr>
            <w:tcW w:w="2442" w:type="dxa"/>
            <w:shd w:val="clear" w:color="auto" w:fill="auto"/>
          </w:tcPr>
          <w:p w:rsidR="00F92D0F" w:rsidRPr="00206D41" w:rsidRDefault="00F92D0F" w:rsidP="00F92D0F">
            <w:pPr>
              <w:spacing w:after="0" w:line="240" w:lineRule="auto"/>
              <w:rPr>
                <w:bCs/>
                <w:iCs/>
              </w:rPr>
            </w:pPr>
            <w:r>
              <w:rPr>
                <w:bCs/>
                <w:iCs/>
              </w:rPr>
              <w:t>Yes</w:t>
            </w:r>
          </w:p>
        </w:tc>
        <w:tc>
          <w:tcPr>
            <w:tcW w:w="2442" w:type="dxa"/>
            <w:shd w:val="clear" w:color="auto" w:fill="auto"/>
          </w:tcPr>
          <w:p w:rsidR="00F92D0F" w:rsidRPr="00206D41" w:rsidRDefault="00F92D0F" w:rsidP="00F92D0F">
            <w:pPr>
              <w:spacing w:after="0" w:line="240" w:lineRule="auto"/>
              <w:rPr>
                <w:bCs/>
                <w:iCs/>
              </w:rPr>
            </w:pPr>
            <w:r>
              <w:rPr>
                <w:bCs/>
                <w:iCs/>
              </w:rPr>
              <w:t>Yes</w:t>
            </w:r>
          </w:p>
        </w:tc>
        <w:tc>
          <w:tcPr>
            <w:tcW w:w="2442" w:type="dxa"/>
            <w:shd w:val="clear" w:color="auto" w:fill="auto"/>
          </w:tcPr>
          <w:p w:rsidR="00F92D0F" w:rsidRPr="00206D41" w:rsidRDefault="00F92D0F" w:rsidP="00F92D0F">
            <w:pPr>
              <w:spacing w:after="0" w:line="240" w:lineRule="auto"/>
              <w:rPr>
                <w:bCs/>
                <w:iCs/>
              </w:rPr>
            </w:pPr>
            <w:r>
              <w:rPr>
                <w:bCs/>
                <w:iCs/>
              </w:rPr>
              <w:t>Yes</w:t>
            </w:r>
          </w:p>
        </w:tc>
      </w:tr>
      <w:tr w:rsidR="00F92D0F" w:rsidRPr="00206D41" w:rsidTr="00F92D0F">
        <w:trPr>
          <w:trHeight w:val="270"/>
        </w:trPr>
        <w:tc>
          <w:tcPr>
            <w:tcW w:w="1872" w:type="dxa"/>
            <w:vMerge w:val="restart"/>
            <w:shd w:val="clear" w:color="auto" w:fill="auto"/>
          </w:tcPr>
          <w:p w:rsidR="00F92D0F" w:rsidRPr="00206D41" w:rsidRDefault="00F92D0F" w:rsidP="00F92D0F">
            <w:pPr>
              <w:rPr>
                <w:b/>
                <w:bCs/>
                <w:iCs/>
              </w:rPr>
            </w:pPr>
            <w:r>
              <w:rPr>
                <w:b/>
                <w:bCs/>
                <w:iCs/>
              </w:rPr>
              <w:t>METRIC OWNER</w:t>
            </w:r>
          </w:p>
        </w:tc>
        <w:tc>
          <w:tcPr>
            <w:tcW w:w="2442" w:type="dxa"/>
            <w:shd w:val="clear" w:color="auto" w:fill="auto"/>
          </w:tcPr>
          <w:p w:rsidR="00F92D0F" w:rsidRPr="00157B7A" w:rsidRDefault="00F92D0F" w:rsidP="00F92D0F">
            <w:pPr>
              <w:spacing w:after="0" w:line="240" w:lineRule="auto"/>
              <w:rPr>
                <w:b/>
                <w:bCs/>
                <w:iCs/>
              </w:rPr>
            </w:pPr>
            <w:r w:rsidRPr="00157B7A">
              <w:rPr>
                <w:b/>
                <w:bCs/>
                <w:iCs/>
              </w:rPr>
              <w:t>SHUSA</w:t>
            </w:r>
          </w:p>
        </w:tc>
        <w:tc>
          <w:tcPr>
            <w:tcW w:w="2442" w:type="dxa"/>
            <w:shd w:val="clear" w:color="auto" w:fill="auto"/>
          </w:tcPr>
          <w:p w:rsidR="00F92D0F" w:rsidRPr="00157B7A" w:rsidRDefault="00F92D0F" w:rsidP="00F92D0F">
            <w:pPr>
              <w:spacing w:after="0" w:line="240" w:lineRule="auto"/>
              <w:rPr>
                <w:b/>
                <w:bCs/>
                <w:iCs/>
              </w:rPr>
            </w:pPr>
            <w:r w:rsidRPr="00157B7A">
              <w:rPr>
                <w:b/>
                <w:bCs/>
                <w:iCs/>
              </w:rPr>
              <w:t>SBNA</w:t>
            </w:r>
          </w:p>
        </w:tc>
        <w:tc>
          <w:tcPr>
            <w:tcW w:w="2442" w:type="dxa"/>
            <w:shd w:val="clear" w:color="auto" w:fill="auto"/>
          </w:tcPr>
          <w:p w:rsidR="00F92D0F" w:rsidRPr="00157B7A" w:rsidRDefault="00F92D0F" w:rsidP="00F92D0F">
            <w:pPr>
              <w:spacing w:after="0" w:line="240" w:lineRule="auto"/>
              <w:rPr>
                <w:b/>
                <w:bCs/>
                <w:iCs/>
              </w:rPr>
            </w:pPr>
            <w:r w:rsidRPr="00157B7A">
              <w:rPr>
                <w:b/>
                <w:bCs/>
                <w:iCs/>
              </w:rPr>
              <w:t>SC</w:t>
            </w:r>
          </w:p>
        </w:tc>
      </w:tr>
      <w:tr w:rsidR="00F92D0F" w:rsidRPr="00206D41" w:rsidTr="00F92D0F">
        <w:trPr>
          <w:trHeight w:val="252"/>
        </w:trPr>
        <w:tc>
          <w:tcPr>
            <w:tcW w:w="1872" w:type="dxa"/>
            <w:vMerge/>
            <w:shd w:val="clear" w:color="auto" w:fill="auto"/>
          </w:tcPr>
          <w:p w:rsidR="00F92D0F" w:rsidRPr="00206D41" w:rsidRDefault="00F92D0F" w:rsidP="00F92D0F">
            <w:pPr>
              <w:rPr>
                <w:b/>
                <w:bCs/>
                <w:iCs/>
              </w:rPr>
            </w:pPr>
          </w:p>
        </w:tc>
        <w:tc>
          <w:tcPr>
            <w:tcW w:w="2442" w:type="dxa"/>
            <w:shd w:val="clear" w:color="auto" w:fill="auto"/>
          </w:tcPr>
          <w:p w:rsidR="00F92D0F" w:rsidRPr="00206D41" w:rsidRDefault="00F92D0F" w:rsidP="00F92D0F">
            <w:pPr>
              <w:spacing w:after="0" w:line="240" w:lineRule="auto"/>
              <w:rPr>
                <w:bCs/>
                <w:iCs/>
              </w:rPr>
            </w:pPr>
            <w:r>
              <w:rPr>
                <w:bCs/>
                <w:iCs/>
              </w:rPr>
              <w:t>SHUSA Director of Market Risk ALM</w:t>
            </w:r>
          </w:p>
        </w:tc>
        <w:tc>
          <w:tcPr>
            <w:tcW w:w="2442" w:type="dxa"/>
            <w:shd w:val="clear" w:color="auto" w:fill="auto"/>
          </w:tcPr>
          <w:p w:rsidR="00F92D0F" w:rsidRPr="00206D41" w:rsidRDefault="00F92D0F" w:rsidP="00F92D0F">
            <w:pPr>
              <w:spacing w:after="0" w:line="240" w:lineRule="auto"/>
              <w:rPr>
                <w:bCs/>
                <w:iCs/>
              </w:rPr>
            </w:pPr>
            <w:r>
              <w:rPr>
                <w:bCs/>
                <w:iCs/>
              </w:rPr>
              <w:t>SBNA Director of Market Risk ALM</w:t>
            </w:r>
          </w:p>
        </w:tc>
        <w:tc>
          <w:tcPr>
            <w:tcW w:w="2442" w:type="dxa"/>
            <w:shd w:val="clear" w:color="auto" w:fill="auto"/>
          </w:tcPr>
          <w:p w:rsidR="00F92D0F" w:rsidRPr="00206D41" w:rsidRDefault="00F92D0F" w:rsidP="00F92D0F">
            <w:pPr>
              <w:spacing w:after="0" w:line="240" w:lineRule="auto"/>
              <w:rPr>
                <w:bCs/>
                <w:iCs/>
              </w:rPr>
            </w:pPr>
            <w:r>
              <w:rPr>
                <w:bCs/>
                <w:iCs/>
              </w:rPr>
              <w:t>SC Director Market Risk ALM</w:t>
            </w:r>
          </w:p>
        </w:tc>
      </w:tr>
      <w:tr w:rsidR="00F92D0F" w:rsidRPr="00206D41" w:rsidTr="00F92D0F">
        <w:trPr>
          <w:cantSplit/>
          <w:trHeight w:val="360"/>
        </w:trPr>
        <w:tc>
          <w:tcPr>
            <w:tcW w:w="1872" w:type="dxa"/>
            <w:shd w:val="clear" w:color="auto" w:fill="auto"/>
          </w:tcPr>
          <w:p w:rsidR="00F92D0F" w:rsidRPr="00206D41" w:rsidRDefault="00F92D0F" w:rsidP="00F92D0F">
            <w:pPr>
              <w:ind w:left="-60"/>
              <w:rPr>
                <w:b/>
                <w:bCs/>
                <w:iCs/>
              </w:rPr>
            </w:pPr>
            <w:r>
              <w:rPr>
                <w:b/>
                <w:bCs/>
                <w:iCs/>
              </w:rPr>
              <w:t>TRIGGER AND LIMIT SETTING</w:t>
            </w:r>
          </w:p>
        </w:tc>
        <w:tc>
          <w:tcPr>
            <w:tcW w:w="7326" w:type="dxa"/>
            <w:gridSpan w:val="3"/>
            <w:shd w:val="clear" w:color="auto" w:fill="auto"/>
          </w:tcPr>
          <w:p w:rsidR="00F92D0F" w:rsidRPr="00254F91" w:rsidRDefault="00F92D0F" w:rsidP="00F92D0F">
            <w:pPr>
              <w:spacing w:after="0" w:line="240" w:lineRule="auto"/>
              <w:rPr>
                <w:rFonts w:asciiTheme="minorHAnsi" w:eastAsiaTheme="minorHAnsi" w:hAnsiTheme="minorHAnsi" w:cstheme="minorBidi"/>
                <w:iCs/>
              </w:rPr>
            </w:pPr>
            <w:r w:rsidRPr="003B5229">
              <w:rPr>
                <w:rFonts w:asciiTheme="minorHAnsi" w:eastAsiaTheme="minorHAnsi" w:hAnsiTheme="minorHAnsi" w:cstheme="minorBidi"/>
                <w:iCs/>
              </w:rPr>
              <w:t>SFR</w:t>
            </w:r>
            <w:r>
              <w:rPr>
                <w:rFonts w:asciiTheme="minorHAnsi" w:eastAsiaTheme="minorHAnsi" w:hAnsiTheme="minorHAnsi" w:cstheme="minorBidi"/>
                <w:iCs/>
              </w:rPr>
              <w:t xml:space="preserve"> trigger and</w:t>
            </w:r>
            <w:r w:rsidRPr="003B5229">
              <w:rPr>
                <w:rFonts w:asciiTheme="minorHAnsi" w:eastAsiaTheme="minorHAnsi" w:hAnsiTheme="minorHAnsi" w:cstheme="minorBidi"/>
                <w:iCs/>
              </w:rPr>
              <w:t xml:space="preserve"> limit are set keeping in mind the future regulatory minimum (100%) for the Net Stable Funding Ratio, adding a buffer per management discretion, and verifying against historical trends</w:t>
            </w:r>
            <w:r>
              <w:rPr>
                <w:rFonts w:asciiTheme="minorHAnsi" w:eastAsiaTheme="minorHAnsi" w:hAnsiTheme="minorHAnsi" w:cstheme="minorBidi"/>
                <w:iCs/>
              </w:rPr>
              <w:t>.</w:t>
            </w:r>
          </w:p>
        </w:tc>
      </w:tr>
      <w:tr w:rsidR="00F92D0F" w:rsidRPr="00206D41" w:rsidTr="00F92D0F">
        <w:trPr>
          <w:cantSplit/>
          <w:trHeight w:val="360"/>
        </w:trPr>
        <w:tc>
          <w:tcPr>
            <w:tcW w:w="1872" w:type="dxa"/>
            <w:shd w:val="clear" w:color="auto" w:fill="auto"/>
          </w:tcPr>
          <w:p w:rsidR="00F92D0F" w:rsidRPr="00206D41" w:rsidRDefault="00F92D0F" w:rsidP="00F92D0F">
            <w:pPr>
              <w:ind w:left="-60"/>
              <w:rPr>
                <w:b/>
                <w:bCs/>
                <w:iCs/>
              </w:rPr>
            </w:pPr>
            <w:r>
              <w:rPr>
                <w:b/>
                <w:bCs/>
                <w:iCs/>
              </w:rPr>
              <w:t>TESTING FREQUENCY</w:t>
            </w:r>
          </w:p>
        </w:tc>
        <w:tc>
          <w:tcPr>
            <w:tcW w:w="7326" w:type="dxa"/>
            <w:gridSpan w:val="3"/>
            <w:shd w:val="clear" w:color="auto" w:fill="auto"/>
          </w:tcPr>
          <w:p w:rsidR="00F92D0F" w:rsidRPr="001B002E" w:rsidRDefault="00F92D0F" w:rsidP="00F92D0F">
            <w:pPr>
              <w:spacing w:after="0" w:line="240" w:lineRule="auto"/>
              <w:rPr>
                <w:iCs/>
              </w:rPr>
            </w:pPr>
            <w:r w:rsidRPr="001B002E">
              <w:rPr>
                <w:iCs/>
              </w:rPr>
              <w:t>Monthly.</w:t>
            </w:r>
          </w:p>
          <w:p w:rsidR="00F92D0F" w:rsidRDefault="00F92D0F" w:rsidP="00F92D0F">
            <w:pPr>
              <w:spacing w:after="0" w:line="240" w:lineRule="auto"/>
              <w:rPr>
                <w:bCs/>
                <w:iCs/>
              </w:rPr>
            </w:pPr>
            <w:r w:rsidRPr="001B002E">
              <w:rPr>
                <w:iCs/>
              </w:rPr>
              <w:t xml:space="preserve">The </w:t>
            </w:r>
            <w:r w:rsidRPr="001B002E">
              <w:rPr>
                <w:bCs/>
                <w:iCs/>
              </w:rPr>
              <w:t>ratio of total structural funding to total structural needs</w:t>
            </w:r>
            <w:r>
              <w:rPr>
                <w:rStyle w:val="FootnoteReference"/>
                <w:bCs/>
                <w:iCs/>
              </w:rPr>
              <w:footnoteReference w:id="1"/>
            </w:r>
            <w:r w:rsidRPr="001B002E">
              <w:rPr>
                <w:bCs/>
                <w:iCs/>
              </w:rPr>
              <w:t>:</w:t>
            </w:r>
          </w:p>
          <w:p w:rsidR="00F92D0F" w:rsidRDefault="00ED1FF6" w:rsidP="00F92D0F">
            <w:pPr>
              <w:spacing w:after="0" w:line="240" w:lineRule="auto"/>
              <w:jc w:val="center"/>
              <w:rPr>
                <w:bCs/>
                <w:iCs/>
                <w:sz w:val="28"/>
                <w:szCs w:val="28"/>
              </w:rPr>
            </w:pPr>
            <m:oMath>
              <m:f>
                <m:fPr>
                  <m:ctrlPr>
                    <w:rPr>
                      <w:rFonts w:ascii="Cambria Math" w:hAnsi="Cambria Math"/>
                      <w:bCs/>
                      <w:iCs/>
                      <w:sz w:val="28"/>
                      <w:szCs w:val="28"/>
                    </w:rPr>
                  </m:ctrlPr>
                </m:fPr>
                <m:num>
                  <m:r>
                    <m:rPr>
                      <m:sty m:val="p"/>
                    </m:rPr>
                    <w:rPr>
                      <w:rFonts w:ascii="Cambria Math" w:hAnsi="Cambria Math"/>
                      <w:sz w:val="28"/>
                      <w:szCs w:val="28"/>
                    </w:rPr>
                    <m:t>Structural funding</m:t>
                  </m:r>
                </m:num>
                <m:den>
                  <m:r>
                    <m:rPr>
                      <m:sty m:val="p"/>
                    </m:rPr>
                    <w:rPr>
                      <w:rFonts w:ascii="Cambria Math" w:hAnsi="Cambria Math"/>
                      <w:sz w:val="28"/>
                      <w:szCs w:val="28"/>
                    </w:rPr>
                    <m:t>Structural needs</m:t>
                  </m:r>
                </m:den>
              </m:f>
            </m:oMath>
            <w:r w:rsidR="00F92D0F">
              <w:rPr>
                <w:bCs/>
                <w:iCs/>
                <w:sz w:val="28"/>
                <w:szCs w:val="28"/>
              </w:rPr>
              <w:t xml:space="preserve"> </w:t>
            </w:r>
          </w:p>
          <w:p w:rsidR="00F92D0F" w:rsidRPr="002E30C5" w:rsidRDefault="00F92D0F" w:rsidP="00F92D0F">
            <w:pPr>
              <w:spacing w:after="0" w:line="240" w:lineRule="auto"/>
              <w:jc w:val="center"/>
              <w:rPr>
                <w:bCs/>
                <w:iCs/>
                <w:sz w:val="28"/>
                <w:szCs w:val="28"/>
              </w:rPr>
            </w:pPr>
          </w:p>
        </w:tc>
      </w:tr>
      <w:tr w:rsidR="00F92D0F" w:rsidRPr="00206D41" w:rsidTr="00F92D0F">
        <w:trPr>
          <w:trHeight w:val="525"/>
        </w:trPr>
        <w:tc>
          <w:tcPr>
            <w:tcW w:w="1872" w:type="dxa"/>
            <w:shd w:val="clear" w:color="auto" w:fill="auto"/>
          </w:tcPr>
          <w:p w:rsidR="00F92D0F" w:rsidRPr="00206D41" w:rsidRDefault="00F92D0F" w:rsidP="00F92D0F">
            <w:pPr>
              <w:rPr>
                <w:b/>
                <w:bCs/>
                <w:iCs/>
              </w:rPr>
            </w:pPr>
            <w:r w:rsidRPr="00206D41">
              <w:rPr>
                <w:b/>
                <w:bCs/>
                <w:iCs/>
              </w:rPr>
              <w:t>SOURCE OF INFORMATION</w:t>
            </w:r>
          </w:p>
        </w:tc>
        <w:tc>
          <w:tcPr>
            <w:tcW w:w="7326" w:type="dxa"/>
            <w:gridSpan w:val="3"/>
            <w:shd w:val="clear" w:color="auto" w:fill="auto"/>
          </w:tcPr>
          <w:p w:rsidR="00F92D0F" w:rsidRPr="00907DCD" w:rsidRDefault="00F92D0F" w:rsidP="00F92D0F">
            <w:pPr>
              <w:spacing w:after="0" w:line="240" w:lineRule="auto"/>
              <w:rPr>
                <w:bCs/>
                <w:iCs/>
              </w:rPr>
            </w:pPr>
            <w:r w:rsidRPr="00907DCD">
              <w:rPr>
                <w:bCs/>
                <w:iCs/>
              </w:rPr>
              <w:t>SHUSA and SBNA - Liquidity risk  - File name: “201511_O_SFR_Detail”</w:t>
            </w:r>
          </w:p>
          <w:p w:rsidR="00F92D0F" w:rsidRPr="00907DCD" w:rsidRDefault="00F92D0F" w:rsidP="00F92D0F">
            <w:pPr>
              <w:spacing w:after="0" w:line="240" w:lineRule="auto"/>
              <w:rPr>
                <w:bCs/>
                <w:iCs/>
              </w:rPr>
            </w:pPr>
          </w:p>
          <w:p w:rsidR="00F92D0F" w:rsidRPr="00C05360" w:rsidRDefault="00F92D0F" w:rsidP="00F92D0F">
            <w:pPr>
              <w:spacing w:after="0" w:line="240" w:lineRule="auto"/>
              <w:rPr>
                <w:bCs/>
                <w:iCs/>
                <w:highlight w:val="yellow"/>
              </w:rPr>
            </w:pPr>
            <w:r w:rsidRPr="00907DCD">
              <w:rPr>
                <w:bCs/>
                <w:iCs/>
              </w:rPr>
              <w:t xml:space="preserve">SC - </w:t>
            </w:r>
            <w:r w:rsidRPr="00907DCD">
              <w:rPr>
                <w:iCs/>
              </w:rPr>
              <w:t>Director of Liquidity Risk is responsible for production of metric. Structural Funding Ratio data is collected from Treasury and Accounting.</w:t>
            </w:r>
          </w:p>
        </w:tc>
      </w:tr>
    </w:tbl>
    <w:p w:rsidR="00582115" w:rsidRDefault="00582115" w:rsidP="0057138C">
      <w:pPr>
        <w:pStyle w:val="ListParagraph"/>
        <w:ind w:left="680"/>
        <w:rPr>
          <w:lang w:val="it-IT"/>
        </w:rPr>
      </w:pPr>
    </w:p>
    <w:p w:rsidR="004145FC" w:rsidRDefault="004145FC" w:rsidP="0057138C">
      <w:pPr>
        <w:pStyle w:val="ListParagraph"/>
        <w:ind w:left="680"/>
        <w:rPr>
          <w:lang w:val="it-IT"/>
        </w:rPr>
      </w:pPr>
    </w:p>
    <w:p w:rsidR="004145FC" w:rsidRDefault="004145FC" w:rsidP="0057138C">
      <w:pPr>
        <w:pStyle w:val="ListParagraph"/>
        <w:ind w:left="680"/>
        <w:rPr>
          <w:lang w:val="it-IT"/>
        </w:rPr>
      </w:pPr>
    </w:p>
    <w:p w:rsidR="0057138C" w:rsidRPr="004145FC" w:rsidRDefault="00F92D0F" w:rsidP="0057138C">
      <w:pPr>
        <w:pStyle w:val="ListParagraph"/>
        <w:numPr>
          <w:ilvl w:val="1"/>
          <w:numId w:val="1"/>
        </w:numPr>
        <w:rPr>
          <w:b/>
        </w:rPr>
      </w:pPr>
      <w:r w:rsidRPr="004145FC">
        <w:rPr>
          <w:b/>
        </w:rPr>
        <w:t>S</w:t>
      </w:r>
      <w:r w:rsidR="0057138C" w:rsidRPr="004145FC">
        <w:rPr>
          <w:b/>
        </w:rPr>
        <w:t>CUSA - Available committed liquidity/average projected net originations</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F92D0F" w:rsidRPr="00206D41" w:rsidTr="00F92D0F">
        <w:trPr>
          <w:cantSplit/>
          <w:trHeight w:val="462"/>
        </w:trPr>
        <w:tc>
          <w:tcPr>
            <w:tcW w:w="1728" w:type="dxa"/>
            <w:shd w:val="clear" w:color="auto" w:fill="auto"/>
          </w:tcPr>
          <w:p w:rsidR="00F92D0F" w:rsidRPr="00206D41" w:rsidRDefault="00F92D0F" w:rsidP="00F92D0F">
            <w:pPr>
              <w:keepNext/>
              <w:rPr>
                <w:b/>
                <w:bCs/>
                <w:iCs/>
              </w:rPr>
            </w:pPr>
            <w:r>
              <w:rPr>
                <w:b/>
                <w:bCs/>
                <w:iCs/>
              </w:rPr>
              <w:t>DEFINITION</w:t>
            </w:r>
          </w:p>
        </w:tc>
        <w:tc>
          <w:tcPr>
            <w:tcW w:w="7470" w:type="dxa"/>
            <w:gridSpan w:val="3"/>
            <w:shd w:val="clear" w:color="auto" w:fill="auto"/>
          </w:tcPr>
          <w:p w:rsidR="00F92D0F" w:rsidRPr="00206D41" w:rsidRDefault="00F92D0F" w:rsidP="00F92D0F">
            <w:pPr>
              <w:keepNext/>
              <w:spacing w:after="0" w:line="240" w:lineRule="auto"/>
              <w:rPr>
                <w:bCs/>
                <w:iCs/>
              </w:rPr>
            </w:pPr>
            <w:r>
              <w:rPr>
                <w:bCs/>
                <w:iCs/>
              </w:rPr>
              <w:t>A measurement of the c</w:t>
            </w:r>
            <w:r w:rsidRPr="00E057DD">
              <w:rPr>
                <w:bCs/>
                <w:iCs/>
              </w:rPr>
              <w:t>ommitted liquidity available to SC against projected net originations.</w:t>
            </w:r>
            <w:r>
              <w:rPr>
                <w:bCs/>
                <w:iCs/>
              </w:rPr>
              <w:t xml:space="preserve"> </w:t>
            </w:r>
          </w:p>
          <w:p w:rsidR="00F92D0F" w:rsidRPr="00206D41" w:rsidRDefault="00F92D0F" w:rsidP="00F92D0F">
            <w:pPr>
              <w:keepNext/>
              <w:spacing w:after="0" w:line="240" w:lineRule="auto"/>
              <w:rPr>
                <w:bCs/>
                <w:iCs/>
              </w:rPr>
            </w:pPr>
          </w:p>
        </w:tc>
      </w:tr>
      <w:tr w:rsidR="00713D83" w:rsidRPr="00206D41" w:rsidTr="00F92D0F">
        <w:trPr>
          <w:trHeight w:val="462"/>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r w:rsidR="004145FC">
              <w:rPr>
                <w:bCs/>
                <w:iCs/>
              </w:rPr>
              <w:t xml:space="preserve"> calculation and Limits</w:t>
            </w:r>
          </w:p>
        </w:tc>
      </w:tr>
      <w:tr w:rsidR="00F92D0F" w:rsidRPr="00206D41" w:rsidTr="00F92D0F">
        <w:trPr>
          <w:trHeight w:val="270"/>
        </w:trPr>
        <w:tc>
          <w:tcPr>
            <w:tcW w:w="1728" w:type="dxa"/>
            <w:vMerge w:val="restart"/>
            <w:shd w:val="clear" w:color="auto" w:fill="auto"/>
          </w:tcPr>
          <w:p w:rsidR="00F92D0F" w:rsidRPr="00206D41" w:rsidRDefault="00F92D0F" w:rsidP="00F92D0F">
            <w:pPr>
              <w:keepNext/>
              <w:rPr>
                <w:b/>
                <w:bCs/>
                <w:iCs/>
              </w:rPr>
            </w:pPr>
            <w:r w:rsidRPr="00206D41">
              <w:rPr>
                <w:b/>
                <w:bCs/>
                <w:iCs/>
              </w:rPr>
              <w:t>ENTITY</w:t>
            </w:r>
          </w:p>
        </w:tc>
        <w:tc>
          <w:tcPr>
            <w:tcW w:w="2490" w:type="dxa"/>
            <w:shd w:val="clear" w:color="auto" w:fill="auto"/>
          </w:tcPr>
          <w:p w:rsidR="00F92D0F" w:rsidRPr="00E057DD" w:rsidRDefault="00F92D0F" w:rsidP="00F92D0F">
            <w:pPr>
              <w:keepNext/>
              <w:spacing w:after="0" w:line="240" w:lineRule="auto"/>
              <w:rPr>
                <w:b/>
                <w:bCs/>
                <w:iCs/>
              </w:rPr>
            </w:pPr>
            <w:r w:rsidRPr="00E057DD">
              <w:rPr>
                <w:b/>
                <w:bCs/>
                <w:iCs/>
              </w:rPr>
              <w:t>SHUSA</w:t>
            </w:r>
          </w:p>
        </w:tc>
        <w:tc>
          <w:tcPr>
            <w:tcW w:w="2490" w:type="dxa"/>
            <w:shd w:val="clear" w:color="auto" w:fill="auto"/>
          </w:tcPr>
          <w:p w:rsidR="00F92D0F" w:rsidRPr="00E057DD" w:rsidRDefault="00F92D0F" w:rsidP="00F92D0F">
            <w:pPr>
              <w:keepNext/>
              <w:spacing w:after="0" w:line="240" w:lineRule="auto"/>
              <w:rPr>
                <w:b/>
                <w:bCs/>
                <w:iCs/>
              </w:rPr>
            </w:pPr>
            <w:r w:rsidRPr="00E057DD">
              <w:rPr>
                <w:b/>
                <w:bCs/>
                <w:iCs/>
              </w:rPr>
              <w:t>SBNA</w:t>
            </w:r>
          </w:p>
        </w:tc>
        <w:tc>
          <w:tcPr>
            <w:tcW w:w="2490" w:type="dxa"/>
            <w:shd w:val="clear" w:color="auto" w:fill="auto"/>
          </w:tcPr>
          <w:p w:rsidR="00F92D0F" w:rsidRPr="00E057DD" w:rsidRDefault="00F92D0F" w:rsidP="00F92D0F">
            <w:pPr>
              <w:keepNext/>
              <w:spacing w:after="0" w:line="240" w:lineRule="auto"/>
              <w:rPr>
                <w:b/>
                <w:bCs/>
                <w:iCs/>
              </w:rPr>
            </w:pPr>
            <w:r w:rsidRPr="00E057DD">
              <w:rPr>
                <w:b/>
                <w:bCs/>
                <w:iCs/>
              </w:rPr>
              <w:t>SC</w:t>
            </w:r>
          </w:p>
        </w:tc>
      </w:tr>
      <w:tr w:rsidR="00F92D0F" w:rsidRPr="00206D41" w:rsidTr="00F92D0F">
        <w:trPr>
          <w:trHeight w:val="270"/>
        </w:trPr>
        <w:tc>
          <w:tcPr>
            <w:tcW w:w="1728" w:type="dxa"/>
            <w:vMerge/>
            <w:shd w:val="clear" w:color="auto" w:fill="auto"/>
          </w:tcPr>
          <w:p w:rsidR="00F92D0F" w:rsidRPr="00206D41" w:rsidRDefault="00F92D0F" w:rsidP="00F92D0F">
            <w:pPr>
              <w:keepNext/>
              <w:rPr>
                <w:b/>
                <w:bCs/>
                <w:iCs/>
              </w:rPr>
            </w:pPr>
          </w:p>
        </w:tc>
        <w:tc>
          <w:tcPr>
            <w:tcW w:w="2490" w:type="dxa"/>
            <w:shd w:val="clear" w:color="auto" w:fill="auto"/>
          </w:tcPr>
          <w:p w:rsidR="00F92D0F" w:rsidRPr="00206D41" w:rsidRDefault="00F92D0F" w:rsidP="00F92D0F">
            <w:pPr>
              <w:keepNext/>
              <w:spacing w:after="0" w:line="240" w:lineRule="auto"/>
              <w:rPr>
                <w:bCs/>
                <w:iCs/>
              </w:rPr>
            </w:pPr>
            <w:r>
              <w:rPr>
                <w:bCs/>
                <w:iCs/>
              </w:rPr>
              <w:t>Yes</w:t>
            </w:r>
          </w:p>
        </w:tc>
        <w:tc>
          <w:tcPr>
            <w:tcW w:w="2490" w:type="dxa"/>
            <w:shd w:val="clear" w:color="auto" w:fill="auto"/>
          </w:tcPr>
          <w:p w:rsidR="00F92D0F" w:rsidRPr="00206D41" w:rsidRDefault="00F92D0F" w:rsidP="00F92D0F">
            <w:pPr>
              <w:keepNext/>
              <w:spacing w:after="0" w:line="240" w:lineRule="auto"/>
              <w:rPr>
                <w:bCs/>
                <w:iCs/>
              </w:rPr>
            </w:pPr>
            <w:r w:rsidRPr="00206D41">
              <w:rPr>
                <w:bCs/>
                <w:iCs/>
              </w:rPr>
              <w:t>N/A</w:t>
            </w:r>
          </w:p>
        </w:tc>
        <w:tc>
          <w:tcPr>
            <w:tcW w:w="2490" w:type="dxa"/>
            <w:shd w:val="clear" w:color="auto" w:fill="auto"/>
          </w:tcPr>
          <w:p w:rsidR="00F92D0F" w:rsidRPr="00206D41" w:rsidRDefault="00F92D0F" w:rsidP="00F92D0F">
            <w:pPr>
              <w:keepNext/>
              <w:spacing w:after="0" w:line="240" w:lineRule="auto"/>
              <w:rPr>
                <w:bCs/>
                <w:iCs/>
              </w:rPr>
            </w:pPr>
            <w:r w:rsidRPr="00206D41">
              <w:rPr>
                <w:bCs/>
                <w:iCs/>
              </w:rPr>
              <w:t>Yes</w:t>
            </w:r>
          </w:p>
        </w:tc>
      </w:tr>
      <w:tr w:rsidR="00F92D0F" w:rsidRPr="00206D41" w:rsidTr="00F92D0F">
        <w:trPr>
          <w:trHeight w:val="270"/>
        </w:trPr>
        <w:tc>
          <w:tcPr>
            <w:tcW w:w="1728" w:type="dxa"/>
            <w:vMerge w:val="restart"/>
            <w:shd w:val="clear" w:color="auto" w:fill="auto"/>
          </w:tcPr>
          <w:p w:rsidR="00F92D0F" w:rsidRPr="00206D41" w:rsidRDefault="00F92D0F" w:rsidP="00F92D0F">
            <w:pPr>
              <w:keepNext/>
              <w:rPr>
                <w:b/>
                <w:bCs/>
                <w:iCs/>
              </w:rPr>
            </w:pPr>
            <w:r>
              <w:rPr>
                <w:b/>
                <w:bCs/>
                <w:iCs/>
              </w:rPr>
              <w:t xml:space="preserve">METRIC OWNER </w:t>
            </w:r>
          </w:p>
        </w:tc>
        <w:tc>
          <w:tcPr>
            <w:tcW w:w="2490" w:type="dxa"/>
            <w:shd w:val="clear" w:color="auto" w:fill="auto"/>
          </w:tcPr>
          <w:p w:rsidR="00F92D0F" w:rsidRPr="00E057DD" w:rsidRDefault="00F92D0F" w:rsidP="00F92D0F">
            <w:pPr>
              <w:keepNext/>
              <w:spacing w:after="0" w:line="240" w:lineRule="auto"/>
              <w:rPr>
                <w:b/>
                <w:bCs/>
                <w:iCs/>
              </w:rPr>
            </w:pPr>
            <w:r w:rsidRPr="00E057DD">
              <w:rPr>
                <w:b/>
                <w:bCs/>
                <w:iCs/>
              </w:rPr>
              <w:t xml:space="preserve">SHUSA </w:t>
            </w:r>
          </w:p>
        </w:tc>
        <w:tc>
          <w:tcPr>
            <w:tcW w:w="2490" w:type="dxa"/>
            <w:shd w:val="clear" w:color="auto" w:fill="auto"/>
          </w:tcPr>
          <w:p w:rsidR="00F92D0F" w:rsidRPr="00E057DD" w:rsidRDefault="00F92D0F" w:rsidP="00F92D0F">
            <w:pPr>
              <w:keepNext/>
              <w:spacing w:after="0" w:line="240" w:lineRule="auto"/>
              <w:rPr>
                <w:b/>
                <w:bCs/>
                <w:iCs/>
              </w:rPr>
            </w:pPr>
            <w:r w:rsidRPr="00E057DD">
              <w:rPr>
                <w:b/>
                <w:bCs/>
                <w:iCs/>
              </w:rPr>
              <w:t>SBNA</w:t>
            </w:r>
          </w:p>
        </w:tc>
        <w:tc>
          <w:tcPr>
            <w:tcW w:w="2490" w:type="dxa"/>
            <w:shd w:val="clear" w:color="auto" w:fill="auto"/>
          </w:tcPr>
          <w:p w:rsidR="00F92D0F" w:rsidRPr="00E057DD" w:rsidRDefault="00F92D0F" w:rsidP="00F92D0F">
            <w:pPr>
              <w:keepNext/>
              <w:spacing w:after="0" w:line="240" w:lineRule="auto"/>
              <w:rPr>
                <w:b/>
                <w:bCs/>
                <w:iCs/>
              </w:rPr>
            </w:pPr>
            <w:r w:rsidRPr="00E057DD">
              <w:rPr>
                <w:b/>
                <w:bCs/>
                <w:iCs/>
              </w:rPr>
              <w:t>SC</w:t>
            </w:r>
          </w:p>
        </w:tc>
      </w:tr>
      <w:tr w:rsidR="00F92D0F" w:rsidRPr="00206D41" w:rsidTr="00F92D0F">
        <w:trPr>
          <w:trHeight w:val="270"/>
        </w:trPr>
        <w:tc>
          <w:tcPr>
            <w:tcW w:w="1728" w:type="dxa"/>
            <w:vMerge/>
            <w:shd w:val="clear" w:color="auto" w:fill="auto"/>
          </w:tcPr>
          <w:p w:rsidR="00F92D0F" w:rsidRDefault="00F92D0F" w:rsidP="00F92D0F">
            <w:pPr>
              <w:keepNext/>
              <w:rPr>
                <w:b/>
                <w:bCs/>
                <w:iCs/>
              </w:rPr>
            </w:pPr>
          </w:p>
        </w:tc>
        <w:tc>
          <w:tcPr>
            <w:tcW w:w="2490" w:type="dxa"/>
            <w:shd w:val="clear" w:color="auto" w:fill="auto"/>
          </w:tcPr>
          <w:p w:rsidR="00F92D0F" w:rsidRPr="00206D41" w:rsidRDefault="00F92D0F" w:rsidP="00F92D0F">
            <w:pPr>
              <w:keepNext/>
              <w:spacing w:after="0" w:line="240" w:lineRule="auto"/>
              <w:rPr>
                <w:bCs/>
                <w:iCs/>
              </w:rPr>
            </w:pPr>
            <w:r>
              <w:rPr>
                <w:bCs/>
                <w:iCs/>
              </w:rPr>
              <w:t>SHUSA</w:t>
            </w:r>
            <w:r w:rsidRPr="00B75C61">
              <w:rPr>
                <w:bCs/>
                <w:iCs/>
              </w:rPr>
              <w:t xml:space="preserve"> Director of Market Risk ALM</w:t>
            </w:r>
          </w:p>
        </w:tc>
        <w:tc>
          <w:tcPr>
            <w:tcW w:w="2490" w:type="dxa"/>
            <w:shd w:val="clear" w:color="auto" w:fill="auto"/>
          </w:tcPr>
          <w:p w:rsidR="00F92D0F" w:rsidRPr="00206D41" w:rsidRDefault="00F92D0F" w:rsidP="00F92D0F">
            <w:pPr>
              <w:keepNext/>
              <w:spacing w:after="0" w:line="240" w:lineRule="auto"/>
              <w:rPr>
                <w:bCs/>
                <w:iCs/>
              </w:rPr>
            </w:pPr>
            <w:r>
              <w:rPr>
                <w:bCs/>
                <w:iCs/>
              </w:rPr>
              <w:t>N/A</w:t>
            </w:r>
          </w:p>
        </w:tc>
        <w:tc>
          <w:tcPr>
            <w:tcW w:w="2490" w:type="dxa"/>
            <w:shd w:val="clear" w:color="auto" w:fill="auto"/>
          </w:tcPr>
          <w:p w:rsidR="00F92D0F" w:rsidRPr="00206D41" w:rsidRDefault="00F92D0F" w:rsidP="00F92D0F">
            <w:pPr>
              <w:keepNext/>
              <w:spacing w:after="0" w:line="240" w:lineRule="auto"/>
              <w:rPr>
                <w:bCs/>
                <w:iCs/>
              </w:rPr>
            </w:pPr>
            <w:r>
              <w:rPr>
                <w:bCs/>
                <w:iCs/>
              </w:rPr>
              <w:t>SC Director of Market Risk ALM</w:t>
            </w:r>
          </w:p>
        </w:tc>
      </w:tr>
      <w:tr w:rsidR="00F92D0F" w:rsidRPr="00206D41" w:rsidTr="00F92D0F">
        <w:trPr>
          <w:cantSplit/>
          <w:trHeight w:val="3292"/>
        </w:trPr>
        <w:tc>
          <w:tcPr>
            <w:tcW w:w="1728" w:type="dxa"/>
            <w:shd w:val="clear" w:color="auto" w:fill="auto"/>
          </w:tcPr>
          <w:p w:rsidR="00F92D0F" w:rsidRPr="00206D41" w:rsidRDefault="00F92D0F" w:rsidP="00F92D0F">
            <w:pPr>
              <w:ind w:left="-60"/>
              <w:rPr>
                <w:b/>
                <w:bCs/>
                <w:iCs/>
              </w:rPr>
            </w:pPr>
            <w:r>
              <w:rPr>
                <w:b/>
                <w:bCs/>
                <w:iCs/>
              </w:rPr>
              <w:lastRenderedPageBreak/>
              <w:t>TRIGGER AND LIMIT SETTING</w:t>
            </w:r>
          </w:p>
        </w:tc>
        <w:tc>
          <w:tcPr>
            <w:tcW w:w="7470" w:type="dxa"/>
            <w:gridSpan w:val="3"/>
            <w:shd w:val="clear" w:color="auto" w:fill="auto"/>
          </w:tcPr>
          <w:p w:rsidR="00F92D0F" w:rsidRDefault="00F92D0F" w:rsidP="00F92D0F">
            <w:pPr>
              <w:spacing w:after="0" w:line="240" w:lineRule="auto"/>
              <w:rPr>
                <w:rFonts w:asciiTheme="minorHAnsi" w:eastAsiaTheme="minorHAnsi" w:hAnsiTheme="minorHAnsi" w:cstheme="minorBidi"/>
                <w:iCs/>
              </w:rPr>
            </w:pPr>
            <w:r w:rsidRPr="00B75C61">
              <w:rPr>
                <w:rFonts w:asciiTheme="minorHAnsi" w:eastAsiaTheme="minorHAnsi" w:hAnsiTheme="minorHAnsi" w:cstheme="minorBidi"/>
                <w:iCs/>
              </w:rPr>
              <w:t>Due to the nature of its business, SC does not have a liquidity stress testing survival horizon metric or an LCR metric</w:t>
            </w:r>
            <w:r>
              <w:rPr>
                <w:rFonts w:asciiTheme="minorHAnsi" w:eastAsiaTheme="minorHAnsi" w:hAnsiTheme="minorHAnsi" w:cstheme="minorBidi"/>
                <w:iCs/>
              </w:rPr>
              <w:t xml:space="preserve">. </w:t>
            </w:r>
          </w:p>
          <w:p w:rsidR="00F92D0F" w:rsidRDefault="00F92D0F" w:rsidP="00F92D0F">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Committed Liquidity metric has been designed by management at SHUSA and SC to </w:t>
            </w:r>
            <w:r w:rsidRPr="00B75C61">
              <w:rPr>
                <w:rFonts w:asciiTheme="minorHAnsi" w:eastAsiaTheme="minorHAnsi" w:hAnsiTheme="minorHAnsi" w:cstheme="minorBidi"/>
                <w:iCs/>
              </w:rPr>
              <w:t>ensure SC has adequate liquidity to cover the time between loan origination and the time at which assets are placed in match-funded securitizations</w:t>
            </w:r>
            <w:r>
              <w:rPr>
                <w:rFonts w:asciiTheme="minorHAnsi" w:eastAsiaTheme="minorHAnsi" w:hAnsiTheme="minorHAnsi" w:cstheme="minorBidi"/>
                <w:iCs/>
              </w:rPr>
              <w:t>.</w:t>
            </w:r>
          </w:p>
          <w:p w:rsidR="00F92D0F" w:rsidRDefault="00F92D0F" w:rsidP="00F92D0F">
            <w:pPr>
              <w:pStyle w:val="ListParagraph"/>
              <w:numPr>
                <w:ilvl w:val="0"/>
                <w:numId w:val="5"/>
              </w:numPr>
              <w:spacing w:after="0" w:line="240" w:lineRule="auto"/>
              <w:rPr>
                <w:iCs/>
              </w:rPr>
            </w:pPr>
            <w:r w:rsidRPr="00B75C61">
              <w:rPr>
                <w:iCs/>
              </w:rPr>
              <w:t>The amber trigger of 6 months was established by evaluating the changes to the level of the metric if monthly funding needs increase to $1,000 MM and available liquidity decreases by $500 MM</w:t>
            </w:r>
            <w:r>
              <w:rPr>
                <w:iCs/>
              </w:rPr>
              <w:t xml:space="preserve">. </w:t>
            </w:r>
          </w:p>
          <w:p w:rsidR="00F92D0F" w:rsidRPr="00B75C61" w:rsidRDefault="00F92D0F" w:rsidP="00F92D0F">
            <w:pPr>
              <w:pStyle w:val="ListParagraph"/>
              <w:numPr>
                <w:ilvl w:val="0"/>
                <w:numId w:val="5"/>
              </w:numPr>
              <w:spacing w:after="0" w:line="240" w:lineRule="auto"/>
              <w:rPr>
                <w:iCs/>
              </w:rPr>
            </w:pPr>
            <w:r w:rsidRPr="00B75C61">
              <w:rPr>
                <w:iCs/>
              </w:rPr>
              <w:t>The red limit of 5 months was established by evaluating the changes to the level of the metric if monthly funding needs increase to $1,250 MM or greater without an increase in available liquidity</w:t>
            </w:r>
            <w:r>
              <w:rPr>
                <w:iCs/>
              </w:rPr>
              <w:t xml:space="preserve">. </w:t>
            </w:r>
          </w:p>
        </w:tc>
      </w:tr>
      <w:tr w:rsidR="00F92D0F" w:rsidRPr="00206D41" w:rsidTr="00F92D0F">
        <w:trPr>
          <w:cantSplit/>
          <w:trHeight w:val="360"/>
        </w:trPr>
        <w:tc>
          <w:tcPr>
            <w:tcW w:w="1728" w:type="dxa"/>
            <w:shd w:val="clear" w:color="auto" w:fill="auto"/>
          </w:tcPr>
          <w:p w:rsidR="00F92D0F" w:rsidRPr="00206D41" w:rsidRDefault="00F92D0F" w:rsidP="00F92D0F">
            <w:pPr>
              <w:keepNext/>
              <w:ind w:left="-60"/>
              <w:rPr>
                <w:b/>
                <w:bCs/>
                <w:iCs/>
              </w:rPr>
            </w:pPr>
            <w:r>
              <w:rPr>
                <w:b/>
                <w:bCs/>
                <w:iCs/>
              </w:rPr>
              <w:t>TESTING FREQUENCY</w:t>
            </w:r>
          </w:p>
        </w:tc>
        <w:tc>
          <w:tcPr>
            <w:tcW w:w="7470" w:type="dxa"/>
            <w:gridSpan w:val="3"/>
            <w:shd w:val="clear" w:color="auto" w:fill="auto"/>
          </w:tcPr>
          <w:p w:rsidR="00F92D0F" w:rsidRDefault="00F92D0F" w:rsidP="00F92D0F">
            <w:pPr>
              <w:keepNext/>
              <w:tabs>
                <w:tab w:val="left" w:pos="1755"/>
              </w:tabs>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rsidR="00F92D0F" w:rsidRDefault="00F92D0F" w:rsidP="00F92D0F">
            <w:pPr>
              <w:keepNext/>
              <w:tabs>
                <w:tab w:val="left" w:pos="1755"/>
              </w:tabs>
              <w:spacing w:after="0" w:line="240" w:lineRule="auto"/>
              <w:rPr>
                <w:rFonts w:asciiTheme="minorHAnsi" w:eastAsiaTheme="minorHAnsi" w:hAnsiTheme="minorHAnsi" w:cstheme="minorBidi"/>
                <w:iCs/>
              </w:rPr>
            </w:pPr>
          </w:p>
          <w:p w:rsidR="00F92D0F" w:rsidRDefault="00ED1FF6" w:rsidP="00F92D0F">
            <w:pPr>
              <w:keepNext/>
              <w:spacing w:after="0" w:line="240" w:lineRule="auto"/>
              <w:jc w:val="center"/>
              <w:rPr>
                <w:rFonts w:asciiTheme="minorHAnsi" w:eastAsiaTheme="minorHAnsi" w:hAnsiTheme="minorHAnsi" w:cstheme="minorBidi"/>
                <w:iCs/>
              </w:rPr>
            </w:pPr>
            <m:oMathPara>
              <m:oMath>
                <m:f>
                  <m:fPr>
                    <m:ctrlPr>
                      <w:rPr>
                        <w:rFonts w:ascii="Cambria Math" w:eastAsiaTheme="minorHAnsi" w:hAnsi="Cambria Math" w:cstheme="minorBidi"/>
                        <w:i/>
                        <w:iCs/>
                      </w:rPr>
                    </m:ctrlPr>
                  </m:fPr>
                  <m:num>
                    <m:r>
                      <w:rPr>
                        <w:rFonts w:ascii="Cambria Math" w:eastAsiaTheme="minorHAnsi" w:hAnsi="Cambria Math" w:cstheme="minorBidi"/>
                      </w:rPr>
                      <m:t>Current capacity available for Warehouse Loans+BSNY Line</m:t>
                    </m:r>
                  </m:num>
                  <m:den>
                    <m:eqArr>
                      <m:eqArrPr>
                        <m:ctrlPr>
                          <w:rPr>
                            <w:rFonts w:ascii="Cambria Math" w:eastAsiaTheme="minorHAnsi" w:hAnsi="Cambria Math" w:cstheme="minorBidi"/>
                            <w:i/>
                          </w:rPr>
                        </m:ctrlPr>
                      </m:eqArrPr>
                      <m:e>
                        <m:r>
                          <w:rPr>
                            <w:rFonts w:ascii="Cambria Math" w:eastAsiaTheme="minorHAnsi" w:hAnsi="Cambria Math" w:cstheme="minorBidi"/>
                          </w:rPr>
                          <m:t xml:space="preserve">Average (projected monthly net funding needs for next 6 months </m:t>
                        </m:r>
                      </m:e>
                      <m:e>
                        <m:r>
                          <w:rPr>
                            <w:rFonts w:ascii="Cambria Math" w:eastAsiaTheme="minorHAnsi" w:hAnsi="Cambria Math" w:cstheme="minorBidi"/>
                          </w:rPr>
                          <m:t>- Paydowns-Subventions or Discounts-Flow Agreements</m:t>
                        </m:r>
                      </m:e>
                    </m:eqArr>
                  </m:den>
                </m:f>
              </m:oMath>
            </m:oMathPara>
          </w:p>
          <w:p w:rsidR="00F92D0F" w:rsidRDefault="00F92D0F" w:rsidP="00F92D0F">
            <w:pPr>
              <w:keepNext/>
              <w:spacing w:after="0" w:line="240" w:lineRule="auto"/>
              <w:rPr>
                <w:rFonts w:asciiTheme="minorHAnsi" w:eastAsiaTheme="minorHAnsi" w:hAnsiTheme="minorHAnsi" w:cstheme="minorBidi"/>
                <w:iCs/>
              </w:rPr>
            </w:pPr>
          </w:p>
          <w:p w:rsidR="00F92D0F" w:rsidRDefault="00F92D0F" w:rsidP="00F92D0F">
            <w:pPr>
              <w:keepNext/>
              <w:spacing w:after="0" w:line="240" w:lineRule="auto"/>
              <w:rPr>
                <w:bCs/>
                <w:iCs/>
              </w:rPr>
            </w:pPr>
            <w:r w:rsidRPr="00E057DD">
              <w:rPr>
                <w:bCs/>
                <w:iCs/>
              </w:rPr>
              <w:t xml:space="preserve">For conservatism the metric assumes no access to the securitization market (unless a new issuance has already been priced at the time of metric calculation) </w:t>
            </w:r>
          </w:p>
          <w:p w:rsidR="00F92D0F" w:rsidRDefault="00F92D0F" w:rsidP="00F92D0F">
            <w:pPr>
              <w:keepNext/>
              <w:spacing w:after="0" w:line="240" w:lineRule="auto"/>
              <w:rPr>
                <w:bCs/>
                <w:iCs/>
              </w:rPr>
            </w:pPr>
          </w:p>
          <w:p w:rsidR="00F92D0F" w:rsidRPr="00E057DD" w:rsidRDefault="00F92D0F" w:rsidP="00F92D0F">
            <w:pPr>
              <w:keepNext/>
              <w:spacing w:after="0" w:line="240" w:lineRule="auto"/>
              <w:rPr>
                <w:rFonts w:asciiTheme="minorHAnsi" w:eastAsiaTheme="minorHAnsi" w:hAnsiTheme="minorHAnsi" w:cstheme="minorBidi"/>
                <w:iCs/>
              </w:rPr>
            </w:pPr>
            <w:r w:rsidRPr="00B75C61">
              <w:rPr>
                <w:rFonts w:asciiTheme="minorHAnsi" w:eastAsiaTheme="minorHAnsi" w:hAnsiTheme="minorHAnsi" w:cstheme="minorBidi"/>
                <w:iCs/>
              </w:rPr>
              <w:t xml:space="preserve">No available balance under the </w:t>
            </w:r>
            <w:r>
              <w:rPr>
                <w:rFonts w:asciiTheme="minorHAnsi" w:eastAsiaTheme="minorHAnsi" w:hAnsiTheme="minorHAnsi" w:cstheme="minorBidi"/>
                <w:iCs/>
              </w:rPr>
              <w:t>BSNY</w:t>
            </w:r>
            <w:r w:rsidRPr="00B75C61">
              <w:rPr>
                <w:rFonts w:asciiTheme="minorHAnsi" w:eastAsiaTheme="minorHAnsi" w:hAnsiTheme="minorHAnsi" w:cstheme="minorBidi"/>
                <w:iCs/>
              </w:rPr>
              <w:t xml:space="preserve"> line will be included in the metric from Sep-16 onwards. At end of each year, 1.5B BSNY line will become liquidity back-up line which is only available if a “liquidity event” is invoked under the SC Liquidity Policy.</w:t>
            </w:r>
            <w:r w:rsidRPr="00E057DD">
              <w:rPr>
                <w:rFonts w:asciiTheme="minorHAnsi" w:eastAsiaTheme="minorHAnsi" w:hAnsiTheme="minorHAnsi" w:cstheme="minorBidi"/>
                <w:iCs/>
              </w:rPr>
              <w:tab/>
            </w:r>
          </w:p>
        </w:tc>
      </w:tr>
      <w:tr w:rsidR="00F92D0F" w:rsidRPr="001903BB" w:rsidTr="00F92D0F">
        <w:trPr>
          <w:trHeight w:val="525"/>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470" w:type="dxa"/>
            <w:gridSpan w:val="3"/>
            <w:shd w:val="clear" w:color="auto" w:fill="auto"/>
          </w:tcPr>
          <w:p w:rsidR="00F92D0F" w:rsidRPr="002B6FE8" w:rsidRDefault="00F92D0F" w:rsidP="00F92D0F">
            <w:pPr>
              <w:spacing w:after="0" w:line="240" w:lineRule="auto"/>
              <w:rPr>
                <w:bCs/>
                <w:iCs/>
                <w:lang w:val="it-IT"/>
              </w:rPr>
            </w:pPr>
            <w:r>
              <w:rPr>
                <w:bCs/>
                <w:iCs/>
                <w:lang w:val="it-IT"/>
              </w:rPr>
              <w:t xml:space="preserve">- </w:t>
            </w:r>
            <w:r w:rsidRPr="002B6FE8">
              <w:rPr>
                <w:bCs/>
                <w:iCs/>
                <w:lang w:val="it-IT"/>
              </w:rPr>
              <w:t>External warehouse capacity and available remaining BSNY commitment; data provided by SC Treasury</w:t>
            </w:r>
          </w:p>
          <w:p w:rsidR="00F92D0F" w:rsidRDefault="00F92D0F" w:rsidP="00F92D0F">
            <w:pPr>
              <w:spacing w:after="0" w:line="240" w:lineRule="auto"/>
              <w:rPr>
                <w:bCs/>
                <w:iCs/>
                <w:lang w:val="it-IT"/>
              </w:rPr>
            </w:pPr>
            <w:r>
              <w:rPr>
                <w:bCs/>
                <w:iCs/>
                <w:lang w:val="it-IT"/>
              </w:rPr>
              <w:t xml:space="preserve"> - </w:t>
            </w:r>
            <w:r w:rsidRPr="002B6FE8">
              <w:rPr>
                <w:bCs/>
                <w:iCs/>
                <w:lang w:val="it-IT"/>
              </w:rPr>
              <w:t>Net projected originations; data provided by SC FP&amp;A</w:t>
            </w:r>
          </w:p>
          <w:p w:rsidR="00F92D0F" w:rsidRDefault="00F92D0F" w:rsidP="00F92D0F">
            <w:pPr>
              <w:spacing w:after="0" w:line="240" w:lineRule="auto"/>
              <w:rPr>
                <w:bCs/>
                <w:iCs/>
                <w:lang w:val="it-IT"/>
              </w:rPr>
            </w:pPr>
          </w:p>
          <w:p w:rsidR="00F92D0F" w:rsidRPr="00371B1C" w:rsidRDefault="00F92D0F" w:rsidP="00F92D0F">
            <w:pPr>
              <w:spacing w:after="0" w:line="240" w:lineRule="auto"/>
              <w:rPr>
                <w:bCs/>
                <w:iCs/>
                <w:lang w:val="it-IT"/>
              </w:rPr>
            </w:pPr>
            <w:r>
              <w:rPr>
                <w:bCs/>
                <w:iCs/>
                <w:lang w:val="it-IT"/>
              </w:rPr>
              <w:t xml:space="preserve">SC – </w:t>
            </w:r>
            <w:r>
              <w:rPr>
                <w:iCs/>
              </w:rPr>
              <w:t>Director of Liquidity Risk is responsible for production of metric. Structural Funding Ratio data is collected from Treasury and Accounting. Available Committed Liquidity data is collected from Treasury and the Average Projected Net Originations comes from FP&amp;A.</w:t>
            </w:r>
            <w:r>
              <w:rPr>
                <w:bCs/>
                <w:iCs/>
                <w:lang w:val="it-IT"/>
              </w:rPr>
              <w:t xml:space="preserve"> </w:t>
            </w:r>
          </w:p>
        </w:tc>
      </w:tr>
    </w:tbl>
    <w:p w:rsidR="00500881" w:rsidRPr="00500881" w:rsidRDefault="00500881" w:rsidP="00500881">
      <w:pPr>
        <w:pStyle w:val="ListParagraph"/>
        <w:ind w:left="680"/>
        <w:rPr>
          <w:b/>
          <w:sz w:val="24"/>
          <w:highlight w:val="red"/>
        </w:rPr>
      </w:pPr>
    </w:p>
    <w:p w:rsidR="006A3B48" w:rsidRPr="00551663" w:rsidRDefault="006A3B48" w:rsidP="006A3B48">
      <w:pPr>
        <w:pStyle w:val="ListParagraph"/>
        <w:numPr>
          <w:ilvl w:val="1"/>
          <w:numId w:val="1"/>
        </w:numPr>
        <w:rPr>
          <w:b/>
          <w:sz w:val="24"/>
          <w:highlight w:val="red"/>
        </w:rPr>
      </w:pPr>
      <w:r w:rsidRPr="00551663">
        <w:rPr>
          <w:b/>
          <w:color w:val="000000"/>
          <w:sz w:val="24"/>
          <w:highlight w:val="red"/>
        </w:rPr>
        <w:t>Stressed Survival Period: Local Systemic</w:t>
      </w:r>
      <w:r w:rsidRPr="00551663">
        <w:rPr>
          <w:b/>
          <w:sz w:val="24"/>
          <w:highlight w:val="red"/>
        </w:rPr>
        <w:t xml:space="preserve"> </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2442"/>
      </w:tblGrid>
      <w:tr w:rsidR="004145FC" w:rsidRPr="00206D41" w:rsidTr="00A763AE">
        <w:trPr>
          <w:trHeight w:val="462"/>
        </w:trPr>
        <w:tc>
          <w:tcPr>
            <w:tcW w:w="1872" w:type="dxa"/>
            <w:shd w:val="clear" w:color="auto" w:fill="auto"/>
          </w:tcPr>
          <w:p w:rsidR="004145FC" w:rsidRPr="00206D41" w:rsidRDefault="004145FC" w:rsidP="00A763AE">
            <w:pPr>
              <w:rPr>
                <w:b/>
                <w:bCs/>
                <w:iCs/>
              </w:rPr>
            </w:pPr>
            <w:r>
              <w:rPr>
                <w:b/>
                <w:bCs/>
                <w:iCs/>
              </w:rPr>
              <w:t>DEFINITION</w:t>
            </w:r>
          </w:p>
        </w:tc>
        <w:tc>
          <w:tcPr>
            <w:tcW w:w="7326" w:type="dxa"/>
            <w:gridSpan w:val="3"/>
            <w:shd w:val="clear" w:color="auto" w:fill="auto"/>
          </w:tcPr>
          <w:p w:rsidR="004145FC" w:rsidRPr="00206D41" w:rsidRDefault="004145FC" w:rsidP="00A763AE">
            <w:pPr>
              <w:spacing w:after="0" w:line="240" w:lineRule="auto"/>
              <w:rPr>
                <w:bCs/>
                <w:iCs/>
              </w:rPr>
            </w:pPr>
            <w:r>
              <w:rPr>
                <w:bCs/>
                <w:iCs/>
              </w:rPr>
              <w:t>Local systemic</w:t>
            </w:r>
          </w:p>
        </w:tc>
      </w:tr>
      <w:tr w:rsidR="004145FC" w:rsidRPr="00206D41" w:rsidTr="00A763AE">
        <w:trPr>
          <w:cantSplit/>
          <w:trHeight w:val="429"/>
        </w:trPr>
        <w:tc>
          <w:tcPr>
            <w:tcW w:w="1872" w:type="dxa"/>
            <w:shd w:val="clear" w:color="auto" w:fill="auto"/>
          </w:tcPr>
          <w:p w:rsidR="004145FC" w:rsidRDefault="004145FC" w:rsidP="00A763AE">
            <w:pPr>
              <w:rPr>
                <w:b/>
                <w:bCs/>
                <w:iCs/>
              </w:rPr>
            </w:pPr>
            <w:r>
              <w:rPr>
                <w:b/>
                <w:bCs/>
                <w:iCs/>
              </w:rPr>
              <w:t>DIFFERENT FROM SHUSA</w:t>
            </w:r>
          </w:p>
        </w:tc>
        <w:tc>
          <w:tcPr>
            <w:tcW w:w="7326" w:type="dxa"/>
            <w:gridSpan w:val="3"/>
            <w:shd w:val="clear" w:color="auto" w:fill="auto"/>
          </w:tcPr>
          <w:p w:rsidR="004145FC" w:rsidRDefault="004145FC" w:rsidP="00A763AE">
            <w:pPr>
              <w:spacing w:after="0" w:line="240" w:lineRule="auto"/>
              <w:rPr>
                <w:bCs/>
                <w:iCs/>
              </w:rPr>
            </w:pPr>
          </w:p>
        </w:tc>
      </w:tr>
      <w:tr w:rsidR="004145FC" w:rsidRPr="00206D41" w:rsidTr="00A763AE">
        <w:trPr>
          <w:cantSplit/>
          <w:trHeight w:val="270"/>
        </w:trPr>
        <w:tc>
          <w:tcPr>
            <w:tcW w:w="1872" w:type="dxa"/>
            <w:vMerge w:val="restart"/>
            <w:shd w:val="clear" w:color="auto" w:fill="auto"/>
          </w:tcPr>
          <w:p w:rsidR="004145FC" w:rsidRPr="00206D41" w:rsidRDefault="004145FC" w:rsidP="00A763AE">
            <w:pPr>
              <w:rPr>
                <w:b/>
                <w:bCs/>
                <w:iCs/>
              </w:rPr>
            </w:pPr>
            <w:r>
              <w:rPr>
                <w:b/>
                <w:bCs/>
                <w:iCs/>
              </w:rPr>
              <w:t>ENTITY</w:t>
            </w:r>
          </w:p>
        </w:tc>
        <w:tc>
          <w:tcPr>
            <w:tcW w:w="2442" w:type="dxa"/>
            <w:shd w:val="clear" w:color="auto" w:fill="auto"/>
          </w:tcPr>
          <w:p w:rsidR="004145FC" w:rsidRPr="00157B7A" w:rsidRDefault="004145FC" w:rsidP="00A763AE">
            <w:pPr>
              <w:spacing w:after="0" w:line="240" w:lineRule="auto"/>
              <w:rPr>
                <w:b/>
                <w:bCs/>
                <w:iCs/>
              </w:rPr>
            </w:pPr>
            <w:r w:rsidRPr="00157B7A">
              <w:rPr>
                <w:b/>
                <w:bCs/>
                <w:iCs/>
              </w:rPr>
              <w:t>SHUSA</w:t>
            </w:r>
          </w:p>
        </w:tc>
        <w:tc>
          <w:tcPr>
            <w:tcW w:w="2442" w:type="dxa"/>
            <w:shd w:val="clear" w:color="auto" w:fill="auto"/>
          </w:tcPr>
          <w:p w:rsidR="004145FC" w:rsidRPr="00157B7A" w:rsidRDefault="004145FC" w:rsidP="00A763AE">
            <w:pPr>
              <w:spacing w:after="0" w:line="240" w:lineRule="auto"/>
              <w:rPr>
                <w:b/>
                <w:bCs/>
                <w:iCs/>
              </w:rPr>
            </w:pPr>
            <w:r w:rsidRPr="00157B7A">
              <w:rPr>
                <w:b/>
                <w:bCs/>
                <w:iCs/>
              </w:rPr>
              <w:t xml:space="preserve">SBNA </w:t>
            </w:r>
          </w:p>
        </w:tc>
        <w:tc>
          <w:tcPr>
            <w:tcW w:w="2442" w:type="dxa"/>
            <w:shd w:val="clear" w:color="auto" w:fill="auto"/>
          </w:tcPr>
          <w:p w:rsidR="004145FC" w:rsidRPr="00157B7A" w:rsidRDefault="004145FC" w:rsidP="00A763AE">
            <w:pPr>
              <w:spacing w:after="0" w:line="240" w:lineRule="auto"/>
              <w:rPr>
                <w:b/>
                <w:bCs/>
                <w:iCs/>
              </w:rPr>
            </w:pPr>
            <w:r w:rsidRPr="00157B7A">
              <w:rPr>
                <w:b/>
                <w:bCs/>
                <w:iCs/>
              </w:rPr>
              <w:t>SC</w:t>
            </w:r>
          </w:p>
        </w:tc>
      </w:tr>
      <w:tr w:rsidR="004145FC" w:rsidRPr="00206D41" w:rsidTr="00A763AE">
        <w:trPr>
          <w:trHeight w:val="270"/>
        </w:trPr>
        <w:tc>
          <w:tcPr>
            <w:tcW w:w="1872" w:type="dxa"/>
            <w:vMerge/>
            <w:shd w:val="clear" w:color="auto" w:fill="auto"/>
          </w:tcPr>
          <w:p w:rsidR="004145FC" w:rsidRDefault="004145FC" w:rsidP="00A763AE">
            <w:pPr>
              <w:rPr>
                <w:b/>
                <w:bCs/>
                <w:iCs/>
              </w:rPr>
            </w:pPr>
          </w:p>
        </w:tc>
        <w:tc>
          <w:tcPr>
            <w:tcW w:w="2442" w:type="dxa"/>
            <w:shd w:val="clear" w:color="auto" w:fill="auto"/>
          </w:tcPr>
          <w:p w:rsidR="004145FC" w:rsidRPr="00206D41" w:rsidRDefault="004145FC" w:rsidP="00A763AE">
            <w:pPr>
              <w:spacing w:after="0" w:line="240" w:lineRule="auto"/>
              <w:rPr>
                <w:bCs/>
                <w:iCs/>
              </w:rPr>
            </w:pPr>
            <w:r>
              <w:rPr>
                <w:bCs/>
                <w:iCs/>
              </w:rPr>
              <w:t>Yes</w:t>
            </w:r>
          </w:p>
        </w:tc>
        <w:tc>
          <w:tcPr>
            <w:tcW w:w="2442" w:type="dxa"/>
            <w:shd w:val="clear" w:color="auto" w:fill="auto"/>
          </w:tcPr>
          <w:p w:rsidR="004145FC" w:rsidRPr="00206D41" w:rsidRDefault="004145FC" w:rsidP="00A763AE">
            <w:pPr>
              <w:spacing w:after="0" w:line="240" w:lineRule="auto"/>
              <w:rPr>
                <w:bCs/>
                <w:iCs/>
              </w:rPr>
            </w:pPr>
            <w:r>
              <w:rPr>
                <w:bCs/>
                <w:iCs/>
              </w:rPr>
              <w:t>Yes</w:t>
            </w:r>
          </w:p>
        </w:tc>
        <w:tc>
          <w:tcPr>
            <w:tcW w:w="2442" w:type="dxa"/>
            <w:shd w:val="clear" w:color="auto" w:fill="auto"/>
          </w:tcPr>
          <w:p w:rsidR="004145FC" w:rsidRPr="00206D41" w:rsidRDefault="004145FC" w:rsidP="00A763AE">
            <w:pPr>
              <w:spacing w:after="0" w:line="240" w:lineRule="auto"/>
              <w:rPr>
                <w:bCs/>
                <w:iCs/>
              </w:rPr>
            </w:pPr>
            <w:r>
              <w:rPr>
                <w:bCs/>
                <w:iCs/>
              </w:rPr>
              <w:t>Yes</w:t>
            </w:r>
          </w:p>
        </w:tc>
      </w:tr>
      <w:tr w:rsidR="004145FC" w:rsidRPr="00206D41" w:rsidTr="00A763AE">
        <w:trPr>
          <w:trHeight w:val="270"/>
        </w:trPr>
        <w:tc>
          <w:tcPr>
            <w:tcW w:w="1872" w:type="dxa"/>
            <w:vMerge w:val="restart"/>
            <w:shd w:val="clear" w:color="auto" w:fill="auto"/>
          </w:tcPr>
          <w:p w:rsidR="004145FC" w:rsidRPr="00206D41" w:rsidRDefault="004145FC" w:rsidP="00A763AE">
            <w:pPr>
              <w:rPr>
                <w:b/>
                <w:bCs/>
                <w:iCs/>
              </w:rPr>
            </w:pPr>
            <w:r>
              <w:rPr>
                <w:b/>
                <w:bCs/>
                <w:iCs/>
              </w:rPr>
              <w:t>METRIC OWNER</w:t>
            </w:r>
          </w:p>
        </w:tc>
        <w:tc>
          <w:tcPr>
            <w:tcW w:w="2442" w:type="dxa"/>
            <w:shd w:val="clear" w:color="auto" w:fill="auto"/>
          </w:tcPr>
          <w:p w:rsidR="004145FC" w:rsidRPr="00157B7A" w:rsidRDefault="004145FC" w:rsidP="00A763AE">
            <w:pPr>
              <w:spacing w:after="0" w:line="240" w:lineRule="auto"/>
              <w:rPr>
                <w:b/>
                <w:bCs/>
                <w:iCs/>
              </w:rPr>
            </w:pPr>
            <w:r w:rsidRPr="00157B7A">
              <w:rPr>
                <w:b/>
                <w:bCs/>
                <w:iCs/>
              </w:rPr>
              <w:t>SHUSA</w:t>
            </w:r>
          </w:p>
        </w:tc>
        <w:tc>
          <w:tcPr>
            <w:tcW w:w="2442" w:type="dxa"/>
            <w:shd w:val="clear" w:color="auto" w:fill="auto"/>
          </w:tcPr>
          <w:p w:rsidR="004145FC" w:rsidRPr="00157B7A" w:rsidRDefault="004145FC" w:rsidP="00A763AE">
            <w:pPr>
              <w:spacing w:after="0" w:line="240" w:lineRule="auto"/>
              <w:rPr>
                <w:b/>
                <w:bCs/>
                <w:iCs/>
              </w:rPr>
            </w:pPr>
            <w:r w:rsidRPr="00157B7A">
              <w:rPr>
                <w:b/>
                <w:bCs/>
                <w:iCs/>
              </w:rPr>
              <w:t>SBNA</w:t>
            </w:r>
          </w:p>
        </w:tc>
        <w:tc>
          <w:tcPr>
            <w:tcW w:w="2442" w:type="dxa"/>
            <w:shd w:val="clear" w:color="auto" w:fill="auto"/>
          </w:tcPr>
          <w:p w:rsidR="004145FC" w:rsidRPr="00157B7A" w:rsidRDefault="004145FC" w:rsidP="00A763AE">
            <w:pPr>
              <w:spacing w:after="0" w:line="240" w:lineRule="auto"/>
              <w:rPr>
                <w:b/>
                <w:bCs/>
                <w:iCs/>
              </w:rPr>
            </w:pPr>
            <w:r w:rsidRPr="00157B7A">
              <w:rPr>
                <w:b/>
                <w:bCs/>
                <w:iCs/>
              </w:rPr>
              <w:t>SC</w:t>
            </w:r>
          </w:p>
        </w:tc>
      </w:tr>
      <w:tr w:rsidR="004145FC" w:rsidRPr="00206D41" w:rsidTr="00A763AE">
        <w:trPr>
          <w:trHeight w:val="252"/>
        </w:trPr>
        <w:tc>
          <w:tcPr>
            <w:tcW w:w="1872" w:type="dxa"/>
            <w:vMerge/>
            <w:shd w:val="clear" w:color="auto" w:fill="auto"/>
          </w:tcPr>
          <w:p w:rsidR="004145FC" w:rsidRPr="00206D41" w:rsidRDefault="004145FC" w:rsidP="00A763AE">
            <w:pPr>
              <w:rPr>
                <w:b/>
                <w:bCs/>
                <w:iCs/>
              </w:rPr>
            </w:pPr>
          </w:p>
        </w:tc>
        <w:tc>
          <w:tcPr>
            <w:tcW w:w="2442" w:type="dxa"/>
            <w:shd w:val="clear" w:color="auto" w:fill="auto"/>
          </w:tcPr>
          <w:p w:rsidR="004145FC" w:rsidRPr="00206D41" w:rsidRDefault="004145FC" w:rsidP="00A763AE">
            <w:pPr>
              <w:spacing w:after="0" w:line="240" w:lineRule="auto"/>
              <w:rPr>
                <w:bCs/>
                <w:iCs/>
              </w:rPr>
            </w:pPr>
            <w:r>
              <w:rPr>
                <w:bCs/>
                <w:iCs/>
              </w:rPr>
              <w:t>SHUSA Director of Market Risk ALM</w:t>
            </w:r>
          </w:p>
        </w:tc>
        <w:tc>
          <w:tcPr>
            <w:tcW w:w="2442" w:type="dxa"/>
            <w:shd w:val="clear" w:color="auto" w:fill="auto"/>
          </w:tcPr>
          <w:p w:rsidR="004145FC" w:rsidRPr="00206D41" w:rsidRDefault="004145FC" w:rsidP="00A763AE">
            <w:pPr>
              <w:spacing w:after="0" w:line="240" w:lineRule="auto"/>
              <w:rPr>
                <w:bCs/>
                <w:iCs/>
              </w:rPr>
            </w:pPr>
            <w:r>
              <w:rPr>
                <w:bCs/>
                <w:iCs/>
              </w:rPr>
              <w:t>SBNA Director of Market Risk ALM</w:t>
            </w:r>
          </w:p>
        </w:tc>
        <w:tc>
          <w:tcPr>
            <w:tcW w:w="2442" w:type="dxa"/>
            <w:shd w:val="clear" w:color="auto" w:fill="auto"/>
          </w:tcPr>
          <w:p w:rsidR="004145FC" w:rsidRPr="00206D41" w:rsidRDefault="004145FC" w:rsidP="00A763AE">
            <w:pPr>
              <w:spacing w:after="0" w:line="240" w:lineRule="auto"/>
              <w:rPr>
                <w:bCs/>
                <w:iCs/>
              </w:rPr>
            </w:pPr>
            <w:r>
              <w:rPr>
                <w:bCs/>
                <w:iCs/>
              </w:rPr>
              <w:t>SC Director Market Risk ALM</w:t>
            </w:r>
          </w:p>
        </w:tc>
      </w:tr>
      <w:tr w:rsidR="004145FC" w:rsidRPr="00206D41" w:rsidTr="00A763AE">
        <w:trPr>
          <w:cantSplit/>
          <w:trHeight w:val="360"/>
        </w:trPr>
        <w:tc>
          <w:tcPr>
            <w:tcW w:w="1872" w:type="dxa"/>
            <w:shd w:val="clear" w:color="auto" w:fill="auto"/>
          </w:tcPr>
          <w:p w:rsidR="004145FC" w:rsidRPr="00206D41" w:rsidRDefault="004145FC" w:rsidP="00A763AE">
            <w:pPr>
              <w:ind w:left="-60"/>
              <w:rPr>
                <w:b/>
                <w:bCs/>
                <w:iCs/>
              </w:rPr>
            </w:pPr>
            <w:r>
              <w:rPr>
                <w:b/>
                <w:bCs/>
                <w:iCs/>
              </w:rPr>
              <w:lastRenderedPageBreak/>
              <w:t>TRIGGER AND LIMIT SETTING</w:t>
            </w:r>
          </w:p>
        </w:tc>
        <w:tc>
          <w:tcPr>
            <w:tcW w:w="7326" w:type="dxa"/>
            <w:gridSpan w:val="3"/>
            <w:shd w:val="clear" w:color="auto" w:fill="auto"/>
          </w:tcPr>
          <w:p w:rsidR="004145FC" w:rsidRPr="00254F91" w:rsidRDefault="004145FC" w:rsidP="00A763AE">
            <w:pPr>
              <w:spacing w:after="0" w:line="240" w:lineRule="auto"/>
              <w:rPr>
                <w:rFonts w:asciiTheme="minorHAnsi" w:eastAsiaTheme="minorHAnsi" w:hAnsiTheme="minorHAnsi" w:cstheme="minorBidi"/>
                <w:iCs/>
              </w:rPr>
            </w:pPr>
          </w:p>
        </w:tc>
      </w:tr>
      <w:tr w:rsidR="004145FC" w:rsidRPr="00206D41" w:rsidTr="00A763AE">
        <w:trPr>
          <w:cantSplit/>
          <w:trHeight w:val="360"/>
        </w:trPr>
        <w:tc>
          <w:tcPr>
            <w:tcW w:w="1872" w:type="dxa"/>
            <w:shd w:val="clear" w:color="auto" w:fill="auto"/>
          </w:tcPr>
          <w:p w:rsidR="004145FC" w:rsidRPr="00206D41" w:rsidRDefault="004145FC" w:rsidP="00A763AE">
            <w:pPr>
              <w:ind w:left="-60"/>
              <w:rPr>
                <w:b/>
                <w:bCs/>
                <w:iCs/>
              </w:rPr>
            </w:pPr>
            <w:r>
              <w:rPr>
                <w:b/>
                <w:bCs/>
                <w:iCs/>
              </w:rPr>
              <w:t>TESTING FREQUENCY</w:t>
            </w:r>
          </w:p>
        </w:tc>
        <w:tc>
          <w:tcPr>
            <w:tcW w:w="7326" w:type="dxa"/>
            <w:gridSpan w:val="3"/>
            <w:shd w:val="clear" w:color="auto" w:fill="auto"/>
          </w:tcPr>
          <w:p w:rsidR="004145FC" w:rsidRPr="004145FC" w:rsidRDefault="004145FC" w:rsidP="004145FC">
            <w:pPr>
              <w:spacing w:after="0" w:line="240" w:lineRule="auto"/>
              <w:rPr>
                <w:bCs/>
                <w:iCs/>
                <w:color w:val="FF0000"/>
                <w:sz w:val="28"/>
                <w:szCs w:val="28"/>
              </w:rPr>
            </w:pPr>
            <w:r w:rsidRPr="004145FC">
              <w:rPr>
                <w:bCs/>
                <w:iCs/>
                <w:color w:val="FF0000"/>
                <w:szCs w:val="28"/>
              </w:rPr>
              <w:t xml:space="preserve">Ask </w:t>
            </w:r>
            <w:r>
              <w:rPr>
                <w:bCs/>
                <w:iCs/>
                <w:color w:val="FF0000"/>
                <w:szCs w:val="28"/>
              </w:rPr>
              <w:t>Roberto Or Jorge</w:t>
            </w:r>
          </w:p>
        </w:tc>
      </w:tr>
      <w:tr w:rsidR="004145FC" w:rsidRPr="00206D41" w:rsidTr="00A763AE">
        <w:trPr>
          <w:trHeight w:val="525"/>
        </w:trPr>
        <w:tc>
          <w:tcPr>
            <w:tcW w:w="1872" w:type="dxa"/>
            <w:shd w:val="clear" w:color="auto" w:fill="auto"/>
          </w:tcPr>
          <w:p w:rsidR="004145FC" w:rsidRPr="00206D41" w:rsidRDefault="004145FC" w:rsidP="00A763AE">
            <w:pPr>
              <w:rPr>
                <w:b/>
                <w:bCs/>
                <w:iCs/>
              </w:rPr>
            </w:pPr>
            <w:r w:rsidRPr="00206D41">
              <w:rPr>
                <w:b/>
                <w:bCs/>
                <w:iCs/>
              </w:rPr>
              <w:t>SOURCE OF INFORMATION</w:t>
            </w:r>
          </w:p>
        </w:tc>
        <w:tc>
          <w:tcPr>
            <w:tcW w:w="7326" w:type="dxa"/>
            <w:gridSpan w:val="3"/>
            <w:shd w:val="clear" w:color="auto" w:fill="auto"/>
          </w:tcPr>
          <w:p w:rsidR="004145FC" w:rsidRPr="00C05360" w:rsidRDefault="004145FC" w:rsidP="00A763AE">
            <w:pPr>
              <w:spacing w:after="0" w:line="240" w:lineRule="auto"/>
              <w:rPr>
                <w:bCs/>
                <w:iCs/>
                <w:highlight w:val="yellow"/>
              </w:rPr>
            </w:pPr>
          </w:p>
        </w:tc>
      </w:tr>
    </w:tbl>
    <w:p w:rsidR="004145FC" w:rsidRPr="004145FC" w:rsidRDefault="004145FC" w:rsidP="004145FC">
      <w:pPr>
        <w:rPr>
          <w:b/>
          <w:sz w:val="24"/>
        </w:rPr>
      </w:pPr>
    </w:p>
    <w:p w:rsidR="006A3B48" w:rsidRPr="004145FC" w:rsidRDefault="006A3B48" w:rsidP="006A3B48">
      <w:pPr>
        <w:pStyle w:val="ListParagraph"/>
        <w:numPr>
          <w:ilvl w:val="1"/>
          <w:numId w:val="1"/>
        </w:numPr>
        <w:rPr>
          <w:b/>
          <w:sz w:val="24"/>
          <w:highlight w:val="red"/>
        </w:rPr>
      </w:pPr>
      <w:r w:rsidRPr="004145FC">
        <w:rPr>
          <w:b/>
          <w:color w:val="000000"/>
          <w:sz w:val="24"/>
          <w:highlight w:val="red"/>
        </w:rPr>
        <w:t>Stressed Survival Period: Idiosyncratic</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2442"/>
      </w:tblGrid>
      <w:tr w:rsidR="004145FC" w:rsidRPr="00206D41" w:rsidTr="00A763AE">
        <w:trPr>
          <w:trHeight w:val="462"/>
        </w:trPr>
        <w:tc>
          <w:tcPr>
            <w:tcW w:w="1872" w:type="dxa"/>
            <w:shd w:val="clear" w:color="auto" w:fill="auto"/>
          </w:tcPr>
          <w:p w:rsidR="004145FC" w:rsidRPr="00206D41" w:rsidRDefault="004145FC" w:rsidP="00A763AE">
            <w:pPr>
              <w:rPr>
                <w:b/>
                <w:bCs/>
                <w:iCs/>
              </w:rPr>
            </w:pPr>
            <w:r>
              <w:rPr>
                <w:b/>
                <w:bCs/>
                <w:iCs/>
              </w:rPr>
              <w:t>DEFINITION</w:t>
            </w:r>
          </w:p>
        </w:tc>
        <w:tc>
          <w:tcPr>
            <w:tcW w:w="7326" w:type="dxa"/>
            <w:gridSpan w:val="3"/>
            <w:shd w:val="clear" w:color="auto" w:fill="auto"/>
          </w:tcPr>
          <w:p w:rsidR="004145FC" w:rsidRPr="00206D41" w:rsidRDefault="004145FC" w:rsidP="00A763AE">
            <w:pPr>
              <w:spacing w:after="0" w:line="240" w:lineRule="auto"/>
              <w:rPr>
                <w:bCs/>
                <w:iCs/>
              </w:rPr>
            </w:pPr>
            <w:r>
              <w:rPr>
                <w:bCs/>
                <w:iCs/>
              </w:rPr>
              <w:t>Idiosyncratic</w:t>
            </w:r>
          </w:p>
        </w:tc>
      </w:tr>
      <w:tr w:rsidR="004145FC" w:rsidRPr="00206D41" w:rsidTr="00A763AE">
        <w:trPr>
          <w:cantSplit/>
          <w:trHeight w:val="429"/>
        </w:trPr>
        <w:tc>
          <w:tcPr>
            <w:tcW w:w="1872" w:type="dxa"/>
            <w:shd w:val="clear" w:color="auto" w:fill="auto"/>
          </w:tcPr>
          <w:p w:rsidR="004145FC" w:rsidRDefault="004145FC" w:rsidP="00A763AE">
            <w:pPr>
              <w:rPr>
                <w:b/>
                <w:bCs/>
                <w:iCs/>
              </w:rPr>
            </w:pPr>
            <w:r>
              <w:rPr>
                <w:b/>
                <w:bCs/>
                <w:iCs/>
              </w:rPr>
              <w:t>DIFFERENT FROM SHUSA</w:t>
            </w:r>
          </w:p>
        </w:tc>
        <w:tc>
          <w:tcPr>
            <w:tcW w:w="7326" w:type="dxa"/>
            <w:gridSpan w:val="3"/>
            <w:shd w:val="clear" w:color="auto" w:fill="auto"/>
          </w:tcPr>
          <w:p w:rsidR="004145FC" w:rsidRDefault="004145FC" w:rsidP="00A763AE">
            <w:pPr>
              <w:spacing w:after="0" w:line="240" w:lineRule="auto"/>
              <w:rPr>
                <w:bCs/>
                <w:iCs/>
              </w:rPr>
            </w:pPr>
          </w:p>
        </w:tc>
      </w:tr>
      <w:tr w:rsidR="004145FC" w:rsidRPr="00206D41" w:rsidTr="00A763AE">
        <w:trPr>
          <w:cantSplit/>
          <w:trHeight w:val="270"/>
        </w:trPr>
        <w:tc>
          <w:tcPr>
            <w:tcW w:w="1872" w:type="dxa"/>
            <w:vMerge w:val="restart"/>
            <w:shd w:val="clear" w:color="auto" w:fill="auto"/>
          </w:tcPr>
          <w:p w:rsidR="004145FC" w:rsidRPr="00206D41" w:rsidRDefault="004145FC" w:rsidP="00A763AE">
            <w:pPr>
              <w:rPr>
                <w:b/>
                <w:bCs/>
                <w:iCs/>
              </w:rPr>
            </w:pPr>
            <w:r>
              <w:rPr>
                <w:b/>
                <w:bCs/>
                <w:iCs/>
              </w:rPr>
              <w:t>ENTITY</w:t>
            </w:r>
          </w:p>
        </w:tc>
        <w:tc>
          <w:tcPr>
            <w:tcW w:w="2442" w:type="dxa"/>
            <w:shd w:val="clear" w:color="auto" w:fill="auto"/>
          </w:tcPr>
          <w:p w:rsidR="004145FC" w:rsidRPr="00157B7A" w:rsidRDefault="004145FC" w:rsidP="00A763AE">
            <w:pPr>
              <w:spacing w:after="0" w:line="240" w:lineRule="auto"/>
              <w:rPr>
                <w:b/>
                <w:bCs/>
                <w:iCs/>
              </w:rPr>
            </w:pPr>
            <w:r w:rsidRPr="00157B7A">
              <w:rPr>
                <w:b/>
                <w:bCs/>
                <w:iCs/>
              </w:rPr>
              <w:t>SHUSA</w:t>
            </w:r>
          </w:p>
        </w:tc>
        <w:tc>
          <w:tcPr>
            <w:tcW w:w="2442" w:type="dxa"/>
            <w:shd w:val="clear" w:color="auto" w:fill="auto"/>
          </w:tcPr>
          <w:p w:rsidR="004145FC" w:rsidRPr="00157B7A" w:rsidRDefault="004145FC" w:rsidP="00A763AE">
            <w:pPr>
              <w:spacing w:after="0" w:line="240" w:lineRule="auto"/>
              <w:rPr>
                <w:b/>
                <w:bCs/>
                <w:iCs/>
              </w:rPr>
            </w:pPr>
            <w:r w:rsidRPr="00157B7A">
              <w:rPr>
                <w:b/>
                <w:bCs/>
                <w:iCs/>
              </w:rPr>
              <w:t xml:space="preserve">SBNA </w:t>
            </w:r>
          </w:p>
        </w:tc>
        <w:tc>
          <w:tcPr>
            <w:tcW w:w="2442" w:type="dxa"/>
            <w:shd w:val="clear" w:color="auto" w:fill="auto"/>
          </w:tcPr>
          <w:p w:rsidR="004145FC" w:rsidRPr="00157B7A" w:rsidRDefault="004145FC" w:rsidP="00A763AE">
            <w:pPr>
              <w:spacing w:after="0" w:line="240" w:lineRule="auto"/>
              <w:rPr>
                <w:b/>
                <w:bCs/>
                <w:iCs/>
              </w:rPr>
            </w:pPr>
            <w:r w:rsidRPr="00157B7A">
              <w:rPr>
                <w:b/>
                <w:bCs/>
                <w:iCs/>
              </w:rPr>
              <w:t>SC</w:t>
            </w:r>
          </w:p>
        </w:tc>
      </w:tr>
      <w:tr w:rsidR="004145FC" w:rsidRPr="00206D41" w:rsidTr="00A763AE">
        <w:trPr>
          <w:trHeight w:val="270"/>
        </w:trPr>
        <w:tc>
          <w:tcPr>
            <w:tcW w:w="1872" w:type="dxa"/>
            <w:vMerge/>
            <w:shd w:val="clear" w:color="auto" w:fill="auto"/>
          </w:tcPr>
          <w:p w:rsidR="004145FC" w:rsidRDefault="004145FC" w:rsidP="00A763AE">
            <w:pPr>
              <w:rPr>
                <w:b/>
                <w:bCs/>
                <w:iCs/>
              </w:rPr>
            </w:pPr>
          </w:p>
        </w:tc>
        <w:tc>
          <w:tcPr>
            <w:tcW w:w="2442" w:type="dxa"/>
            <w:shd w:val="clear" w:color="auto" w:fill="auto"/>
          </w:tcPr>
          <w:p w:rsidR="004145FC" w:rsidRPr="00206D41" w:rsidRDefault="004145FC" w:rsidP="00A763AE">
            <w:pPr>
              <w:spacing w:after="0" w:line="240" w:lineRule="auto"/>
              <w:rPr>
                <w:bCs/>
                <w:iCs/>
              </w:rPr>
            </w:pPr>
            <w:r>
              <w:rPr>
                <w:bCs/>
                <w:iCs/>
              </w:rPr>
              <w:t>Yes</w:t>
            </w:r>
          </w:p>
        </w:tc>
        <w:tc>
          <w:tcPr>
            <w:tcW w:w="2442" w:type="dxa"/>
            <w:shd w:val="clear" w:color="auto" w:fill="auto"/>
          </w:tcPr>
          <w:p w:rsidR="004145FC" w:rsidRPr="00206D41" w:rsidRDefault="004145FC" w:rsidP="00A763AE">
            <w:pPr>
              <w:spacing w:after="0" w:line="240" w:lineRule="auto"/>
              <w:rPr>
                <w:bCs/>
                <w:iCs/>
              </w:rPr>
            </w:pPr>
            <w:r>
              <w:rPr>
                <w:bCs/>
                <w:iCs/>
              </w:rPr>
              <w:t>Yes</w:t>
            </w:r>
          </w:p>
        </w:tc>
        <w:tc>
          <w:tcPr>
            <w:tcW w:w="2442" w:type="dxa"/>
            <w:shd w:val="clear" w:color="auto" w:fill="auto"/>
          </w:tcPr>
          <w:p w:rsidR="004145FC" w:rsidRPr="00206D41" w:rsidRDefault="004145FC" w:rsidP="00A763AE">
            <w:pPr>
              <w:spacing w:after="0" w:line="240" w:lineRule="auto"/>
              <w:rPr>
                <w:bCs/>
                <w:iCs/>
              </w:rPr>
            </w:pPr>
            <w:r>
              <w:rPr>
                <w:bCs/>
                <w:iCs/>
              </w:rPr>
              <w:t>Yes</w:t>
            </w:r>
          </w:p>
        </w:tc>
      </w:tr>
      <w:tr w:rsidR="004145FC" w:rsidRPr="00206D41" w:rsidTr="00A763AE">
        <w:trPr>
          <w:trHeight w:val="270"/>
        </w:trPr>
        <w:tc>
          <w:tcPr>
            <w:tcW w:w="1872" w:type="dxa"/>
            <w:vMerge w:val="restart"/>
            <w:shd w:val="clear" w:color="auto" w:fill="auto"/>
          </w:tcPr>
          <w:p w:rsidR="004145FC" w:rsidRPr="00206D41" w:rsidRDefault="004145FC" w:rsidP="00A763AE">
            <w:pPr>
              <w:rPr>
                <w:b/>
                <w:bCs/>
                <w:iCs/>
              </w:rPr>
            </w:pPr>
            <w:r>
              <w:rPr>
                <w:b/>
                <w:bCs/>
                <w:iCs/>
              </w:rPr>
              <w:t>METRIC OWNER</w:t>
            </w:r>
          </w:p>
        </w:tc>
        <w:tc>
          <w:tcPr>
            <w:tcW w:w="2442" w:type="dxa"/>
            <w:shd w:val="clear" w:color="auto" w:fill="auto"/>
          </w:tcPr>
          <w:p w:rsidR="004145FC" w:rsidRPr="00157B7A" w:rsidRDefault="004145FC" w:rsidP="00A763AE">
            <w:pPr>
              <w:spacing w:after="0" w:line="240" w:lineRule="auto"/>
              <w:rPr>
                <w:b/>
                <w:bCs/>
                <w:iCs/>
              </w:rPr>
            </w:pPr>
            <w:r w:rsidRPr="00157B7A">
              <w:rPr>
                <w:b/>
                <w:bCs/>
                <w:iCs/>
              </w:rPr>
              <w:t>SHUSA</w:t>
            </w:r>
          </w:p>
        </w:tc>
        <w:tc>
          <w:tcPr>
            <w:tcW w:w="2442" w:type="dxa"/>
            <w:shd w:val="clear" w:color="auto" w:fill="auto"/>
          </w:tcPr>
          <w:p w:rsidR="004145FC" w:rsidRPr="00157B7A" w:rsidRDefault="004145FC" w:rsidP="00A763AE">
            <w:pPr>
              <w:spacing w:after="0" w:line="240" w:lineRule="auto"/>
              <w:rPr>
                <w:b/>
                <w:bCs/>
                <w:iCs/>
              </w:rPr>
            </w:pPr>
            <w:r w:rsidRPr="00157B7A">
              <w:rPr>
                <w:b/>
                <w:bCs/>
                <w:iCs/>
              </w:rPr>
              <w:t>SBNA</w:t>
            </w:r>
          </w:p>
        </w:tc>
        <w:tc>
          <w:tcPr>
            <w:tcW w:w="2442" w:type="dxa"/>
            <w:shd w:val="clear" w:color="auto" w:fill="auto"/>
          </w:tcPr>
          <w:p w:rsidR="004145FC" w:rsidRPr="00157B7A" w:rsidRDefault="004145FC" w:rsidP="00A763AE">
            <w:pPr>
              <w:spacing w:after="0" w:line="240" w:lineRule="auto"/>
              <w:rPr>
                <w:b/>
                <w:bCs/>
                <w:iCs/>
              </w:rPr>
            </w:pPr>
            <w:r w:rsidRPr="00157B7A">
              <w:rPr>
                <w:b/>
                <w:bCs/>
                <w:iCs/>
              </w:rPr>
              <w:t>SC</w:t>
            </w:r>
          </w:p>
        </w:tc>
      </w:tr>
      <w:tr w:rsidR="004145FC" w:rsidRPr="00206D41" w:rsidTr="00A763AE">
        <w:trPr>
          <w:trHeight w:val="252"/>
        </w:trPr>
        <w:tc>
          <w:tcPr>
            <w:tcW w:w="1872" w:type="dxa"/>
            <w:vMerge/>
            <w:shd w:val="clear" w:color="auto" w:fill="auto"/>
          </w:tcPr>
          <w:p w:rsidR="004145FC" w:rsidRPr="00206D41" w:rsidRDefault="004145FC" w:rsidP="00A763AE">
            <w:pPr>
              <w:rPr>
                <w:b/>
                <w:bCs/>
                <w:iCs/>
              </w:rPr>
            </w:pPr>
          </w:p>
        </w:tc>
        <w:tc>
          <w:tcPr>
            <w:tcW w:w="2442" w:type="dxa"/>
            <w:shd w:val="clear" w:color="auto" w:fill="auto"/>
          </w:tcPr>
          <w:p w:rsidR="004145FC" w:rsidRPr="00206D41" w:rsidRDefault="004145FC" w:rsidP="00A763AE">
            <w:pPr>
              <w:spacing w:after="0" w:line="240" w:lineRule="auto"/>
              <w:rPr>
                <w:bCs/>
                <w:iCs/>
              </w:rPr>
            </w:pPr>
            <w:r>
              <w:rPr>
                <w:bCs/>
                <w:iCs/>
              </w:rPr>
              <w:t>SHUSA Director of Market Risk ALM</w:t>
            </w:r>
          </w:p>
        </w:tc>
        <w:tc>
          <w:tcPr>
            <w:tcW w:w="2442" w:type="dxa"/>
            <w:shd w:val="clear" w:color="auto" w:fill="auto"/>
          </w:tcPr>
          <w:p w:rsidR="004145FC" w:rsidRPr="00206D41" w:rsidRDefault="004145FC" w:rsidP="00A763AE">
            <w:pPr>
              <w:spacing w:after="0" w:line="240" w:lineRule="auto"/>
              <w:rPr>
                <w:bCs/>
                <w:iCs/>
              </w:rPr>
            </w:pPr>
            <w:r>
              <w:rPr>
                <w:bCs/>
                <w:iCs/>
              </w:rPr>
              <w:t>SBNA Director of Market Risk ALM</w:t>
            </w:r>
          </w:p>
        </w:tc>
        <w:tc>
          <w:tcPr>
            <w:tcW w:w="2442" w:type="dxa"/>
            <w:shd w:val="clear" w:color="auto" w:fill="auto"/>
          </w:tcPr>
          <w:p w:rsidR="004145FC" w:rsidRPr="00206D41" w:rsidRDefault="004145FC" w:rsidP="00A763AE">
            <w:pPr>
              <w:spacing w:after="0" w:line="240" w:lineRule="auto"/>
              <w:rPr>
                <w:bCs/>
                <w:iCs/>
              </w:rPr>
            </w:pPr>
            <w:r>
              <w:rPr>
                <w:bCs/>
                <w:iCs/>
              </w:rPr>
              <w:t>SC Director Market Risk ALM</w:t>
            </w:r>
          </w:p>
        </w:tc>
      </w:tr>
      <w:tr w:rsidR="004145FC" w:rsidRPr="00206D41" w:rsidTr="00A763AE">
        <w:trPr>
          <w:cantSplit/>
          <w:trHeight w:val="360"/>
        </w:trPr>
        <w:tc>
          <w:tcPr>
            <w:tcW w:w="1872" w:type="dxa"/>
            <w:shd w:val="clear" w:color="auto" w:fill="auto"/>
          </w:tcPr>
          <w:p w:rsidR="004145FC" w:rsidRPr="00206D41" w:rsidRDefault="004145FC" w:rsidP="00A763AE">
            <w:pPr>
              <w:ind w:left="-60"/>
              <w:rPr>
                <w:b/>
                <w:bCs/>
                <w:iCs/>
              </w:rPr>
            </w:pPr>
            <w:r>
              <w:rPr>
                <w:b/>
                <w:bCs/>
                <w:iCs/>
              </w:rPr>
              <w:t>TRIGGER AND LIMIT SETTING</w:t>
            </w:r>
          </w:p>
        </w:tc>
        <w:tc>
          <w:tcPr>
            <w:tcW w:w="7326" w:type="dxa"/>
            <w:gridSpan w:val="3"/>
            <w:shd w:val="clear" w:color="auto" w:fill="auto"/>
          </w:tcPr>
          <w:p w:rsidR="004145FC" w:rsidRPr="00254F91" w:rsidRDefault="004145FC" w:rsidP="00A763AE">
            <w:pPr>
              <w:spacing w:after="0" w:line="240" w:lineRule="auto"/>
              <w:rPr>
                <w:rFonts w:asciiTheme="minorHAnsi" w:eastAsiaTheme="minorHAnsi" w:hAnsiTheme="minorHAnsi" w:cstheme="minorBidi"/>
                <w:iCs/>
              </w:rPr>
            </w:pPr>
          </w:p>
        </w:tc>
      </w:tr>
      <w:tr w:rsidR="004145FC" w:rsidRPr="00206D41" w:rsidTr="00A763AE">
        <w:trPr>
          <w:cantSplit/>
          <w:trHeight w:val="360"/>
        </w:trPr>
        <w:tc>
          <w:tcPr>
            <w:tcW w:w="1872" w:type="dxa"/>
            <w:shd w:val="clear" w:color="auto" w:fill="auto"/>
          </w:tcPr>
          <w:p w:rsidR="004145FC" w:rsidRPr="00206D41" w:rsidRDefault="004145FC" w:rsidP="00A763AE">
            <w:pPr>
              <w:ind w:left="-60"/>
              <w:rPr>
                <w:b/>
                <w:bCs/>
                <w:iCs/>
              </w:rPr>
            </w:pPr>
            <w:r>
              <w:rPr>
                <w:b/>
                <w:bCs/>
                <w:iCs/>
              </w:rPr>
              <w:t>TESTING FREQUENCY</w:t>
            </w:r>
          </w:p>
        </w:tc>
        <w:tc>
          <w:tcPr>
            <w:tcW w:w="7326" w:type="dxa"/>
            <w:gridSpan w:val="3"/>
            <w:shd w:val="clear" w:color="auto" w:fill="auto"/>
          </w:tcPr>
          <w:p w:rsidR="004145FC" w:rsidRPr="002E30C5" w:rsidRDefault="004145FC" w:rsidP="004145FC">
            <w:pPr>
              <w:spacing w:after="0" w:line="240" w:lineRule="auto"/>
              <w:rPr>
                <w:bCs/>
                <w:iCs/>
                <w:sz w:val="28"/>
                <w:szCs w:val="28"/>
              </w:rPr>
            </w:pPr>
            <w:r w:rsidRPr="004145FC">
              <w:rPr>
                <w:bCs/>
                <w:iCs/>
                <w:color w:val="FF0000"/>
                <w:szCs w:val="28"/>
              </w:rPr>
              <w:t xml:space="preserve">Ask </w:t>
            </w:r>
            <w:r>
              <w:rPr>
                <w:bCs/>
                <w:iCs/>
                <w:color w:val="FF0000"/>
                <w:szCs w:val="28"/>
              </w:rPr>
              <w:t>Roberto Or Jorge</w:t>
            </w:r>
          </w:p>
        </w:tc>
      </w:tr>
      <w:tr w:rsidR="004145FC" w:rsidRPr="00206D41" w:rsidTr="00A763AE">
        <w:trPr>
          <w:trHeight w:val="525"/>
        </w:trPr>
        <w:tc>
          <w:tcPr>
            <w:tcW w:w="1872" w:type="dxa"/>
            <w:shd w:val="clear" w:color="auto" w:fill="auto"/>
          </w:tcPr>
          <w:p w:rsidR="004145FC" w:rsidRPr="00206D41" w:rsidRDefault="004145FC" w:rsidP="00A763AE">
            <w:pPr>
              <w:rPr>
                <w:b/>
                <w:bCs/>
                <w:iCs/>
              </w:rPr>
            </w:pPr>
            <w:r w:rsidRPr="00206D41">
              <w:rPr>
                <w:b/>
                <w:bCs/>
                <w:iCs/>
              </w:rPr>
              <w:t>SOURCE OF INFORMATION</w:t>
            </w:r>
          </w:p>
        </w:tc>
        <w:tc>
          <w:tcPr>
            <w:tcW w:w="7326" w:type="dxa"/>
            <w:gridSpan w:val="3"/>
            <w:shd w:val="clear" w:color="auto" w:fill="auto"/>
          </w:tcPr>
          <w:p w:rsidR="004145FC" w:rsidRPr="00C05360" w:rsidRDefault="004145FC" w:rsidP="00A763AE">
            <w:pPr>
              <w:spacing w:after="0" w:line="240" w:lineRule="auto"/>
              <w:rPr>
                <w:bCs/>
                <w:iCs/>
                <w:highlight w:val="yellow"/>
              </w:rPr>
            </w:pPr>
          </w:p>
        </w:tc>
      </w:tr>
    </w:tbl>
    <w:p w:rsidR="004145FC" w:rsidRDefault="004145FC" w:rsidP="004145FC">
      <w:pPr>
        <w:pStyle w:val="ListParagraph"/>
        <w:ind w:left="680"/>
        <w:rPr>
          <w:b/>
          <w:sz w:val="24"/>
        </w:rPr>
      </w:pPr>
    </w:p>
    <w:p w:rsidR="004145FC" w:rsidRPr="001D0D9A" w:rsidRDefault="004145FC" w:rsidP="004145FC">
      <w:pPr>
        <w:pStyle w:val="ListParagraph"/>
        <w:ind w:left="680"/>
        <w:rPr>
          <w:b/>
          <w:sz w:val="24"/>
        </w:rPr>
      </w:pPr>
    </w:p>
    <w:p w:rsidR="006A3B48" w:rsidRPr="004145FC" w:rsidRDefault="006A3B48" w:rsidP="006A3B48">
      <w:pPr>
        <w:pStyle w:val="ListParagraph"/>
        <w:numPr>
          <w:ilvl w:val="1"/>
          <w:numId w:val="1"/>
        </w:numPr>
        <w:rPr>
          <w:b/>
          <w:sz w:val="24"/>
          <w:highlight w:val="red"/>
        </w:rPr>
      </w:pPr>
      <w:r w:rsidRPr="004145FC">
        <w:rPr>
          <w:b/>
          <w:color w:val="000000"/>
          <w:sz w:val="24"/>
          <w:highlight w:val="red"/>
        </w:rPr>
        <w:t>Stressed Survival Period: Systemic Global</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2442"/>
      </w:tblGrid>
      <w:tr w:rsidR="004145FC" w:rsidRPr="00206D41" w:rsidTr="00A763AE">
        <w:trPr>
          <w:trHeight w:val="462"/>
        </w:trPr>
        <w:tc>
          <w:tcPr>
            <w:tcW w:w="1872" w:type="dxa"/>
            <w:shd w:val="clear" w:color="auto" w:fill="auto"/>
          </w:tcPr>
          <w:p w:rsidR="004145FC" w:rsidRPr="00206D41" w:rsidRDefault="004145FC" w:rsidP="00A763AE">
            <w:pPr>
              <w:rPr>
                <w:b/>
                <w:bCs/>
                <w:iCs/>
              </w:rPr>
            </w:pPr>
            <w:r>
              <w:rPr>
                <w:b/>
                <w:bCs/>
                <w:iCs/>
              </w:rPr>
              <w:t>DEFINITION</w:t>
            </w:r>
          </w:p>
        </w:tc>
        <w:tc>
          <w:tcPr>
            <w:tcW w:w="7326" w:type="dxa"/>
            <w:gridSpan w:val="3"/>
            <w:shd w:val="clear" w:color="auto" w:fill="auto"/>
          </w:tcPr>
          <w:p w:rsidR="004145FC" w:rsidRPr="00206D41" w:rsidRDefault="004145FC" w:rsidP="00A763AE">
            <w:pPr>
              <w:spacing w:after="0" w:line="240" w:lineRule="auto"/>
              <w:rPr>
                <w:bCs/>
                <w:iCs/>
              </w:rPr>
            </w:pPr>
            <w:r>
              <w:rPr>
                <w:bCs/>
                <w:iCs/>
              </w:rPr>
              <w:t>Systemic Global</w:t>
            </w:r>
          </w:p>
        </w:tc>
      </w:tr>
      <w:tr w:rsidR="004145FC" w:rsidRPr="00206D41" w:rsidTr="00A763AE">
        <w:trPr>
          <w:cantSplit/>
          <w:trHeight w:val="429"/>
        </w:trPr>
        <w:tc>
          <w:tcPr>
            <w:tcW w:w="1872" w:type="dxa"/>
            <w:shd w:val="clear" w:color="auto" w:fill="auto"/>
          </w:tcPr>
          <w:p w:rsidR="004145FC" w:rsidRDefault="004145FC" w:rsidP="00A763AE">
            <w:pPr>
              <w:rPr>
                <w:b/>
                <w:bCs/>
                <w:iCs/>
              </w:rPr>
            </w:pPr>
            <w:r>
              <w:rPr>
                <w:b/>
                <w:bCs/>
                <w:iCs/>
              </w:rPr>
              <w:t>DIFFERENT FROM SHUSA</w:t>
            </w:r>
          </w:p>
        </w:tc>
        <w:tc>
          <w:tcPr>
            <w:tcW w:w="7326" w:type="dxa"/>
            <w:gridSpan w:val="3"/>
            <w:shd w:val="clear" w:color="auto" w:fill="auto"/>
          </w:tcPr>
          <w:p w:rsidR="004145FC" w:rsidRDefault="004145FC" w:rsidP="00A763AE">
            <w:pPr>
              <w:spacing w:after="0" w:line="240" w:lineRule="auto"/>
              <w:rPr>
                <w:bCs/>
                <w:iCs/>
              </w:rPr>
            </w:pPr>
          </w:p>
        </w:tc>
      </w:tr>
      <w:tr w:rsidR="004145FC" w:rsidRPr="00206D41" w:rsidTr="00A763AE">
        <w:trPr>
          <w:cantSplit/>
          <w:trHeight w:val="270"/>
        </w:trPr>
        <w:tc>
          <w:tcPr>
            <w:tcW w:w="1872" w:type="dxa"/>
            <w:vMerge w:val="restart"/>
            <w:shd w:val="clear" w:color="auto" w:fill="auto"/>
          </w:tcPr>
          <w:p w:rsidR="004145FC" w:rsidRPr="00206D41" w:rsidRDefault="004145FC" w:rsidP="00A763AE">
            <w:pPr>
              <w:rPr>
                <w:b/>
                <w:bCs/>
                <w:iCs/>
              </w:rPr>
            </w:pPr>
            <w:r>
              <w:rPr>
                <w:b/>
                <w:bCs/>
                <w:iCs/>
              </w:rPr>
              <w:t>ENTITY</w:t>
            </w:r>
          </w:p>
        </w:tc>
        <w:tc>
          <w:tcPr>
            <w:tcW w:w="2442" w:type="dxa"/>
            <w:shd w:val="clear" w:color="auto" w:fill="auto"/>
          </w:tcPr>
          <w:p w:rsidR="004145FC" w:rsidRPr="00157B7A" w:rsidRDefault="004145FC" w:rsidP="00A763AE">
            <w:pPr>
              <w:spacing w:after="0" w:line="240" w:lineRule="auto"/>
              <w:rPr>
                <w:b/>
                <w:bCs/>
                <w:iCs/>
              </w:rPr>
            </w:pPr>
            <w:r w:rsidRPr="00157B7A">
              <w:rPr>
                <w:b/>
                <w:bCs/>
                <w:iCs/>
              </w:rPr>
              <w:t>SHUSA</w:t>
            </w:r>
          </w:p>
        </w:tc>
        <w:tc>
          <w:tcPr>
            <w:tcW w:w="2442" w:type="dxa"/>
            <w:shd w:val="clear" w:color="auto" w:fill="auto"/>
          </w:tcPr>
          <w:p w:rsidR="004145FC" w:rsidRPr="00157B7A" w:rsidRDefault="004145FC" w:rsidP="00A763AE">
            <w:pPr>
              <w:spacing w:after="0" w:line="240" w:lineRule="auto"/>
              <w:rPr>
                <w:b/>
                <w:bCs/>
                <w:iCs/>
              </w:rPr>
            </w:pPr>
            <w:r w:rsidRPr="00157B7A">
              <w:rPr>
                <w:b/>
                <w:bCs/>
                <w:iCs/>
              </w:rPr>
              <w:t xml:space="preserve">SBNA </w:t>
            </w:r>
          </w:p>
        </w:tc>
        <w:tc>
          <w:tcPr>
            <w:tcW w:w="2442" w:type="dxa"/>
            <w:shd w:val="clear" w:color="auto" w:fill="auto"/>
          </w:tcPr>
          <w:p w:rsidR="004145FC" w:rsidRPr="00157B7A" w:rsidRDefault="004145FC" w:rsidP="00A763AE">
            <w:pPr>
              <w:spacing w:after="0" w:line="240" w:lineRule="auto"/>
              <w:rPr>
                <w:b/>
                <w:bCs/>
                <w:iCs/>
              </w:rPr>
            </w:pPr>
            <w:r w:rsidRPr="00157B7A">
              <w:rPr>
                <w:b/>
                <w:bCs/>
                <w:iCs/>
              </w:rPr>
              <w:t>SC</w:t>
            </w:r>
          </w:p>
        </w:tc>
      </w:tr>
      <w:tr w:rsidR="004145FC" w:rsidRPr="00206D41" w:rsidTr="00A763AE">
        <w:trPr>
          <w:trHeight w:val="270"/>
        </w:trPr>
        <w:tc>
          <w:tcPr>
            <w:tcW w:w="1872" w:type="dxa"/>
            <w:vMerge/>
            <w:shd w:val="clear" w:color="auto" w:fill="auto"/>
          </w:tcPr>
          <w:p w:rsidR="004145FC" w:rsidRDefault="004145FC" w:rsidP="00A763AE">
            <w:pPr>
              <w:rPr>
                <w:b/>
                <w:bCs/>
                <w:iCs/>
              </w:rPr>
            </w:pPr>
          </w:p>
        </w:tc>
        <w:tc>
          <w:tcPr>
            <w:tcW w:w="2442" w:type="dxa"/>
            <w:shd w:val="clear" w:color="auto" w:fill="auto"/>
          </w:tcPr>
          <w:p w:rsidR="004145FC" w:rsidRPr="00206D41" w:rsidRDefault="004145FC" w:rsidP="00A763AE">
            <w:pPr>
              <w:spacing w:after="0" w:line="240" w:lineRule="auto"/>
              <w:rPr>
                <w:bCs/>
                <w:iCs/>
              </w:rPr>
            </w:pPr>
            <w:r>
              <w:rPr>
                <w:bCs/>
                <w:iCs/>
              </w:rPr>
              <w:t>Yes</w:t>
            </w:r>
          </w:p>
        </w:tc>
        <w:tc>
          <w:tcPr>
            <w:tcW w:w="2442" w:type="dxa"/>
            <w:shd w:val="clear" w:color="auto" w:fill="auto"/>
          </w:tcPr>
          <w:p w:rsidR="004145FC" w:rsidRPr="00206D41" w:rsidRDefault="004145FC" w:rsidP="00A763AE">
            <w:pPr>
              <w:spacing w:after="0" w:line="240" w:lineRule="auto"/>
              <w:rPr>
                <w:bCs/>
                <w:iCs/>
              </w:rPr>
            </w:pPr>
            <w:r>
              <w:rPr>
                <w:bCs/>
                <w:iCs/>
              </w:rPr>
              <w:t>Yes</w:t>
            </w:r>
          </w:p>
        </w:tc>
        <w:tc>
          <w:tcPr>
            <w:tcW w:w="2442" w:type="dxa"/>
            <w:shd w:val="clear" w:color="auto" w:fill="auto"/>
          </w:tcPr>
          <w:p w:rsidR="004145FC" w:rsidRPr="00206D41" w:rsidRDefault="004145FC" w:rsidP="00A763AE">
            <w:pPr>
              <w:spacing w:after="0" w:line="240" w:lineRule="auto"/>
              <w:rPr>
                <w:bCs/>
                <w:iCs/>
              </w:rPr>
            </w:pPr>
            <w:r>
              <w:rPr>
                <w:bCs/>
                <w:iCs/>
              </w:rPr>
              <w:t>Yes</w:t>
            </w:r>
          </w:p>
        </w:tc>
      </w:tr>
      <w:tr w:rsidR="004145FC" w:rsidRPr="00206D41" w:rsidTr="00A763AE">
        <w:trPr>
          <w:trHeight w:val="270"/>
        </w:trPr>
        <w:tc>
          <w:tcPr>
            <w:tcW w:w="1872" w:type="dxa"/>
            <w:vMerge w:val="restart"/>
            <w:shd w:val="clear" w:color="auto" w:fill="auto"/>
          </w:tcPr>
          <w:p w:rsidR="004145FC" w:rsidRPr="00206D41" w:rsidRDefault="004145FC" w:rsidP="00A763AE">
            <w:pPr>
              <w:rPr>
                <w:b/>
                <w:bCs/>
                <w:iCs/>
              </w:rPr>
            </w:pPr>
            <w:r>
              <w:rPr>
                <w:b/>
                <w:bCs/>
                <w:iCs/>
              </w:rPr>
              <w:t>METRIC OWNER</w:t>
            </w:r>
          </w:p>
        </w:tc>
        <w:tc>
          <w:tcPr>
            <w:tcW w:w="2442" w:type="dxa"/>
            <w:shd w:val="clear" w:color="auto" w:fill="auto"/>
          </w:tcPr>
          <w:p w:rsidR="004145FC" w:rsidRPr="00157B7A" w:rsidRDefault="004145FC" w:rsidP="00A763AE">
            <w:pPr>
              <w:spacing w:after="0" w:line="240" w:lineRule="auto"/>
              <w:rPr>
                <w:b/>
                <w:bCs/>
                <w:iCs/>
              </w:rPr>
            </w:pPr>
            <w:r w:rsidRPr="00157B7A">
              <w:rPr>
                <w:b/>
                <w:bCs/>
                <w:iCs/>
              </w:rPr>
              <w:t>SHUSA</w:t>
            </w:r>
          </w:p>
        </w:tc>
        <w:tc>
          <w:tcPr>
            <w:tcW w:w="2442" w:type="dxa"/>
            <w:shd w:val="clear" w:color="auto" w:fill="auto"/>
          </w:tcPr>
          <w:p w:rsidR="004145FC" w:rsidRPr="00157B7A" w:rsidRDefault="004145FC" w:rsidP="00A763AE">
            <w:pPr>
              <w:spacing w:after="0" w:line="240" w:lineRule="auto"/>
              <w:rPr>
                <w:b/>
                <w:bCs/>
                <w:iCs/>
              </w:rPr>
            </w:pPr>
            <w:r w:rsidRPr="00157B7A">
              <w:rPr>
                <w:b/>
                <w:bCs/>
                <w:iCs/>
              </w:rPr>
              <w:t>SBNA</w:t>
            </w:r>
          </w:p>
        </w:tc>
        <w:tc>
          <w:tcPr>
            <w:tcW w:w="2442" w:type="dxa"/>
            <w:shd w:val="clear" w:color="auto" w:fill="auto"/>
          </w:tcPr>
          <w:p w:rsidR="004145FC" w:rsidRPr="00157B7A" w:rsidRDefault="004145FC" w:rsidP="00A763AE">
            <w:pPr>
              <w:spacing w:after="0" w:line="240" w:lineRule="auto"/>
              <w:rPr>
                <w:b/>
                <w:bCs/>
                <w:iCs/>
              </w:rPr>
            </w:pPr>
            <w:r w:rsidRPr="00157B7A">
              <w:rPr>
                <w:b/>
                <w:bCs/>
                <w:iCs/>
              </w:rPr>
              <w:t>SC</w:t>
            </w:r>
          </w:p>
        </w:tc>
      </w:tr>
      <w:tr w:rsidR="004145FC" w:rsidRPr="00206D41" w:rsidTr="00A763AE">
        <w:trPr>
          <w:trHeight w:val="252"/>
        </w:trPr>
        <w:tc>
          <w:tcPr>
            <w:tcW w:w="1872" w:type="dxa"/>
            <w:vMerge/>
            <w:shd w:val="clear" w:color="auto" w:fill="auto"/>
          </w:tcPr>
          <w:p w:rsidR="004145FC" w:rsidRPr="00206D41" w:rsidRDefault="004145FC" w:rsidP="00A763AE">
            <w:pPr>
              <w:rPr>
                <w:b/>
                <w:bCs/>
                <w:iCs/>
              </w:rPr>
            </w:pPr>
          </w:p>
        </w:tc>
        <w:tc>
          <w:tcPr>
            <w:tcW w:w="2442" w:type="dxa"/>
            <w:shd w:val="clear" w:color="auto" w:fill="auto"/>
          </w:tcPr>
          <w:p w:rsidR="004145FC" w:rsidRPr="00206D41" w:rsidRDefault="004145FC" w:rsidP="00A763AE">
            <w:pPr>
              <w:spacing w:after="0" w:line="240" w:lineRule="auto"/>
              <w:rPr>
                <w:bCs/>
                <w:iCs/>
              </w:rPr>
            </w:pPr>
            <w:r>
              <w:rPr>
                <w:bCs/>
                <w:iCs/>
              </w:rPr>
              <w:t>SHUSA Director of Market Risk ALM</w:t>
            </w:r>
          </w:p>
        </w:tc>
        <w:tc>
          <w:tcPr>
            <w:tcW w:w="2442" w:type="dxa"/>
            <w:shd w:val="clear" w:color="auto" w:fill="auto"/>
          </w:tcPr>
          <w:p w:rsidR="004145FC" w:rsidRPr="00206D41" w:rsidRDefault="004145FC" w:rsidP="00A763AE">
            <w:pPr>
              <w:spacing w:after="0" w:line="240" w:lineRule="auto"/>
              <w:rPr>
                <w:bCs/>
                <w:iCs/>
              </w:rPr>
            </w:pPr>
            <w:r>
              <w:rPr>
                <w:bCs/>
                <w:iCs/>
              </w:rPr>
              <w:t>SBNA Director of Market Risk ALM</w:t>
            </w:r>
          </w:p>
        </w:tc>
        <w:tc>
          <w:tcPr>
            <w:tcW w:w="2442" w:type="dxa"/>
            <w:shd w:val="clear" w:color="auto" w:fill="auto"/>
          </w:tcPr>
          <w:p w:rsidR="004145FC" w:rsidRPr="00206D41" w:rsidRDefault="004145FC" w:rsidP="00A763AE">
            <w:pPr>
              <w:spacing w:after="0" w:line="240" w:lineRule="auto"/>
              <w:rPr>
                <w:bCs/>
                <w:iCs/>
              </w:rPr>
            </w:pPr>
            <w:r>
              <w:rPr>
                <w:bCs/>
                <w:iCs/>
              </w:rPr>
              <w:t>SC Director Market Risk ALM</w:t>
            </w:r>
          </w:p>
        </w:tc>
      </w:tr>
      <w:tr w:rsidR="004145FC" w:rsidRPr="00206D41" w:rsidTr="00A763AE">
        <w:trPr>
          <w:cantSplit/>
          <w:trHeight w:val="360"/>
        </w:trPr>
        <w:tc>
          <w:tcPr>
            <w:tcW w:w="1872" w:type="dxa"/>
            <w:shd w:val="clear" w:color="auto" w:fill="auto"/>
          </w:tcPr>
          <w:p w:rsidR="004145FC" w:rsidRPr="00206D41" w:rsidRDefault="004145FC" w:rsidP="00A763AE">
            <w:pPr>
              <w:ind w:left="-60"/>
              <w:rPr>
                <w:b/>
                <w:bCs/>
                <w:iCs/>
              </w:rPr>
            </w:pPr>
            <w:r>
              <w:rPr>
                <w:b/>
                <w:bCs/>
                <w:iCs/>
              </w:rPr>
              <w:lastRenderedPageBreak/>
              <w:t>TRIGGER AND LIMIT SETTING</w:t>
            </w:r>
          </w:p>
        </w:tc>
        <w:tc>
          <w:tcPr>
            <w:tcW w:w="7326" w:type="dxa"/>
            <w:gridSpan w:val="3"/>
            <w:shd w:val="clear" w:color="auto" w:fill="auto"/>
          </w:tcPr>
          <w:p w:rsidR="004145FC" w:rsidRPr="00254F91" w:rsidRDefault="004145FC" w:rsidP="00A763AE">
            <w:pPr>
              <w:spacing w:after="0" w:line="240" w:lineRule="auto"/>
              <w:rPr>
                <w:rFonts w:asciiTheme="minorHAnsi" w:eastAsiaTheme="minorHAnsi" w:hAnsiTheme="minorHAnsi" w:cstheme="minorBidi"/>
                <w:iCs/>
              </w:rPr>
            </w:pPr>
          </w:p>
        </w:tc>
      </w:tr>
      <w:tr w:rsidR="004145FC" w:rsidRPr="00206D41" w:rsidTr="00A763AE">
        <w:trPr>
          <w:cantSplit/>
          <w:trHeight w:val="360"/>
        </w:trPr>
        <w:tc>
          <w:tcPr>
            <w:tcW w:w="1872" w:type="dxa"/>
            <w:shd w:val="clear" w:color="auto" w:fill="auto"/>
          </w:tcPr>
          <w:p w:rsidR="004145FC" w:rsidRPr="00206D41" w:rsidRDefault="004145FC" w:rsidP="00A763AE">
            <w:pPr>
              <w:ind w:left="-60"/>
              <w:rPr>
                <w:b/>
                <w:bCs/>
                <w:iCs/>
              </w:rPr>
            </w:pPr>
            <w:r>
              <w:rPr>
                <w:b/>
                <w:bCs/>
                <w:iCs/>
              </w:rPr>
              <w:t>TESTING FREQUENCY</w:t>
            </w:r>
          </w:p>
        </w:tc>
        <w:tc>
          <w:tcPr>
            <w:tcW w:w="7326" w:type="dxa"/>
            <w:gridSpan w:val="3"/>
            <w:shd w:val="clear" w:color="auto" w:fill="auto"/>
          </w:tcPr>
          <w:p w:rsidR="004145FC" w:rsidRPr="002E30C5" w:rsidRDefault="004145FC" w:rsidP="004145FC">
            <w:pPr>
              <w:spacing w:after="0" w:line="240" w:lineRule="auto"/>
              <w:rPr>
                <w:bCs/>
                <w:iCs/>
                <w:sz w:val="28"/>
                <w:szCs w:val="28"/>
              </w:rPr>
            </w:pPr>
            <w:r w:rsidRPr="004145FC">
              <w:rPr>
                <w:bCs/>
                <w:iCs/>
                <w:color w:val="FF0000"/>
                <w:szCs w:val="28"/>
              </w:rPr>
              <w:t xml:space="preserve">Ask </w:t>
            </w:r>
            <w:r>
              <w:rPr>
                <w:bCs/>
                <w:iCs/>
                <w:color w:val="FF0000"/>
                <w:szCs w:val="28"/>
              </w:rPr>
              <w:t>Roberto Or Jorge</w:t>
            </w:r>
          </w:p>
        </w:tc>
      </w:tr>
      <w:tr w:rsidR="004145FC" w:rsidRPr="00206D41" w:rsidTr="00A763AE">
        <w:trPr>
          <w:trHeight w:val="525"/>
        </w:trPr>
        <w:tc>
          <w:tcPr>
            <w:tcW w:w="1872" w:type="dxa"/>
            <w:shd w:val="clear" w:color="auto" w:fill="auto"/>
          </w:tcPr>
          <w:p w:rsidR="004145FC" w:rsidRPr="00206D41" w:rsidRDefault="004145FC" w:rsidP="00A763AE">
            <w:pPr>
              <w:rPr>
                <w:b/>
                <w:bCs/>
                <w:iCs/>
              </w:rPr>
            </w:pPr>
            <w:r w:rsidRPr="00206D41">
              <w:rPr>
                <w:b/>
                <w:bCs/>
                <w:iCs/>
              </w:rPr>
              <w:t>SOURCE OF INFORMATION</w:t>
            </w:r>
          </w:p>
        </w:tc>
        <w:tc>
          <w:tcPr>
            <w:tcW w:w="7326" w:type="dxa"/>
            <w:gridSpan w:val="3"/>
            <w:shd w:val="clear" w:color="auto" w:fill="auto"/>
          </w:tcPr>
          <w:p w:rsidR="004145FC" w:rsidRPr="00C05360" w:rsidRDefault="004145FC" w:rsidP="00A763AE">
            <w:pPr>
              <w:spacing w:after="0" w:line="240" w:lineRule="auto"/>
              <w:rPr>
                <w:bCs/>
                <w:iCs/>
                <w:highlight w:val="yellow"/>
              </w:rPr>
            </w:pPr>
          </w:p>
        </w:tc>
      </w:tr>
    </w:tbl>
    <w:p w:rsidR="00713D83" w:rsidRPr="004145FC" w:rsidRDefault="00713D83" w:rsidP="004145FC">
      <w:pPr>
        <w:rPr>
          <w:b/>
          <w:color w:val="000000"/>
          <w:sz w:val="24"/>
        </w:rPr>
      </w:pPr>
    </w:p>
    <w:p w:rsidR="00713D83" w:rsidRPr="001D0D9A" w:rsidRDefault="00713D83" w:rsidP="00713D83">
      <w:pPr>
        <w:pStyle w:val="ListParagraph"/>
        <w:ind w:left="680"/>
        <w:rPr>
          <w:b/>
          <w:sz w:val="24"/>
        </w:rPr>
      </w:pPr>
    </w:p>
    <w:p w:rsidR="006A3B48" w:rsidRPr="004145FC" w:rsidRDefault="006A3B48" w:rsidP="00713D83">
      <w:pPr>
        <w:pStyle w:val="ListParagraph"/>
        <w:numPr>
          <w:ilvl w:val="1"/>
          <w:numId w:val="1"/>
        </w:numPr>
        <w:rPr>
          <w:b/>
          <w:sz w:val="24"/>
        </w:rPr>
      </w:pPr>
      <w:r w:rsidRPr="004145FC">
        <w:rPr>
          <w:b/>
          <w:sz w:val="24"/>
        </w:rPr>
        <w:t>Survival horizon under stress</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F92D0F" w:rsidRPr="00206D41" w:rsidTr="00F92D0F">
        <w:trPr>
          <w:cantSplit/>
          <w:trHeight w:val="462"/>
        </w:trPr>
        <w:tc>
          <w:tcPr>
            <w:tcW w:w="1728" w:type="dxa"/>
            <w:shd w:val="clear" w:color="auto" w:fill="auto"/>
          </w:tcPr>
          <w:p w:rsidR="00F92D0F" w:rsidRPr="00206D41" w:rsidRDefault="00F92D0F" w:rsidP="00F92D0F">
            <w:pPr>
              <w:rPr>
                <w:b/>
                <w:bCs/>
                <w:iCs/>
              </w:rPr>
            </w:pPr>
            <w:r>
              <w:rPr>
                <w:b/>
                <w:bCs/>
                <w:iCs/>
              </w:rPr>
              <w:t>DEFINITION</w:t>
            </w:r>
          </w:p>
        </w:tc>
        <w:tc>
          <w:tcPr>
            <w:tcW w:w="7470" w:type="dxa"/>
            <w:gridSpan w:val="3"/>
            <w:shd w:val="clear" w:color="auto" w:fill="auto"/>
          </w:tcPr>
          <w:p w:rsidR="00F92D0F" w:rsidRDefault="00F92D0F" w:rsidP="00F92D0F">
            <w:pPr>
              <w:spacing w:after="0" w:line="240" w:lineRule="auto"/>
              <w:rPr>
                <w:bCs/>
                <w:iCs/>
              </w:rPr>
            </w:pPr>
            <w:r>
              <w:rPr>
                <w:bCs/>
                <w:iCs/>
              </w:rPr>
              <w:t xml:space="preserve">The amount of days remaining until SHUSA and its subsidiaries will have a cash shortfall under stressed conditions. </w:t>
            </w:r>
          </w:p>
          <w:p w:rsidR="00F92D0F" w:rsidRDefault="00F92D0F" w:rsidP="00F92D0F">
            <w:pPr>
              <w:spacing w:after="0" w:line="240" w:lineRule="auto"/>
              <w:rPr>
                <w:bCs/>
                <w:iCs/>
              </w:rPr>
            </w:pPr>
          </w:p>
          <w:p w:rsidR="00F92D0F" w:rsidRDefault="00F92D0F" w:rsidP="00F92D0F">
            <w:pPr>
              <w:spacing w:after="0" w:line="240" w:lineRule="auto"/>
              <w:rPr>
                <w:bCs/>
                <w:iCs/>
              </w:rPr>
            </w:pPr>
            <w:r>
              <w:rPr>
                <w:bCs/>
                <w:iCs/>
              </w:rPr>
              <w:t xml:space="preserve">The metric is stressed under three different scenarios: </w:t>
            </w:r>
          </w:p>
          <w:p w:rsidR="00F92D0F" w:rsidRDefault="00F92D0F" w:rsidP="00F92D0F">
            <w:pPr>
              <w:pStyle w:val="ListParagraph"/>
              <w:numPr>
                <w:ilvl w:val="0"/>
                <w:numId w:val="6"/>
              </w:numPr>
              <w:spacing w:after="0" w:line="240" w:lineRule="auto"/>
              <w:rPr>
                <w:bCs/>
                <w:iCs/>
              </w:rPr>
            </w:pPr>
            <w:r w:rsidRPr="004B1F65">
              <w:rPr>
                <w:bCs/>
                <w:iCs/>
              </w:rPr>
              <w:t xml:space="preserve">Market, </w:t>
            </w:r>
          </w:p>
          <w:p w:rsidR="00F92D0F" w:rsidRDefault="00F92D0F" w:rsidP="00F92D0F">
            <w:pPr>
              <w:pStyle w:val="ListParagraph"/>
              <w:numPr>
                <w:ilvl w:val="0"/>
                <w:numId w:val="6"/>
              </w:numPr>
              <w:spacing w:after="0" w:line="240" w:lineRule="auto"/>
              <w:rPr>
                <w:bCs/>
                <w:iCs/>
              </w:rPr>
            </w:pPr>
            <w:r w:rsidRPr="004B1F65">
              <w:rPr>
                <w:bCs/>
                <w:iCs/>
              </w:rPr>
              <w:t>Idiosyncratic</w:t>
            </w:r>
            <w:r>
              <w:rPr>
                <w:bCs/>
                <w:iCs/>
              </w:rPr>
              <w:t>,</w:t>
            </w:r>
            <w:r w:rsidRPr="004B1F65">
              <w:rPr>
                <w:bCs/>
                <w:iCs/>
              </w:rPr>
              <w:t xml:space="preserve"> and </w:t>
            </w:r>
          </w:p>
          <w:p w:rsidR="00F92D0F" w:rsidRPr="004B1F65" w:rsidRDefault="00F92D0F" w:rsidP="00F92D0F">
            <w:pPr>
              <w:pStyle w:val="ListParagraph"/>
              <w:numPr>
                <w:ilvl w:val="0"/>
                <w:numId w:val="6"/>
              </w:numPr>
              <w:spacing w:after="0" w:line="240" w:lineRule="auto"/>
              <w:rPr>
                <w:bCs/>
                <w:iCs/>
              </w:rPr>
            </w:pPr>
            <w:r w:rsidRPr="004B1F65">
              <w:rPr>
                <w:bCs/>
                <w:iCs/>
              </w:rPr>
              <w:t>Combined</w:t>
            </w:r>
            <w:r>
              <w:rPr>
                <w:bCs/>
                <w:iCs/>
              </w:rPr>
              <w:t xml:space="preserve"> </w:t>
            </w:r>
          </w:p>
        </w:tc>
      </w:tr>
      <w:tr w:rsidR="00713D83" w:rsidRPr="00206D41" w:rsidTr="00F92D0F">
        <w:trPr>
          <w:trHeight w:val="462"/>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r w:rsidR="00DB3460">
              <w:rPr>
                <w:bCs/>
                <w:iCs/>
              </w:rPr>
              <w:t xml:space="preserve"> calculation and Limits</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ENTITY</w:t>
            </w:r>
          </w:p>
        </w:tc>
        <w:tc>
          <w:tcPr>
            <w:tcW w:w="2490" w:type="dxa"/>
            <w:shd w:val="clear" w:color="auto" w:fill="auto"/>
          </w:tcPr>
          <w:p w:rsidR="00F92D0F" w:rsidRPr="005A3957" w:rsidRDefault="00F92D0F" w:rsidP="00F92D0F">
            <w:pPr>
              <w:spacing w:after="0" w:line="240" w:lineRule="auto"/>
              <w:rPr>
                <w:b/>
                <w:bCs/>
                <w:iCs/>
              </w:rPr>
            </w:pPr>
            <w:r w:rsidRPr="005A3957">
              <w:rPr>
                <w:b/>
                <w:bCs/>
                <w:iCs/>
              </w:rPr>
              <w:t>SHUSA</w:t>
            </w:r>
          </w:p>
        </w:tc>
        <w:tc>
          <w:tcPr>
            <w:tcW w:w="2490" w:type="dxa"/>
            <w:shd w:val="clear" w:color="auto" w:fill="auto"/>
          </w:tcPr>
          <w:p w:rsidR="00F92D0F" w:rsidRPr="005A3957" w:rsidRDefault="00F92D0F" w:rsidP="00F92D0F">
            <w:pPr>
              <w:spacing w:after="0" w:line="240" w:lineRule="auto"/>
              <w:rPr>
                <w:b/>
                <w:bCs/>
                <w:iCs/>
              </w:rPr>
            </w:pPr>
            <w:r w:rsidRPr="005A3957">
              <w:rPr>
                <w:b/>
                <w:bCs/>
                <w:iCs/>
              </w:rPr>
              <w:t>SBNA</w:t>
            </w:r>
          </w:p>
        </w:tc>
        <w:tc>
          <w:tcPr>
            <w:tcW w:w="2490" w:type="dxa"/>
            <w:shd w:val="clear" w:color="auto" w:fill="auto"/>
          </w:tcPr>
          <w:p w:rsidR="00F92D0F" w:rsidRPr="005A3957" w:rsidRDefault="00F92D0F" w:rsidP="00F92D0F">
            <w:pPr>
              <w:spacing w:after="0" w:line="240" w:lineRule="auto"/>
              <w:rPr>
                <w:b/>
                <w:bCs/>
                <w:iCs/>
              </w:rPr>
            </w:pPr>
            <w:r w:rsidRPr="005A3957">
              <w:rPr>
                <w:b/>
                <w:bCs/>
                <w:iCs/>
              </w:rPr>
              <w:t>SC</w:t>
            </w:r>
          </w:p>
        </w:tc>
      </w:tr>
      <w:tr w:rsidR="00F92D0F" w:rsidRPr="00206D41" w:rsidTr="00F92D0F">
        <w:trPr>
          <w:trHeight w:val="270"/>
        </w:trPr>
        <w:tc>
          <w:tcPr>
            <w:tcW w:w="1728" w:type="dxa"/>
            <w:vMerge/>
            <w:shd w:val="clear" w:color="auto" w:fill="auto"/>
          </w:tcPr>
          <w:p w:rsidR="00F92D0F"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No</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METRIC OWNER</w:t>
            </w:r>
          </w:p>
        </w:tc>
        <w:tc>
          <w:tcPr>
            <w:tcW w:w="2490" w:type="dxa"/>
            <w:shd w:val="clear" w:color="auto" w:fill="auto"/>
          </w:tcPr>
          <w:p w:rsidR="00F92D0F" w:rsidRPr="005A3957" w:rsidRDefault="00F92D0F" w:rsidP="00F92D0F">
            <w:pPr>
              <w:spacing w:after="0" w:line="240" w:lineRule="auto"/>
              <w:rPr>
                <w:b/>
                <w:bCs/>
                <w:iCs/>
              </w:rPr>
            </w:pPr>
            <w:r w:rsidRPr="005A3957">
              <w:rPr>
                <w:b/>
                <w:bCs/>
                <w:iCs/>
              </w:rPr>
              <w:t>SHUSA</w:t>
            </w:r>
          </w:p>
        </w:tc>
        <w:tc>
          <w:tcPr>
            <w:tcW w:w="2490" w:type="dxa"/>
            <w:shd w:val="clear" w:color="auto" w:fill="auto"/>
          </w:tcPr>
          <w:p w:rsidR="00F92D0F" w:rsidRPr="005A3957" w:rsidRDefault="00F92D0F" w:rsidP="00F92D0F">
            <w:pPr>
              <w:spacing w:after="0" w:line="240" w:lineRule="auto"/>
              <w:rPr>
                <w:b/>
                <w:bCs/>
                <w:iCs/>
              </w:rPr>
            </w:pPr>
            <w:r w:rsidRPr="005A3957">
              <w:rPr>
                <w:b/>
                <w:bCs/>
                <w:iCs/>
              </w:rPr>
              <w:t>SBNA</w:t>
            </w:r>
          </w:p>
        </w:tc>
        <w:tc>
          <w:tcPr>
            <w:tcW w:w="2490" w:type="dxa"/>
            <w:shd w:val="clear" w:color="auto" w:fill="auto"/>
          </w:tcPr>
          <w:p w:rsidR="00F92D0F" w:rsidRPr="005A3957" w:rsidRDefault="00F92D0F" w:rsidP="00F92D0F">
            <w:pPr>
              <w:spacing w:after="0" w:line="240" w:lineRule="auto"/>
              <w:rPr>
                <w:b/>
                <w:bCs/>
                <w:iCs/>
              </w:rPr>
            </w:pPr>
            <w:r w:rsidRPr="005A3957">
              <w:rPr>
                <w:b/>
                <w:bCs/>
                <w:iCs/>
              </w:rPr>
              <w:t>SC</w:t>
            </w:r>
          </w:p>
        </w:tc>
      </w:tr>
      <w:tr w:rsidR="00F92D0F" w:rsidRPr="00206D41" w:rsidTr="00F92D0F">
        <w:trPr>
          <w:trHeight w:val="252"/>
        </w:trPr>
        <w:tc>
          <w:tcPr>
            <w:tcW w:w="1728" w:type="dxa"/>
            <w:vMerge/>
            <w:shd w:val="clear" w:color="auto" w:fill="auto"/>
          </w:tcPr>
          <w:p w:rsidR="00F92D0F" w:rsidRPr="00206D41"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SHUSA Director of Treasury (ALM)</w:t>
            </w:r>
          </w:p>
        </w:tc>
        <w:tc>
          <w:tcPr>
            <w:tcW w:w="2490" w:type="dxa"/>
            <w:shd w:val="clear" w:color="auto" w:fill="auto"/>
          </w:tcPr>
          <w:p w:rsidR="00F92D0F" w:rsidRPr="00206D41" w:rsidRDefault="00F92D0F" w:rsidP="00F92D0F">
            <w:pPr>
              <w:spacing w:after="0" w:line="240" w:lineRule="auto"/>
              <w:rPr>
                <w:bCs/>
                <w:iCs/>
              </w:rPr>
            </w:pPr>
            <w:r>
              <w:rPr>
                <w:bCs/>
                <w:iCs/>
              </w:rPr>
              <w:t>SBNA Director  of Treasury (ALM)</w:t>
            </w:r>
          </w:p>
        </w:tc>
        <w:tc>
          <w:tcPr>
            <w:tcW w:w="2490" w:type="dxa"/>
            <w:shd w:val="clear" w:color="auto" w:fill="auto"/>
          </w:tcPr>
          <w:p w:rsidR="00F92D0F" w:rsidRPr="00206D41" w:rsidRDefault="00F92D0F" w:rsidP="00F92D0F">
            <w:pPr>
              <w:spacing w:after="0" w:line="240" w:lineRule="auto"/>
              <w:rPr>
                <w:bCs/>
                <w:iCs/>
              </w:rPr>
            </w:pPr>
            <w:r>
              <w:rPr>
                <w:bCs/>
                <w:iCs/>
              </w:rPr>
              <w:t>N/A</w:t>
            </w:r>
          </w:p>
        </w:tc>
      </w:tr>
      <w:tr w:rsidR="00F92D0F" w:rsidRPr="00206D41" w:rsidTr="00F92D0F">
        <w:trPr>
          <w:trHeight w:val="835"/>
        </w:trPr>
        <w:tc>
          <w:tcPr>
            <w:tcW w:w="1728" w:type="dxa"/>
            <w:shd w:val="clear" w:color="auto" w:fill="auto"/>
          </w:tcPr>
          <w:p w:rsidR="00F92D0F" w:rsidRPr="00206D41" w:rsidRDefault="00F92D0F" w:rsidP="00F92D0F">
            <w:pPr>
              <w:ind w:left="-60"/>
              <w:rPr>
                <w:b/>
                <w:bCs/>
                <w:iCs/>
              </w:rPr>
            </w:pPr>
            <w:r>
              <w:rPr>
                <w:b/>
                <w:bCs/>
                <w:iCs/>
              </w:rPr>
              <w:t>TRIGGER AND LIMIT SETTING</w:t>
            </w:r>
          </w:p>
        </w:tc>
        <w:tc>
          <w:tcPr>
            <w:tcW w:w="7470" w:type="dxa"/>
            <w:gridSpan w:val="3"/>
            <w:shd w:val="clear" w:color="auto" w:fill="auto"/>
          </w:tcPr>
          <w:p w:rsidR="00F92D0F" w:rsidRPr="00254F91" w:rsidRDefault="00F92D0F" w:rsidP="00F92D0F">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(90 days) and red limit (60 days) are set because they represent a more conservative timeframe than the regulatory definition of 30 days.</w:t>
            </w:r>
          </w:p>
        </w:tc>
      </w:tr>
      <w:tr w:rsidR="00F92D0F" w:rsidRPr="00206D41" w:rsidTr="00F92D0F">
        <w:trPr>
          <w:trHeight w:val="510"/>
        </w:trPr>
        <w:tc>
          <w:tcPr>
            <w:tcW w:w="1728" w:type="dxa"/>
            <w:shd w:val="clear" w:color="auto" w:fill="auto"/>
          </w:tcPr>
          <w:p w:rsidR="00F92D0F" w:rsidRPr="00206D41" w:rsidRDefault="00F92D0F" w:rsidP="00F92D0F">
            <w:pPr>
              <w:ind w:left="-60"/>
              <w:rPr>
                <w:b/>
                <w:bCs/>
                <w:iCs/>
              </w:rPr>
            </w:pPr>
            <w:r>
              <w:rPr>
                <w:b/>
                <w:bCs/>
                <w:iCs/>
              </w:rPr>
              <w:t xml:space="preserve">TESTING </w:t>
            </w:r>
            <w:r w:rsidRPr="00206D41">
              <w:rPr>
                <w:b/>
                <w:bCs/>
                <w:iCs/>
              </w:rPr>
              <w:t>FREQUENCY</w:t>
            </w:r>
          </w:p>
        </w:tc>
        <w:tc>
          <w:tcPr>
            <w:tcW w:w="7470" w:type="dxa"/>
            <w:gridSpan w:val="3"/>
            <w:shd w:val="clear" w:color="auto" w:fill="auto"/>
          </w:tcPr>
          <w:p w:rsidR="00F92D0F" w:rsidRPr="00340596" w:rsidRDefault="00F92D0F" w:rsidP="00F92D0F">
            <w:pPr>
              <w:rPr>
                <w:rFonts w:asciiTheme="minorHAnsi" w:eastAsiaTheme="minorHAnsi" w:hAnsiTheme="minorHAnsi" w:cstheme="minorBidi"/>
                <w:iCs/>
              </w:rPr>
            </w:pPr>
            <w:r w:rsidRPr="00206D41">
              <w:rPr>
                <w:rFonts w:asciiTheme="minorHAnsi" w:eastAsiaTheme="minorHAnsi" w:hAnsiTheme="minorHAnsi" w:cstheme="minorBidi"/>
                <w:iCs/>
              </w:rPr>
              <w:t>Monthly</w:t>
            </w:r>
          </w:p>
        </w:tc>
      </w:tr>
      <w:tr w:rsidR="00F92D0F" w:rsidRPr="00206D41" w:rsidTr="00F92D0F">
        <w:trPr>
          <w:trHeight w:val="570"/>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470" w:type="dxa"/>
            <w:gridSpan w:val="3"/>
            <w:shd w:val="clear" w:color="auto" w:fill="auto"/>
          </w:tcPr>
          <w:p w:rsidR="00F92D0F" w:rsidRDefault="00F92D0F" w:rsidP="00F92D0F">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Data comes from </w:t>
            </w:r>
            <w:r w:rsidRPr="004118AC">
              <w:rPr>
                <w:rFonts w:asciiTheme="minorHAnsi" w:eastAsiaTheme="minorHAnsi" w:hAnsiTheme="minorHAnsi" w:cstheme="minorBidi"/>
                <w:iCs/>
              </w:rPr>
              <w:t>Treasury. File name: “Management LST Results 2015 October”</w:t>
            </w:r>
          </w:p>
          <w:p w:rsidR="00F92D0F" w:rsidRDefault="00F92D0F" w:rsidP="00F92D0F">
            <w:pPr>
              <w:spacing w:after="0" w:line="240" w:lineRule="auto"/>
              <w:rPr>
                <w:rFonts w:asciiTheme="minorHAnsi" w:eastAsiaTheme="minorHAnsi" w:hAnsiTheme="minorHAnsi" w:cstheme="minorBidi"/>
                <w:iCs/>
              </w:rPr>
            </w:pPr>
          </w:p>
          <w:p w:rsidR="00F92D0F" w:rsidRPr="00206D41" w:rsidRDefault="00F92D0F" w:rsidP="00F92D0F">
            <w:pPr>
              <w:spacing w:after="0" w:line="240" w:lineRule="auto"/>
              <w:rPr>
                <w:bCs/>
                <w:iCs/>
              </w:rPr>
            </w:pPr>
            <w:r>
              <w:rPr>
                <w:rFonts w:asciiTheme="minorHAnsi" w:eastAsiaTheme="minorHAnsi" w:hAnsiTheme="minorHAnsi" w:cstheme="minorBidi"/>
                <w:iCs/>
              </w:rPr>
              <w:t>Note: Golden Sources for calculation of the metric are changing in Q1’16. A more detailed description of the source information and calculation will be provided in due course.</w:t>
            </w:r>
          </w:p>
        </w:tc>
      </w:tr>
    </w:tbl>
    <w:p w:rsidR="00582115" w:rsidRDefault="00582115" w:rsidP="00582115"/>
    <w:p w:rsidR="00582115" w:rsidRDefault="00582115" w:rsidP="00582115"/>
    <w:p w:rsidR="00ED1FF6" w:rsidRDefault="00ED1FF6" w:rsidP="00582115"/>
    <w:p w:rsidR="00582115" w:rsidRDefault="00582115" w:rsidP="00582115"/>
    <w:p w:rsidR="00582115" w:rsidRPr="00DB3460" w:rsidRDefault="00582115" w:rsidP="00582115">
      <w:pPr>
        <w:pStyle w:val="ListParagraph"/>
        <w:numPr>
          <w:ilvl w:val="1"/>
          <w:numId w:val="1"/>
        </w:numPr>
        <w:tabs>
          <w:tab w:val="left" w:pos="2377"/>
        </w:tabs>
        <w:rPr>
          <w:b/>
          <w:sz w:val="24"/>
        </w:rPr>
      </w:pPr>
      <w:r w:rsidRPr="00DB3460">
        <w:rPr>
          <w:b/>
          <w:sz w:val="24"/>
        </w:rPr>
        <w:lastRenderedPageBreak/>
        <w:t>Liquidity Coverage Ratio</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F92D0F" w:rsidRPr="00206D41" w:rsidTr="00F92D0F">
        <w:trPr>
          <w:trHeight w:val="462"/>
        </w:trPr>
        <w:tc>
          <w:tcPr>
            <w:tcW w:w="1728" w:type="dxa"/>
            <w:shd w:val="clear" w:color="auto" w:fill="auto"/>
          </w:tcPr>
          <w:p w:rsidR="00F92D0F" w:rsidRPr="00206D41" w:rsidRDefault="00F92D0F" w:rsidP="00F92D0F">
            <w:pPr>
              <w:rPr>
                <w:b/>
                <w:bCs/>
                <w:iCs/>
              </w:rPr>
            </w:pPr>
            <w:r>
              <w:rPr>
                <w:b/>
                <w:bCs/>
                <w:iCs/>
              </w:rPr>
              <w:t>DEFINITION</w:t>
            </w:r>
          </w:p>
        </w:tc>
        <w:tc>
          <w:tcPr>
            <w:tcW w:w="7470" w:type="dxa"/>
            <w:gridSpan w:val="3"/>
            <w:shd w:val="clear" w:color="auto" w:fill="auto"/>
          </w:tcPr>
          <w:p w:rsidR="00F92D0F" w:rsidRPr="00206D41" w:rsidRDefault="00F92D0F" w:rsidP="00F92D0F">
            <w:pPr>
              <w:spacing w:after="0" w:line="240" w:lineRule="auto"/>
              <w:rPr>
                <w:bCs/>
                <w:iCs/>
              </w:rPr>
            </w:pPr>
            <w:r>
              <w:rPr>
                <w:bCs/>
                <w:iCs/>
              </w:rPr>
              <w:t>A measurement of t</w:t>
            </w:r>
            <w:r w:rsidRPr="00384347">
              <w:rPr>
                <w:bCs/>
                <w:iCs/>
              </w:rPr>
              <w:t>he resilience of a firm to a short term (30 days) liquidity crisis, on the basis of its High Quality Liquid Assets.</w:t>
            </w:r>
          </w:p>
        </w:tc>
      </w:tr>
      <w:tr w:rsidR="00713D83" w:rsidRPr="00206D41" w:rsidTr="00F92D0F">
        <w:trPr>
          <w:trHeight w:val="462"/>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r w:rsidR="00DB3460">
              <w:rPr>
                <w:bCs/>
                <w:iCs/>
              </w:rPr>
              <w:t xml:space="preserve"> calculation and Limits</w:t>
            </w:r>
          </w:p>
        </w:tc>
      </w:tr>
      <w:tr w:rsidR="00F92D0F" w:rsidRPr="00206D41" w:rsidTr="00F92D0F">
        <w:trPr>
          <w:cantSplit/>
          <w:trHeight w:val="270"/>
        </w:trPr>
        <w:tc>
          <w:tcPr>
            <w:tcW w:w="1728" w:type="dxa"/>
            <w:vMerge w:val="restart"/>
            <w:shd w:val="clear" w:color="auto" w:fill="auto"/>
          </w:tcPr>
          <w:p w:rsidR="00F92D0F" w:rsidRPr="00206D41" w:rsidRDefault="00F92D0F" w:rsidP="00F92D0F">
            <w:pPr>
              <w:rPr>
                <w:b/>
                <w:bCs/>
                <w:iCs/>
              </w:rPr>
            </w:pPr>
            <w:r>
              <w:rPr>
                <w:b/>
                <w:bCs/>
                <w:iCs/>
              </w:rPr>
              <w:t>ENTITY</w:t>
            </w:r>
          </w:p>
        </w:tc>
        <w:tc>
          <w:tcPr>
            <w:tcW w:w="2490" w:type="dxa"/>
            <w:shd w:val="clear" w:color="auto" w:fill="auto"/>
          </w:tcPr>
          <w:p w:rsidR="00F92D0F" w:rsidRPr="005A3957" w:rsidRDefault="00F92D0F" w:rsidP="00F92D0F">
            <w:pPr>
              <w:spacing w:after="0" w:line="240" w:lineRule="auto"/>
              <w:rPr>
                <w:b/>
                <w:bCs/>
                <w:iCs/>
              </w:rPr>
            </w:pPr>
            <w:r w:rsidRPr="005A3957">
              <w:rPr>
                <w:b/>
                <w:bCs/>
                <w:iCs/>
              </w:rPr>
              <w:t xml:space="preserve">SHUSA </w:t>
            </w:r>
          </w:p>
        </w:tc>
        <w:tc>
          <w:tcPr>
            <w:tcW w:w="2490" w:type="dxa"/>
            <w:shd w:val="clear" w:color="auto" w:fill="auto"/>
          </w:tcPr>
          <w:p w:rsidR="00F92D0F" w:rsidRPr="005A3957" w:rsidRDefault="00F92D0F" w:rsidP="00F92D0F">
            <w:pPr>
              <w:spacing w:after="0" w:line="240" w:lineRule="auto"/>
              <w:rPr>
                <w:b/>
                <w:bCs/>
                <w:iCs/>
              </w:rPr>
            </w:pPr>
            <w:r w:rsidRPr="005A3957">
              <w:rPr>
                <w:b/>
                <w:bCs/>
                <w:iCs/>
              </w:rPr>
              <w:t xml:space="preserve">SBNA </w:t>
            </w:r>
          </w:p>
        </w:tc>
        <w:tc>
          <w:tcPr>
            <w:tcW w:w="2490" w:type="dxa"/>
            <w:shd w:val="clear" w:color="auto" w:fill="auto"/>
          </w:tcPr>
          <w:p w:rsidR="00F92D0F" w:rsidRPr="005A3957" w:rsidRDefault="00F92D0F" w:rsidP="00F92D0F">
            <w:pPr>
              <w:spacing w:after="0" w:line="240" w:lineRule="auto"/>
              <w:rPr>
                <w:b/>
                <w:bCs/>
                <w:iCs/>
              </w:rPr>
            </w:pPr>
            <w:r w:rsidRPr="005A3957">
              <w:rPr>
                <w:b/>
                <w:bCs/>
                <w:iCs/>
              </w:rPr>
              <w:t>SC</w:t>
            </w:r>
          </w:p>
        </w:tc>
      </w:tr>
      <w:tr w:rsidR="00F92D0F" w:rsidRPr="00206D41" w:rsidTr="00F92D0F">
        <w:trPr>
          <w:trHeight w:val="270"/>
        </w:trPr>
        <w:tc>
          <w:tcPr>
            <w:tcW w:w="1728" w:type="dxa"/>
            <w:vMerge/>
            <w:shd w:val="clear" w:color="auto" w:fill="auto"/>
          </w:tcPr>
          <w:p w:rsidR="00F92D0F"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No</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METRIC OWNER</w:t>
            </w:r>
          </w:p>
        </w:tc>
        <w:tc>
          <w:tcPr>
            <w:tcW w:w="2490" w:type="dxa"/>
            <w:shd w:val="clear" w:color="auto" w:fill="auto"/>
          </w:tcPr>
          <w:p w:rsidR="00F92D0F" w:rsidRPr="005A3957" w:rsidRDefault="00F92D0F" w:rsidP="00F92D0F">
            <w:pPr>
              <w:spacing w:after="0" w:line="240" w:lineRule="auto"/>
              <w:rPr>
                <w:b/>
                <w:bCs/>
                <w:iCs/>
              </w:rPr>
            </w:pPr>
            <w:r w:rsidRPr="005A3957">
              <w:rPr>
                <w:b/>
                <w:bCs/>
                <w:iCs/>
              </w:rPr>
              <w:t>SHUSA</w:t>
            </w:r>
          </w:p>
        </w:tc>
        <w:tc>
          <w:tcPr>
            <w:tcW w:w="2490" w:type="dxa"/>
            <w:shd w:val="clear" w:color="auto" w:fill="auto"/>
          </w:tcPr>
          <w:p w:rsidR="00F92D0F" w:rsidRPr="005A3957" w:rsidRDefault="00F92D0F" w:rsidP="00F92D0F">
            <w:pPr>
              <w:spacing w:after="0" w:line="240" w:lineRule="auto"/>
              <w:rPr>
                <w:b/>
                <w:bCs/>
                <w:iCs/>
              </w:rPr>
            </w:pPr>
            <w:r w:rsidRPr="005A3957">
              <w:rPr>
                <w:b/>
                <w:bCs/>
                <w:iCs/>
              </w:rPr>
              <w:t>SBNA</w:t>
            </w:r>
          </w:p>
        </w:tc>
        <w:tc>
          <w:tcPr>
            <w:tcW w:w="2490" w:type="dxa"/>
            <w:shd w:val="clear" w:color="auto" w:fill="auto"/>
          </w:tcPr>
          <w:p w:rsidR="00F92D0F" w:rsidRPr="005A3957" w:rsidRDefault="00F92D0F" w:rsidP="00F92D0F">
            <w:pPr>
              <w:spacing w:after="0" w:line="240" w:lineRule="auto"/>
              <w:rPr>
                <w:b/>
                <w:bCs/>
                <w:iCs/>
              </w:rPr>
            </w:pPr>
            <w:r w:rsidRPr="005A3957">
              <w:rPr>
                <w:b/>
                <w:bCs/>
                <w:iCs/>
              </w:rPr>
              <w:t>SC</w:t>
            </w:r>
          </w:p>
        </w:tc>
      </w:tr>
      <w:tr w:rsidR="00F92D0F" w:rsidRPr="00206D41" w:rsidTr="00F92D0F">
        <w:trPr>
          <w:trHeight w:val="252"/>
        </w:trPr>
        <w:tc>
          <w:tcPr>
            <w:tcW w:w="1728" w:type="dxa"/>
            <w:vMerge/>
            <w:shd w:val="clear" w:color="auto" w:fill="auto"/>
          </w:tcPr>
          <w:p w:rsidR="00F92D0F" w:rsidRPr="00206D41"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SHUSA Director of Treasury (ALM)</w:t>
            </w:r>
          </w:p>
        </w:tc>
        <w:tc>
          <w:tcPr>
            <w:tcW w:w="2490" w:type="dxa"/>
            <w:shd w:val="clear" w:color="auto" w:fill="auto"/>
          </w:tcPr>
          <w:p w:rsidR="00F92D0F" w:rsidRPr="00206D41" w:rsidRDefault="00F92D0F" w:rsidP="00F92D0F">
            <w:pPr>
              <w:spacing w:after="0" w:line="240" w:lineRule="auto"/>
              <w:rPr>
                <w:bCs/>
                <w:iCs/>
              </w:rPr>
            </w:pPr>
            <w:r>
              <w:rPr>
                <w:bCs/>
                <w:iCs/>
              </w:rPr>
              <w:t>SBNA Director  of Treasury (ALM)</w:t>
            </w:r>
          </w:p>
        </w:tc>
        <w:tc>
          <w:tcPr>
            <w:tcW w:w="2490" w:type="dxa"/>
            <w:shd w:val="clear" w:color="auto" w:fill="auto"/>
          </w:tcPr>
          <w:p w:rsidR="00F92D0F" w:rsidRPr="00206D41" w:rsidRDefault="00F92D0F" w:rsidP="00F92D0F">
            <w:pPr>
              <w:spacing w:after="0" w:line="240" w:lineRule="auto"/>
              <w:rPr>
                <w:bCs/>
                <w:iCs/>
              </w:rPr>
            </w:pPr>
            <w:r>
              <w:rPr>
                <w:bCs/>
                <w:iCs/>
              </w:rPr>
              <w:t>N/A</w:t>
            </w:r>
          </w:p>
        </w:tc>
      </w:tr>
      <w:tr w:rsidR="00F92D0F" w:rsidRPr="00206D41" w:rsidTr="00F92D0F">
        <w:trPr>
          <w:trHeight w:val="360"/>
        </w:trPr>
        <w:tc>
          <w:tcPr>
            <w:tcW w:w="1728" w:type="dxa"/>
            <w:shd w:val="clear" w:color="auto" w:fill="auto"/>
          </w:tcPr>
          <w:p w:rsidR="00F92D0F" w:rsidRPr="00206D41" w:rsidRDefault="00F92D0F" w:rsidP="00F92D0F">
            <w:pPr>
              <w:ind w:left="-60"/>
              <w:rPr>
                <w:b/>
                <w:bCs/>
                <w:iCs/>
              </w:rPr>
            </w:pPr>
            <w:r>
              <w:rPr>
                <w:b/>
                <w:bCs/>
                <w:iCs/>
              </w:rPr>
              <w:t>TRIGGER AND LIMIT SETTING</w:t>
            </w:r>
          </w:p>
        </w:tc>
        <w:tc>
          <w:tcPr>
            <w:tcW w:w="7470" w:type="dxa"/>
            <w:gridSpan w:val="3"/>
            <w:shd w:val="clear" w:color="auto" w:fill="auto"/>
          </w:tcPr>
          <w:p w:rsidR="00F92D0F" w:rsidRPr="00254F91" w:rsidRDefault="00F92D0F" w:rsidP="00F92D0F">
            <w:pPr>
              <w:spacing w:after="0" w:line="240" w:lineRule="auto"/>
              <w:rPr>
                <w:rFonts w:asciiTheme="minorHAnsi" w:eastAsiaTheme="minorHAnsi" w:hAnsiTheme="minorHAnsi" w:cstheme="minorBidi"/>
                <w:iCs/>
              </w:rPr>
            </w:pPr>
            <w:r w:rsidRPr="00950957">
              <w:rPr>
                <w:rFonts w:asciiTheme="minorHAnsi" w:eastAsiaTheme="minorHAnsi" w:hAnsiTheme="minorHAnsi" w:cstheme="minorBidi"/>
                <w:iCs/>
              </w:rPr>
              <w:t>LCR limits are set using the regulatory minimum (100%) as an anchor point, then adding a buffer per management discretion, and verifying against historical trends</w:t>
            </w:r>
            <w:r>
              <w:rPr>
                <w:rFonts w:asciiTheme="minorHAnsi" w:eastAsiaTheme="minorHAnsi" w:hAnsiTheme="minorHAnsi" w:cstheme="minorBidi"/>
                <w:iCs/>
              </w:rPr>
              <w:t>.</w:t>
            </w:r>
          </w:p>
        </w:tc>
      </w:tr>
      <w:tr w:rsidR="00F92D0F" w:rsidRPr="00206D41" w:rsidTr="00F92D0F">
        <w:trPr>
          <w:trHeight w:val="360"/>
        </w:trPr>
        <w:tc>
          <w:tcPr>
            <w:tcW w:w="1728" w:type="dxa"/>
            <w:shd w:val="clear" w:color="auto" w:fill="auto"/>
          </w:tcPr>
          <w:p w:rsidR="00F92D0F" w:rsidRPr="00206D41" w:rsidRDefault="00F92D0F" w:rsidP="00F92D0F">
            <w:pPr>
              <w:ind w:left="-60"/>
              <w:rPr>
                <w:b/>
                <w:bCs/>
                <w:iCs/>
              </w:rPr>
            </w:pPr>
            <w:r>
              <w:rPr>
                <w:b/>
                <w:bCs/>
                <w:iCs/>
              </w:rPr>
              <w:t>TESTING FREQUENCY</w:t>
            </w:r>
          </w:p>
        </w:tc>
        <w:tc>
          <w:tcPr>
            <w:tcW w:w="7470" w:type="dxa"/>
            <w:gridSpan w:val="3"/>
            <w:shd w:val="clear" w:color="auto" w:fill="auto"/>
          </w:tcPr>
          <w:p w:rsidR="00F92D0F" w:rsidRDefault="00F92D0F" w:rsidP="00F92D0F">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p w:rsidR="00F92D0F" w:rsidRDefault="00F92D0F" w:rsidP="00F92D0F">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proportion of High Quality Liquid assets to total net cash outflows:</w:t>
            </w:r>
          </w:p>
          <w:p w:rsidR="00F92D0F" w:rsidRDefault="00F92D0F" w:rsidP="00F92D0F">
            <w:pPr>
              <w:spacing w:after="0" w:line="240" w:lineRule="auto"/>
              <w:rPr>
                <w:rFonts w:asciiTheme="minorHAnsi" w:eastAsiaTheme="minorHAnsi" w:hAnsiTheme="minorHAnsi" w:cstheme="minorBidi"/>
                <w:iCs/>
              </w:rPr>
            </w:pPr>
          </w:p>
          <w:p w:rsidR="00F92D0F" w:rsidRPr="00340596" w:rsidRDefault="00ED1FF6" w:rsidP="00F92D0F">
            <w:pPr>
              <w:spacing w:after="0" w:line="240" w:lineRule="auto"/>
              <w:jc w:val="center"/>
              <w:rPr>
                <w:rFonts w:asciiTheme="minorHAnsi" w:eastAsiaTheme="minorHAnsi" w:hAnsiTheme="minorHAnsi" w:cstheme="minorBidi"/>
                <w:iCs/>
                <w:sz w:val="28"/>
                <w:szCs w:val="28"/>
              </w:rPr>
            </w:pPr>
            <m:oMath>
              <m:f>
                <m:fPr>
                  <m:ctrlPr>
                    <w:rPr>
                      <w:rFonts w:ascii="Cambria Math" w:eastAsiaTheme="minorHAnsi" w:hAnsi="Cambria Math" w:cstheme="minorBidi"/>
                      <w:i/>
                      <w:iCs/>
                      <w:sz w:val="28"/>
                      <w:szCs w:val="28"/>
                    </w:rPr>
                  </m:ctrlPr>
                </m:fPr>
                <m:num>
                  <m:r>
                    <w:rPr>
                      <w:rFonts w:ascii="Cambria Math" w:eastAsiaTheme="minorHAnsi" w:hAnsi="Cambria Math" w:cstheme="minorBidi"/>
                      <w:sz w:val="28"/>
                      <w:szCs w:val="28"/>
                    </w:rPr>
                    <m:t>High Quality Liquid Assets (HQLA)</m:t>
                  </m:r>
                </m:num>
                <m:den>
                  <m:r>
                    <w:rPr>
                      <w:rFonts w:ascii="Cambria Math" w:eastAsiaTheme="minorHAnsi" w:hAnsi="Cambria Math" w:cstheme="minorBidi"/>
                      <w:sz w:val="28"/>
                      <w:szCs w:val="28"/>
                    </w:rPr>
                    <m:t xml:space="preserve">Total net cash outflow </m:t>
                  </m:r>
                </m:den>
              </m:f>
            </m:oMath>
            <w:r w:rsidR="00F92D0F" w:rsidRPr="00340596">
              <w:rPr>
                <w:rFonts w:asciiTheme="minorHAnsi" w:eastAsiaTheme="minorHAnsi" w:hAnsiTheme="minorHAnsi" w:cstheme="minorBidi"/>
                <w:iCs/>
                <w:sz w:val="28"/>
                <w:szCs w:val="28"/>
              </w:rPr>
              <w:t xml:space="preserve"> </w:t>
            </w:r>
          </w:p>
          <w:p w:rsidR="00F92D0F" w:rsidRDefault="00F92D0F" w:rsidP="00F92D0F">
            <w:pPr>
              <w:spacing w:after="0" w:line="240" w:lineRule="auto"/>
              <w:jc w:val="center"/>
              <w:rPr>
                <w:rFonts w:asciiTheme="minorHAnsi" w:eastAsiaTheme="minorHAnsi" w:hAnsiTheme="minorHAnsi" w:cstheme="minorBidi"/>
                <w:iCs/>
              </w:rPr>
            </w:pPr>
          </w:p>
          <w:p w:rsidR="00F92D0F" w:rsidRDefault="00F92D0F" w:rsidP="00F92D0F">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calculation of the LCR follows the standard industry calculation:</w:t>
            </w:r>
          </w:p>
          <w:p w:rsidR="00F92D0F" w:rsidRDefault="00F92D0F" w:rsidP="00F92D0F">
            <w:pPr>
              <w:pStyle w:val="ListParagraph"/>
              <w:numPr>
                <w:ilvl w:val="0"/>
                <w:numId w:val="7"/>
              </w:numPr>
              <w:spacing w:after="0" w:line="240" w:lineRule="auto"/>
              <w:rPr>
                <w:iCs/>
              </w:rPr>
            </w:pPr>
            <w:r w:rsidRPr="00950957">
              <w:rPr>
                <w:iCs/>
              </w:rPr>
              <w:t xml:space="preserve">HQLA are defined based on specific regulatory guidance under Basel III; </w:t>
            </w:r>
          </w:p>
          <w:p w:rsidR="00F92D0F" w:rsidRPr="0010609C" w:rsidRDefault="00F92D0F" w:rsidP="00F92D0F">
            <w:pPr>
              <w:pStyle w:val="ListParagraph"/>
              <w:numPr>
                <w:ilvl w:val="0"/>
                <w:numId w:val="7"/>
              </w:numPr>
              <w:spacing w:after="0" w:line="240" w:lineRule="auto"/>
              <w:rPr>
                <w:iCs/>
              </w:rPr>
            </w:pPr>
            <w:r w:rsidRPr="001520DE">
              <w:rPr>
                <w:iCs/>
              </w:rPr>
              <w:t>Net Cash Outflows are defi</w:t>
            </w:r>
            <w:r>
              <w:rPr>
                <w:iCs/>
              </w:rPr>
              <w:t>ned as e</w:t>
            </w:r>
            <w:r w:rsidRPr="001520DE">
              <w:rPr>
                <w:iCs/>
              </w:rPr>
              <w:t xml:space="preserve">xpected cash </w:t>
            </w:r>
            <w:r>
              <w:rPr>
                <w:iCs/>
              </w:rPr>
              <w:t>outflows over the next 30 days less</w:t>
            </w:r>
            <w:r w:rsidRPr="001520DE">
              <w:rPr>
                <w:iCs/>
              </w:rPr>
              <w:t xml:space="preserve"> expected cash inflows over the next 30 days.</w:t>
            </w:r>
            <w:r>
              <w:rPr>
                <w:iCs/>
              </w:rPr>
              <w:t xml:space="preserve"> </w:t>
            </w:r>
            <w:r w:rsidRPr="001520DE">
              <w:rPr>
                <w:iCs/>
              </w:rPr>
              <w:t>Specific cash outflows/inflows are defined according to the specific regulatory guidance</w:t>
            </w:r>
            <w:r>
              <w:rPr>
                <w:rStyle w:val="FootnoteReference"/>
                <w:iCs/>
              </w:rPr>
              <w:footnoteReference w:id="2"/>
            </w:r>
            <w:r w:rsidRPr="001520DE">
              <w:rPr>
                <w:iCs/>
              </w:rPr>
              <w:t>.</w:t>
            </w:r>
          </w:p>
        </w:tc>
      </w:tr>
      <w:tr w:rsidR="00F92D0F" w:rsidRPr="00206D41" w:rsidTr="00F92D0F">
        <w:trPr>
          <w:trHeight w:val="525"/>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470" w:type="dxa"/>
            <w:gridSpan w:val="3"/>
            <w:shd w:val="clear" w:color="auto" w:fill="auto"/>
          </w:tcPr>
          <w:p w:rsidR="00F92D0F" w:rsidRPr="00206D41" w:rsidRDefault="00F92D0F" w:rsidP="00F92D0F">
            <w:pPr>
              <w:spacing w:after="0" w:line="240" w:lineRule="auto"/>
              <w:rPr>
                <w:bCs/>
                <w:iCs/>
              </w:rPr>
            </w:pPr>
            <w:r w:rsidRPr="00C05360">
              <w:rPr>
                <w:bCs/>
                <w:iCs/>
              </w:rPr>
              <w:t>QRM; Source and Use Report; Investment Portfolio Report; GL</w:t>
            </w:r>
            <w:r>
              <w:rPr>
                <w:bCs/>
                <w:iCs/>
              </w:rPr>
              <w:t xml:space="preserve"> - </w:t>
            </w:r>
            <w:r w:rsidRPr="000B3F8D">
              <w:rPr>
                <w:bCs/>
                <w:iCs/>
              </w:rPr>
              <w:tab/>
              <w:t>File name: “RL_LCR_019_201511”</w:t>
            </w:r>
          </w:p>
        </w:tc>
      </w:tr>
    </w:tbl>
    <w:p w:rsidR="00CD0B77" w:rsidRDefault="00F92D0F" w:rsidP="00CD0B77">
      <w:pPr>
        <w:pStyle w:val="SANUS1"/>
        <w:numPr>
          <w:ilvl w:val="0"/>
          <w:numId w:val="1"/>
        </w:numPr>
      </w:pPr>
      <w:r>
        <w:t>C</w:t>
      </w:r>
      <w:r w:rsidR="00CD0B77">
        <w:t>oncentration metrics</w:t>
      </w:r>
    </w:p>
    <w:p w:rsidR="00195817" w:rsidRDefault="00195817" w:rsidP="00582115">
      <w:pPr>
        <w:tabs>
          <w:tab w:val="left" w:pos="2377"/>
        </w:tabs>
      </w:pPr>
    </w:p>
    <w:p w:rsidR="00680657" w:rsidRDefault="00680657" w:rsidP="00680657">
      <w:pPr>
        <w:pStyle w:val="ListParagraph"/>
        <w:numPr>
          <w:ilvl w:val="1"/>
          <w:numId w:val="1"/>
        </w:numPr>
        <w:rPr>
          <w:b/>
          <w:sz w:val="24"/>
        </w:rPr>
      </w:pPr>
      <w:r>
        <w:rPr>
          <w:b/>
          <w:sz w:val="24"/>
        </w:rPr>
        <w:t>GCB Concentration</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2442"/>
      </w:tblGrid>
      <w:tr w:rsidR="00DB3460" w:rsidRPr="00206D41" w:rsidTr="00A763AE">
        <w:trPr>
          <w:trHeight w:val="462"/>
        </w:trPr>
        <w:tc>
          <w:tcPr>
            <w:tcW w:w="1872" w:type="dxa"/>
            <w:shd w:val="clear" w:color="auto" w:fill="auto"/>
          </w:tcPr>
          <w:p w:rsidR="00DB3460" w:rsidRPr="00206D41" w:rsidRDefault="00DB3460" w:rsidP="00A763AE">
            <w:pPr>
              <w:rPr>
                <w:b/>
                <w:bCs/>
                <w:iCs/>
              </w:rPr>
            </w:pPr>
            <w:r>
              <w:rPr>
                <w:b/>
                <w:bCs/>
                <w:iCs/>
              </w:rPr>
              <w:t>DEFINITION</w:t>
            </w:r>
          </w:p>
        </w:tc>
        <w:tc>
          <w:tcPr>
            <w:tcW w:w="7326" w:type="dxa"/>
            <w:gridSpan w:val="3"/>
            <w:shd w:val="clear" w:color="auto" w:fill="auto"/>
          </w:tcPr>
          <w:p w:rsidR="00DB3460" w:rsidRDefault="00DB3460" w:rsidP="00DB3460">
            <w:pPr>
              <w:spacing w:line="240" w:lineRule="auto"/>
              <w:rPr>
                <w:rFonts w:asciiTheme="minorHAnsi" w:eastAsiaTheme="minorEastAsia" w:cs="Arial"/>
                <w:color w:val="595959" w:themeColor="text1" w:themeTint="A6"/>
                <w:kern w:val="24"/>
                <w:sz w:val="30"/>
                <w:szCs w:val="30"/>
              </w:rPr>
            </w:pPr>
            <w:r>
              <w:rPr>
                <w:bCs/>
                <w:iCs/>
              </w:rPr>
              <w:t xml:space="preserve">GBM Concentration </w:t>
            </w:r>
            <w:r w:rsidRPr="00DB3460">
              <w:rPr>
                <w:rFonts w:asciiTheme="minorHAnsi" w:eastAsiaTheme="minorEastAsia" w:cs="Arial"/>
                <w:color w:val="595959" w:themeColor="text1" w:themeTint="A6"/>
                <w:kern w:val="24"/>
                <w:sz w:val="30"/>
                <w:szCs w:val="30"/>
              </w:rPr>
              <w:t xml:space="preserve"> </w:t>
            </w:r>
          </w:p>
          <w:p w:rsidR="00DB3460" w:rsidRPr="00DB3460" w:rsidRDefault="00DB3460" w:rsidP="00DB3460">
            <w:pPr>
              <w:spacing w:line="240" w:lineRule="auto"/>
              <w:rPr>
                <w:bCs/>
                <w:iCs/>
              </w:rPr>
            </w:pPr>
            <w:r w:rsidRPr="00DB3460">
              <w:rPr>
                <w:bCs/>
                <w:iCs/>
              </w:rPr>
              <w:t>Concentration losses arises from a model (</w:t>
            </w:r>
            <w:proofErr w:type="spellStart"/>
            <w:r w:rsidRPr="00DB3460">
              <w:rPr>
                <w:bCs/>
                <w:iCs/>
              </w:rPr>
              <w:t>Montecarlo</w:t>
            </w:r>
            <w:proofErr w:type="spellEnd"/>
            <w:r w:rsidRPr="00DB3460">
              <w:rPr>
                <w:bCs/>
                <w:iCs/>
              </w:rPr>
              <w:t>) that measures (with a  probability of 1 in 40 years) the granularity of the GBM portfolio penalizing:</w:t>
            </w:r>
          </w:p>
          <w:p w:rsidR="00340FBF" w:rsidRPr="00DB3460" w:rsidRDefault="001351F5" w:rsidP="00DB3460">
            <w:pPr>
              <w:numPr>
                <w:ilvl w:val="0"/>
                <w:numId w:val="29"/>
              </w:numPr>
              <w:spacing w:after="0" w:line="240" w:lineRule="auto"/>
              <w:rPr>
                <w:bCs/>
                <w:iCs/>
              </w:rPr>
            </w:pPr>
            <w:r w:rsidRPr="00DB3460">
              <w:rPr>
                <w:bCs/>
                <w:iCs/>
              </w:rPr>
              <w:t>Concentration in big counterparties</w:t>
            </w:r>
          </w:p>
          <w:p w:rsidR="00340FBF" w:rsidRPr="00DB3460" w:rsidRDefault="001351F5" w:rsidP="00DB3460">
            <w:pPr>
              <w:numPr>
                <w:ilvl w:val="0"/>
                <w:numId w:val="29"/>
              </w:numPr>
              <w:spacing w:after="0" w:line="240" w:lineRule="auto"/>
              <w:rPr>
                <w:bCs/>
                <w:iCs/>
              </w:rPr>
            </w:pPr>
            <w:r w:rsidRPr="00DB3460">
              <w:rPr>
                <w:bCs/>
                <w:iCs/>
              </w:rPr>
              <w:t>Low granularity of the portfolio</w:t>
            </w:r>
          </w:p>
          <w:p w:rsidR="00340FBF" w:rsidRPr="00DB3460" w:rsidRDefault="001351F5" w:rsidP="00DB3460">
            <w:pPr>
              <w:numPr>
                <w:ilvl w:val="0"/>
                <w:numId w:val="29"/>
              </w:numPr>
              <w:spacing w:after="0" w:line="240" w:lineRule="auto"/>
              <w:rPr>
                <w:bCs/>
                <w:iCs/>
              </w:rPr>
            </w:pPr>
            <w:r w:rsidRPr="00DB3460">
              <w:rPr>
                <w:bCs/>
                <w:iCs/>
              </w:rPr>
              <w:lastRenderedPageBreak/>
              <w:t>Credit quality in big counterparties</w:t>
            </w:r>
          </w:p>
          <w:p w:rsidR="00DB3460" w:rsidRPr="00206D41" w:rsidRDefault="00DB3460" w:rsidP="00A763AE">
            <w:pPr>
              <w:spacing w:after="0" w:line="240" w:lineRule="auto"/>
              <w:rPr>
                <w:bCs/>
                <w:iCs/>
              </w:rPr>
            </w:pPr>
          </w:p>
        </w:tc>
      </w:tr>
      <w:tr w:rsidR="00DB3460" w:rsidRPr="00206D41" w:rsidTr="00A763AE">
        <w:trPr>
          <w:cantSplit/>
          <w:trHeight w:val="429"/>
        </w:trPr>
        <w:tc>
          <w:tcPr>
            <w:tcW w:w="1872" w:type="dxa"/>
            <w:shd w:val="clear" w:color="auto" w:fill="auto"/>
          </w:tcPr>
          <w:p w:rsidR="00DB3460" w:rsidRDefault="00DB3460" w:rsidP="00A763AE">
            <w:pPr>
              <w:rPr>
                <w:b/>
                <w:bCs/>
                <w:iCs/>
              </w:rPr>
            </w:pPr>
            <w:r>
              <w:rPr>
                <w:b/>
                <w:bCs/>
                <w:iCs/>
              </w:rPr>
              <w:lastRenderedPageBreak/>
              <w:t>DIFFERENT FROM SHUSA</w:t>
            </w:r>
          </w:p>
        </w:tc>
        <w:tc>
          <w:tcPr>
            <w:tcW w:w="7326" w:type="dxa"/>
            <w:gridSpan w:val="3"/>
            <w:shd w:val="clear" w:color="auto" w:fill="auto"/>
          </w:tcPr>
          <w:p w:rsidR="00DB3460" w:rsidRDefault="00DB3460" w:rsidP="00A763AE">
            <w:pPr>
              <w:spacing w:after="0" w:line="240" w:lineRule="auto"/>
              <w:rPr>
                <w:bCs/>
                <w:iCs/>
              </w:rPr>
            </w:pPr>
            <w:r>
              <w:rPr>
                <w:bCs/>
                <w:iCs/>
              </w:rPr>
              <w:t>This metric is only calculated for Quarterly Group metric.</w:t>
            </w:r>
          </w:p>
        </w:tc>
      </w:tr>
      <w:tr w:rsidR="00DB3460" w:rsidRPr="00206D41" w:rsidTr="00A763AE">
        <w:trPr>
          <w:cantSplit/>
          <w:trHeight w:val="270"/>
        </w:trPr>
        <w:tc>
          <w:tcPr>
            <w:tcW w:w="1872" w:type="dxa"/>
            <w:vMerge w:val="restart"/>
            <w:shd w:val="clear" w:color="auto" w:fill="auto"/>
          </w:tcPr>
          <w:p w:rsidR="00DB3460" w:rsidRPr="00206D41" w:rsidRDefault="00DB3460" w:rsidP="00A763AE">
            <w:pPr>
              <w:rPr>
                <w:b/>
                <w:bCs/>
                <w:iCs/>
              </w:rPr>
            </w:pPr>
            <w:r>
              <w:rPr>
                <w:b/>
                <w:bCs/>
                <w:iCs/>
              </w:rPr>
              <w:t>ENTITY</w:t>
            </w:r>
          </w:p>
        </w:tc>
        <w:tc>
          <w:tcPr>
            <w:tcW w:w="2442" w:type="dxa"/>
            <w:shd w:val="clear" w:color="auto" w:fill="auto"/>
          </w:tcPr>
          <w:p w:rsidR="00DB3460" w:rsidRPr="00157B7A" w:rsidRDefault="00DB3460" w:rsidP="00A763AE">
            <w:pPr>
              <w:spacing w:after="0" w:line="240" w:lineRule="auto"/>
              <w:rPr>
                <w:b/>
                <w:bCs/>
                <w:iCs/>
              </w:rPr>
            </w:pPr>
            <w:r w:rsidRPr="00157B7A">
              <w:rPr>
                <w:b/>
                <w:bCs/>
                <w:iCs/>
              </w:rPr>
              <w:t>SHUSA</w:t>
            </w:r>
          </w:p>
        </w:tc>
        <w:tc>
          <w:tcPr>
            <w:tcW w:w="2442" w:type="dxa"/>
            <w:shd w:val="clear" w:color="auto" w:fill="auto"/>
          </w:tcPr>
          <w:p w:rsidR="00DB3460" w:rsidRPr="00157B7A" w:rsidRDefault="00DB3460" w:rsidP="00A763AE">
            <w:pPr>
              <w:spacing w:after="0" w:line="240" w:lineRule="auto"/>
              <w:rPr>
                <w:b/>
                <w:bCs/>
                <w:iCs/>
              </w:rPr>
            </w:pPr>
            <w:r w:rsidRPr="00157B7A">
              <w:rPr>
                <w:b/>
                <w:bCs/>
                <w:iCs/>
              </w:rPr>
              <w:t xml:space="preserve">SBNA </w:t>
            </w:r>
          </w:p>
        </w:tc>
        <w:tc>
          <w:tcPr>
            <w:tcW w:w="2442" w:type="dxa"/>
            <w:shd w:val="clear" w:color="auto" w:fill="auto"/>
          </w:tcPr>
          <w:p w:rsidR="00DB3460" w:rsidRPr="00157B7A" w:rsidRDefault="00DB3460" w:rsidP="00A763AE">
            <w:pPr>
              <w:spacing w:after="0" w:line="240" w:lineRule="auto"/>
              <w:rPr>
                <w:b/>
                <w:bCs/>
                <w:iCs/>
              </w:rPr>
            </w:pPr>
            <w:r w:rsidRPr="00157B7A">
              <w:rPr>
                <w:b/>
                <w:bCs/>
                <w:iCs/>
              </w:rPr>
              <w:t>SC</w:t>
            </w:r>
          </w:p>
        </w:tc>
      </w:tr>
      <w:tr w:rsidR="00DB3460" w:rsidRPr="00206D41" w:rsidTr="00A763AE">
        <w:trPr>
          <w:trHeight w:val="270"/>
        </w:trPr>
        <w:tc>
          <w:tcPr>
            <w:tcW w:w="1872" w:type="dxa"/>
            <w:vMerge/>
            <w:shd w:val="clear" w:color="auto" w:fill="auto"/>
          </w:tcPr>
          <w:p w:rsidR="00DB3460" w:rsidRDefault="00DB3460" w:rsidP="00A763AE">
            <w:pPr>
              <w:rPr>
                <w:b/>
                <w:bCs/>
                <w:iCs/>
              </w:rPr>
            </w:pPr>
          </w:p>
        </w:tc>
        <w:tc>
          <w:tcPr>
            <w:tcW w:w="2442" w:type="dxa"/>
            <w:shd w:val="clear" w:color="auto" w:fill="auto"/>
          </w:tcPr>
          <w:p w:rsidR="00DB3460" w:rsidRPr="00206D41" w:rsidRDefault="00DB3460" w:rsidP="00A763AE">
            <w:pPr>
              <w:spacing w:after="0" w:line="240" w:lineRule="auto"/>
              <w:rPr>
                <w:bCs/>
                <w:iCs/>
              </w:rPr>
            </w:pPr>
            <w:r>
              <w:rPr>
                <w:bCs/>
                <w:iCs/>
              </w:rPr>
              <w:t>Yes</w:t>
            </w:r>
          </w:p>
        </w:tc>
        <w:tc>
          <w:tcPr>
            <w:tcW w:w="2442" w:type="dxa"/>
            <w:shd w:val="clear" w:color="auto" w:fill="auto"/>
          </w:tcPr>
          <w:p w:rsidR="00DB3460" w:rsidRPr="00206D41" w:rsidRDefault="00DB3460" w:rsidP="00A763AE">
            <w:pPr>
              <w:spacing w:after="0" w:line="240" w:lineRule="auto"/>
              <w:rPr>
                <w:bCs/>
                <w:iCs/>
              </w:rPr>
            </w:pPr>
            <w:r>
              <w:rPr>
                <w:bCs/>
                <w:iCs/>
              </w:rPr>
              <w:t>Yes</w:t>
            </w:r>
          </w:p>
        </w:tc>
        <w:tc>
          <w:tcPr>
            <w:tcW w:w="2442" w:type="dxa"/>
            <w:shd w:val="clear" w:color="auto" w:fill="auto"/>
          </w:tcPr>
          <w:p w:rsidR="00DB3460" w:rsidRPr="00206D41" w:rsidRDefault="00DB3460" w:rsidP="00A763AE">
            <w:pPr>
              <w:spacing w:after="0" w:line="240" w:lineRule="auto"/>
              <w:rPr>
                <w:bCs/>
                <w:iCs/>
              </w:rPr>
            </w:pPr>
            <w:r>
              <w:rPr>
                <w:bCs/>
                <w:iCs/>
              </w:rPr>
              <w:t>NO</w:t>
            </w:r>
          </w:p>
        </w:tc>
      </w:tr>
      <w:tr w:rsidR="00DB3460" w:rsidRPr="00206D41" w:rsidTr="00A763AE">
        <w:trPr>
          <w:trHeight w:val="270"/>
        </w:trPr>
        <w:tc>
          <w:tcPr>
            <w:tcW w:w="1872" w:type="dxa"/>
            <w:vMerge w:val="restart"/>
            <w:shd w:val="clear" w:color="auto" w:fill="auto"/>
          </w:tcPr>
          <w:p w:rsidR="00DB3460" w:rsidRPr="00206D41" w:rsidRDefault="00DB3460" w:rsidP="00A763AE">
            <w:pPr>
              <w:rPr>
                <w:b/>
                <w:bCs/>
                <w:iCs/>
              </w:rPr>
            </w:pPr>
            <w:r>
              <w:rPr>
                <w:b/>
                <w:bCs/>
                <w:iCs/>
              </w:rPr>
              <w:t>METRIC OWNER</w:t>
            </w:r>
          </w:p>
        </w:tc>
        <w:tc>
          <w:tcPr>
            <w:tcW w:w="2442" w:type="dxa"/>
            <w:shd w:val="clear" w:color="auto" w:fill="auto"/>
          </w:tcPr>
          <w:p w:rsidR="00DB3460" w:rsidRPr="00157B7A" w:rsidRDefault="00DB3460" w:rsidP="00A763AE">
            <w:pPr>
              <w:spacing w:after="0" w:line="240" w:lineRule="auto"/>
              <w:rPr>
                <w:b/>
                <w:bCs/>
                <w:iCs/>
              </w:rPr>
            </w:pPr>
            <w:r w:rsidRPr="00157B7A">
              <w:rPr>
                <w:b/>
                <w:bCs/>
                <w:iCs/>
              </w:rPr>
              <w:t>SHUSA</w:t>
            </w:r>
          </w:p>
        </w:tc>
        <w:tc>
          <w:tcPr>
            <w:tcW w:w="2442" w:type="dxa"/>
            <w:shd w:val="clear" w:color="auto" w:fill="auto"/>
          </w:tcPr>
          <w:p w:rsidR="00DB3460" w:rsidRPr="00157B7A" w:rsidRDefault="00DB3460" w:rsidP="00A763AE">
            <w:pPr>
              <w:spacing w:after="0" w:line="240" w:lineRule="auto"/>
              <w:rPr>
                <w:b/>
                <w:bCs/>
                <w:iCs/>
              </w:rPr>
            </w:pPr>
            <w:r w:rsidRPr="00157B7A">
              <w:rPr>
                <w:b/>
                <w:bCs/>
                <w:iCs/>
              </w:rPr>
              <w:t>SBNA</w:t>
            </w:r>
          </w:p>
        </w:tc>
        <w:tc>
          <w:tcPr>
            <w:tcW w:w="2442" w:type="dxa"/>
            <w:shd w:val="clear" w:color="auto" w:fill="auto"/>
          </w:tcPr>
          <w:p w:rsidR="00DB3460" w:rsidRPr="00157B7A" w:rsidRDefault="00DB3460" w:rsidP="00A763AE">
            <w:pPr>
              <w:spacing w:after="0" w:line="240" w:lineRule="auto"/>
              <w:rPr>
                <w:b/>
                <w:bCs/>
                <w:iCs/>
              </w:rPr>
            </w:pPr>
            <w:r w:rsidRPr="00157B7A">
              <w:rPr>
                <w:b/>
                <w:bCs/>
                <w:iCs/>
              </w:rPr>
              <w:t>SC</w:t>
            </w:r>
          </w:p>
        </w:tc>
      </w:tr>
      <w:tr w:rsidR="00DB3460" w:rsidRPr="00206D41" w:rsidTr="00A763AE">
        <w:trPr>
          <w:trHeight w:val="252"/>
        </w:trPr>
        <w:tc>
          <w:tcPr>
            <w:tcW w:w="1872" w:type="dxa"/>
            <w:vMerge/>
            <w:shd w:val="clear" w:color="auto" w:fill="auto"/>
          </w:tcPr>
          <w:p w:rsidR="00DB3460" w:rsidRPr="00206D41" w:rsidRDefault="00DB3460" w:rsidP="00A763AE">
            <w:pPr>
              <w:rPr>
                <w:b/>
                <w:bCs/>
                <w:iCs/>
              </w:rPr>
            </w:pPr>
          </w:p>
        </w:tc>
        <w:tc>
          <w:tcPr>
            <w:tcW w:w="2442" w:type="dxa"/>
            <w:shd w:val="clear" w:color="auto" w:fill="auto"/>
          </w:tcPr>
          <w:p w:rsidR="00DB3460" w:rsidRPr="00206D41" w:rsidRDefault="00DB3460" w:rsidP="00A763AE">
            <w:pPr>
              <w:spacing w:after="0" w:line="240" w:lineRule="auto"/>
              <w:rPr>
                <w:bCs/>
                <w:iCs/>
              </w:rPr>
            </w:pPr>
            <w:r>
              <w:rPr>
                <w:bCs/>
                <w:iCs/>
              </w:rPr>
              <w:t>SHUSA Credit Risk manager</w:t>
            </w:r>
          </w:p>
        </w:tc>
        <w:tc>
          <w:tcPr>
            <w:tcW w:w="2442" w:type="dxa"/>
            <w:shd w:val="clear" w:color="auto" w:fill="auto"/>
          </w:tcPr>
          <w:p w:rsidR="00DB3460" w:rsidRPr="00206D41" w:rsidRDefault="00DB3460" w:rsidP="00A763AE">
            <w:pPr>
              <w:spacing w:after="0" w:line="240" w:lineRule="auto"/>
              <w:rPr>
                <w:bCs/>
                <w:iCs/>
              </w:rPr>
            </w:pPr>
            <w:r>
              <w:rPr>
                <w:bCs/>
                <w:iCs/>
              </w:rPr>
              <w:t>SBNA Heads of Business</w:t>
            </w:r>
          </w:p>
        </w:tc>
        <w:tc>
          <w:tcPr>
            <w:tcW w:w="2442" w:type="dxa"/>
            <w:shd w:val="clear" w:color="auto" w:fill="auto"/>
          </w:tcPr>
          <w:p w:rsidR="00DB3460" w:rsidRPr="00206D41" w:rsidRDefault="00DB3460" w:rsidP="00A763AE">
            <w:pPr>
              <w:spacing w:after="0" w:line="240" w:lineRule="auto"/>
              <w:rPr>
                <w:bCs/>
                <w:iCs/>
              </w:rPr>
            </w:pPr>
            <w:r>
              <w:rPr>
                <w:bCs/>
                <w:iCs/>
              </w:rPr>
              <w:t>N/A</w:t>
            </w:r>
          </w:p>
        </w:tc>
      </w:tr>
      <w:tr w:rsidR="00DB3460" w:rsidRPr="00206D41" w:rsidTr="00A763AE">
        <w:trPr>
          <w:cantSplit/>
          <w:trHeight w:val="360"/>
        </w:trPr>
        <w:tc>
          <w:tcPr>
            <w:tcW w:w="1872" w:type="dxa"/>
            <w:shd w:val="clear" w:color="auto" w:fill="auto"/>
          </w:tcPr>
          <w:p w:rsidR="00DB3460" w:rsidRPr="00206D41" w:rsidRDefault="00DB3460" w:rsidP="00A763AE">
            <w:pPr>
              <w:ind w:left="-60"/>
              <w:rPr>
                <w:b/>
                <w:bCs/>
                <w:iCs/>
              </w:rPr>
            </w:pPr>
            <w:r>
              <w:rPr>
                <w:b/>
                <w:bCs/>
                <w:iCs/>
              </w:rPr>
              <w:t>TRIGGER AND LIMIT SETTING</w:t>
            </w:r>
          </w:p>
        </w:tc>
        <w:tc>
          <w:tcPr>
            <w:tcW w:w="7326" w:type="dxa"/>
            <w:gridSpan w:val="3"/>
            <w:shd w:val="clear" w:color="auto" w:fill="auto"/>
          </w:tcPr>
          <w:p w:rsidR="00DB3460" w:rsidRPr="00254F91" w:rsidRDefault="005D392B" w:rsidP="00A763AE">
            <w:pPr>
              <w:spacing w:after="0" w:line="240" w:lineRule="auto"/>
              <w:rPr>
                <w:rFonts w:asciiTheme="minorHAnsi" w:eastAsiaTheme="minorHAnsi" w:hAnsiTheme="minorHAnsi" w:cstheme="minorBidi"/>
                <w:iCs/>
              </w:rPr>
            </w:pPr>
            <w:r>
              <w:rPr>
                <w:rFonts w:asciiTheme="minorHAnsi" w:eastAsiaTheme="minorHAnsi" w:hAnsiTheme="minorHAnsi" w:cstheme="minorBidi"/>
                <w:iCs/>
              </w:rPr>
              <w:t>No Trigger nor Limit set</w:t>
            </w:r>
          </w:p>
        </w:tc>
      </w:tr>
      <w:tr w:rsidR="00DB3460" w:rsidRPr="00206D41" w:rsidTr="00A763AE">
        <w:trPr>
          <w:cantSplit/>
          <w:trHeight w:val="360"/>
        </w:trPr>
        <w:tc>
          <w:tcPr>
            <w:tcW w:w="1872" w:type="dxa"/>
            <w:shd w:val="clear" w:color="auto" w:fill="auto"/>
          </w:tcPr>
          <w:p w:rsidR="00DB3460" w:rsidRPr="00206D41" w:rsidRDefault="00DB3460" w:rsidP="00A763AE">
            <w:pPr>
              <w:ind w:left="-60"/>
              <w:rPr>
                <w:b/>
                <w:bCs/>
                <w:iCs/>
              </w:rPr>
            </w:pPr>
            <w:r>
              <w:rPr>
                <w:b/>
                <w:bCs/>
                <w:iCs/>
              </w:rPr>
              <w:t>TESTING FREQUENCY</w:t>
            </w:r>
          </w:p>
        </w:tc>
        <w:tc>
          <w:tcPr>
            <w:tcW w:w="7326" w:type="dxa"/>
            <w:gridSpan w:val="3"/>
            <w:shd w:val="clear" w:color="auto" w:fill="auto"/>
          </w:tcPr>
          <w:p w:rsidR="00DB3460" w:rsidRPr="002E30C5" w:rsidRDefault="00500881" w:rsidP="00A763AE">
            <w:pPr>
              <w:spacing w:after="0" w:line="240" w:lineRule="auto"/>
              <w:rPr>
                <w:bCs/>
                <w:iCs/>
                <w:sz w:val="28"/>
                <w:szCs w:val="28"/>
              </w:rPr>
            </w:pPr>
            <w:r w:rsidRPr="00500881">
              <w:rPr>
                <w:bCs/>
                <w:iCs/>
                <w:szCs w:val="28"/>
              </w:rPr>
              <w:t>Quarterly</w:t>
            </w:r>
          </w:p>
        </w:tc>
      </w:tr>
      <w:tr w:rsidR="00DB3460" w:rsidRPr="00206D41" w:rsidTr="00A763AE">
        <w:trPr>
          <w:trHeight w:val="525"/>
        </w:trPr>
        <w:tc>
          <w:tcPr>
            <w:tcW w:w="1872" w:type="dxa"/>
            <w:shd w:val="clear" w:color="auto" w:fill="auto"/>
          </w:tcPr>
          <w:p w:rsidR="00DB3460" w:rsidRPr="00206D41" w:rsidRDefault="00DB3460" w:rsidP="00A763AE">
            <w:pPr>
              <w:rPr>
                <w:b/>
                <w:bCs/>
                <w:iCs/>
              </w:rPr>
            </w:pPr>
            <w:r w:rsidRPr="00206D41">
              <w:rPr>
                <w:b/>
                <w:bCs/>
                <w:iCs/>
              </w:rPr>
              <w:t>SOURCE OF INFORMATION</w:t>
            </w:r>
          </w:p>
        </w:tc>
        <w:tc>
          <w:tcPr>
            <w:tcW w:w="7326" w:type="dxa"/>
            <w:gridSpan w:val="3"/>
            <w:shd w:val="clear" w:color="auto" w:fill="auto"/>
          </w:tcPr>
          <w:p w:rsidR="00DB3460" w:rsidRPr="00C05360" w:rsidRDefault="00DB3460" w:rsidP="00A763AE">
            <w:pPr>
              <w:spacing w:after="0" w:line="240" w:lineRule="auto"/>
              <w:rPr>
                <w:bCs/>
                <w:iCs/>
                <w:highlight w:val="yellow"/>
              </w:rPr>
            </w:pPr>
          </w:p>
        </w:tc>
      </w:tr>
    </w:tbl>
    <w:p w:rsidR="00DB3460" w:rsidRDefault="00DB3460" w:rsidP="00DB3460">
      <w:pPr>
        <w:pStyle w:val="ListParagraph"/>
        <w:ind w:left="680"/>
        <w:rPr>
          <w:b/>
          <w:sz w:val="24"/>
        </w:rPr>
      </w:pPr>
    </w:p>
    <w:p w:rsidR="00680657" w:rsidRDefault="00680657" w:rsidP="00680657">
      <w:pPr>
        <w:pStyle w:val="ListParagraph"/>
        <w:ind w:left="680"/>
        <w:rPr>
          <w:b/>
          <w:sz w:val="24"/>
        </w:rPr>
      </w:pPr>
    </w:p>
    <w:p w:rsidR="00680657" w:rsidRPr="00D24877" w:rsidRDefault="005D392B" w:rsidP="00680657">
      <w:pPr>
        <w:pStyle w:val="ListParagraph"/>
        <w:numPr>
          <w:ilvl w:val="1"/>
          <w:numId w:val="1"/>
        </w:numPr>
        <w:rPr>
          <w:b/>
          <w:sz w:val="24"/>
        </w:rPr>
      </w:pPr>
      <w:r>
        <w:rPr>
          <w:b/>
          <w:sz w:val="24"/>
        </w:rPr>
        <w:t xml:space="preserve">Jump to default </w:t>
      </w:r>
      <w:r w:rsidR="00680657">
        <w:rPr>
          <w:b/>
          <w:sz w:val="24"/>
        </w:rPr>
        <w:t>Top 5</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872"/>
        <w:gridCol w:w="2442"/>
        <w:gridCol w:w="2442"/>
        <w:gridCol w:w="2442"/>
      </w:tblGrid>
      <w:tr w:rsidR="005D392B" w:rsidRPr="00206D41" w:rsidTr="00A763AE">
        <w:trPr>
          <w:trHeight w:val="462"/>
        </w:trPr>
        <w:tc>
          <w:tcPr>
            <w:tcW w:w="1872" w:type="dxa"/>
            <w:shd w:val="clear" w:color="auto" w:fill="auto"/>
          </w:tcPr>
          <w:p w:rsidR="005D392B" w:rsidRPr="00206D41" w:rsidRDefault="005D392B" w:rsidP="00A763AE">
            <w:pPr>
              <w:rPr>
                <w:b/>
                <w:bCs/>
                <w:iCs/>
              </w:rPr>
            </w:pPr>
            <w:r>
              <w:rPr>
                <w:b/>
                <w:bCs/>
                <w:iCs/>
              </w:rPr>
              <w:t>DEFINITION</w:t>
            </w:r>
          </w:p>
        </w:tc>
        <w:tc>
          <w:tcPr>
            <w:tcW w:w="7326" w:type="dxa"/>
            <w:gridSpan w:val="3"/>
            <w:shd w:val="clear" w:color="auto" w:fill="auto"/>
          </w:tcPr>
          <w:p w:rsidR="005D392B" w:rsidRDefault="005D392B" w:rsidP="005D392B">
            <w:pPr>
              <w:spacing w:line="240" w:lineRule="auto"/>
              <w:rPr>
                <w:bCs/>
                <w:iCs/>
              </w:rPr>
            </w:pPr>
            <w:r>
              <w:rPr>
                <w:bCs/>
                <w:iCs/>
              </w:rPr>
              <w:t>Top 5</w:t>
            </w:r>
          </w:p>
          <w:p w:rsidR="005D392B" w:rsidRPr="005D392B" w:rsidRDefault="005D392B" w:rsidP="005D392B">
            <w:pPr>
              <w:spacing w:line="240" w:lineRule="auto"/>
              <w:rPr>
                <w:rFonts w:asciiTheme="minorHAnsi" w:eastAsiaTheme="minorEastAsia" w:cs="Arial"/>
                <w:color w:val="595959" w:themeColor="text1" w:themeTint="A6"/>
                <w:kern w:val="24"/>
                <w:sz w:val="30"/>
                <w:szCs w:val="30"/>
              </w:rPr>
            </w:pPr>
            <w:r w:rsidRPr="005D392B">
              <w:rPr>
                <w:rFonts w:asciiTheme="minorHAnsi" w:eastAsiaTheme="minorEastAsia" w:cs="Arial"/>
                <w:kern w:val="24"/>
                <w:szCs w:val="30"/>
              </w:rPr>
              <w:t>Impact on CET1 ratio of an scenario where top 5 GBM default simultaneously with LGD 45%</w:t>
            </w:r>
          </w:p>
        </w:tc>
      </w:tr>
      <w:tr w:rsidR="005D392B" w:rsidRPr="00206D41" w:rsidTr="00A763AE">
        <w:trPr>
          <w:cantSplit/>
          <w:trHeight w:val="429"/>
        </w:trPr>
        <w:tc>
          <w:tcPr>
            <w:tcW w:w="1872" w:type="dxa"/>
            <w:shd w:val="clear" w:color="auto" w:fill="auto"/>
          </w:tcPr>
          <w:p w:rsidR="005D392B" w:rsidRDefault="005D392B" w:rsidP="00A763AE">
            <w:pPr>
              <w:rPr>
                <w:b/>
                <w:bCs/>
                <w:iCs/>
              </w:rPr>
            </w:pPr>
            <w:r>
              <w:rPr>
                <w:b/>
                <w:bCs/>
                <w:iCs/>
              </w:rPr>
              <w:t>DIFFERENT FROM SHUSA</w:t>
            </w:r>
          </w:p>
        </w:tc>
        <w:tc>
          <w:tcPr>
            <w:tcW w:w="7326" w:type="dxa"/>
            <w:gridSpan w:val="3"/>
            <w:shd w:val="clear" w:color="auto" w:fill="auto"/>
          </w:tcPr>
          <w:p w:rsidR="005D392B" w:rsidRDefault="005D392B" w:rsidP="00A763AE">
            <w:pPr>
              <w:spacing w:after="0" w:line="240" w:lineRule="auto"/>
              <w:rPr>
                <w:bCs/>
                <w:iCs/>
              </w:rPr>
            </w:pPr>
            <w:r>
              <w:rPr>
                <w:bCs/>
                <w:iCs/>
              </w:rPr>
              <w:t>This metric is only calculated for Quarterly Group metric.</w:t>
            </w:r>
          </w:p>
        </w:tc>
      </w:tr>
      <w:tr w:rsidR="005D392B" w:rsidRPr="00206D41" w:rsidTr="00A763AE">
        <w:trPr>
          <w:cantSplit/>
          <w:trHeight w:val="270"/>
        </w:trPr>
        <w:tc>
          <w:tcPr>
            <w:tcW w:w="1872" w:type="dxa"/>
            <w:vMerge w:val="restart"/>
            <w:shd w:val="clear" w:color="auto" w:fill="auto"/>
          </w:tcPr>
          <w:p w:rsidR="005D392B" w:rsidRPr="00206D41" w:rsidRDefault="005D392B" w:rsidP="00A763AE">
            <w:pPr>
              <w:rPr>
                <w:b/>
                <w:bCs/>
                <w:iCs/>
              </w:rPr>
            </w:pPr>
            <w:r>
              <w:rPr>
                <w:b/>
                <w:bCs/>
                <w:iCs/>
              </w:rPr>
              <w:t>ENTITY</w:t>
            </w:r>
          </w:p>
        </w:tc>
        <w:tc>
          <w:tcPr>
            <w:tcW w:w="2442" w:type="dxa"/>
            <w:shd w:val="clear" w:color="auto" w:fill="auto"/>
          </w:tcPr>
          <w:p w:rsidR="005D392B" w:rsidRPr="00157B7A" w:rsidRDefault="005D392B" w:rsidP="00A763AE">
            <w:pPr>
              <w:spacing w:after="0" w:line="240" w:lineRule="auto"/>
              <w:rPr>
                <w:b/>
                <w:bCs/>
                <w:iCs/>
              </w:rPr>
            </w:pPr>
            <w:r w:rsidRPr="00157B7A">
              <w:rPr>
                <w:b/>
                <w:bCs/>
                <w:iCs/>
              </w:rPr>
              <w:t>SHUSA</w:t>
            </w:r>
          </w:p>
        </w:tc>
        <w:tc>
          <w:tcPr>
            <w:tcW w:w="2442" w:type="dxa"/>
            <w:shd w:val="clear" w:color="auto" w:fill="auto"/>
          </w:tcPr>
          <w:p w:rsidR="005D392B" w:rsidRPr="00157B7A" w:rsidRDefault="005D392B" w:rsidP="00A763AE">
            <w:pPr>
              <w:spacing w:after="0" w:line="240" w:lineRule="auto"/>
              <w:rPr>
                <w:b/>
                <w:bCs/>
                <w:iCs/>
              </w:rPr>
            </w:pPr>
            <w:r w:rsidRPr="00157B7A">
              <w:rPr>
                <w:b/>
                <w:bCs/>
                <w:iCs/>
              </w:rPr>
              <w:t xml:space="preserve">SBNA </w:t>
            </w:r>
          </w:p>
        </w:tc>
        <w:tc>
          <w:tcPr>
            <w:tcW w:w="2442" w:type="dxa"/>
            <w:shd w:val="clear" w:color="auto" w:fill="auto"/>
          </w:tcPr>
          <w:p w:rsidR="005D392B" w:rsidRPr="00157B7A" w:rsidRDefault="005D392B" w:rsidP="00A763AE">
            <w:pPr>
              <w:spacing w:after="0" w:line="240" w:lineRule="auto"/>
              <w:rPr>
                <w:b/>
                <w:bCs/>
                <w:iCs/>
              </w:rPr>
            </w:pPr>
            <w:r w:rsidRPr="00157B7A">
              <w:rPr>
                <w:b/>
                <w:bCs/>
                <w:iCs/>
              </w:rPr>
              <w:t>SC</w:t>
            </w:r>
          </w:p>
        </w:tc>
      </w:tr>
      <w:tr w:rsidR="005D392B" w:rsidRPr="00206D41" w:rsidTr="00A763AE">
        <w:trPr>
          <w:trHeight w:val="270"/>
        </w:trPr>
        <w:tc>
          <w:tcPr>
            <w:tcW w:w="1872" w:type="dxa"/>
            <w:vMerge/>
            <w:shd w:val="clear" w:color="auto" w:fill="auto"/>
          </w:tcPr>
          <w:p w:rsidR="005D392B" w:rsidRDefault="005D392B" w:rsidP="00A763AE">
            <w:pPr>
              <w:rPr>
                <w:b/>
                <w:bCs/>
                <w:iCs/>
              </w:rPr>
            </w:pPr>
          </w:p>
        </w:tc>
        <w:tc>
          <w:tcPr>
            <w:tcW w:w="2442" w:type="dxa"/>
            <w:shd w:val="clear" w:color="auto" w:fill="auto"/>
          </w:tcPr>
          <w:p w:rsidR="005D392B" w:rsidRPr="00206D41" w:rsidRDefault="005D392B" w:rsidP="00A763AE">
            <w:pPr>
              <w:spacing w:after="0" w:line="240" w:lineRule="auto"/>
              <w:rPr>
                <w:bCs/>
                <w:iCs/>
              </w:rPr>
            </w:pPr>
            <w:r>
              <w:rPr>
                <w:bCs/>
                <w:iCs/>
              </w:rPr>
              <w:t>Yes</w:t>
            </w:r>
          </w:p>
        </w:tc>
        <w:tc>
          <w:tcPr>
            <w:tcW w:w="2442" w:type="dxa"/>
            <w:shd w:val="clear" w:color="auto" w:fill="auto"/>
          </w:tcPr>
          <w:p w:rsidR="005D392B" w:rsidRPr="00206D41" w:rsidRDefault="005D392B" w:rsidP="00A763AE">
            <w:pPr>
              <w:spacing w:after="0" w:line="240" w:lineRule="auto"/>
              <w:rPr>
                <w:bCs/>
                <w:iCs/>
              </w:rPr>
            </w:pPr>
            <w:r>
              <w:rPr>
                <w:bCs/>
                <w:iCs/>
              </w:rPr>
              <w:t>Yes</w:t>
            </w:r>
          </w:p>
        </w:tc>
        <w:tc>
          <w:tcPr>
            <w:tcW w:w="2442" w:type="dxa"/>
            <w:shd w:val="clear" w:color="auto" w:fill="auto"/>
          </w:tcPr>
          <w:p w:rsidR="005D392B" w:rsidRPr="00206D41" w:rsidRDefault="005D392B" w:rsidP="00A763AE">
            <w:pPr>
              <w:spacing w:after="0" w:line="240" w:lineRule="auto"/>
              <w:rPr>
                <w:bCs/>
                <w:iCs/>
              </w:rPr>
            </w:pPr>
            <w:r>
              <w:rPr>
                <w:bCs/>
                <w:iCs/>
              </w:rPr>
              <w:t>NO</w:t>
            </w:r>
          </w:p>
        </w:tc>
      </w:tr>
      <w:tr w:rsidR="005D392B" w:rsidRPr="00206D41" w:rsidTr="00A763AE">
        <w:trPr>
          <w:trHeight w:val="270"/>
        </w:trPr>
        <w:tc>
          <w:tcPr>
            <w:tcW w:w="1872" w:type="dxa"/>
            <w:vMerge w:val="restart"/>
            <w:shd w:val="clear" w:color="auto" w:fill="auto"/>
          </w:tcPr>
          <w:p w:rsidR="005D392B" w:rsidRPr="00206D41" w:rsidRDefault="005D392B" w:rsidP="00A763AE">
            <w:pPr>
              <w:rPr>
                <w:b/>
                <w:bCs/>
                <w:iCs/>
              </w:rPr>
            </w:pPr>
            <w:r>
              <w:rPr>
                <w:b/>
                <w:bCs/>
                <w:iCs/>
              </w:rPr>
              <w:t>METRIC OWNER</w:t>
            </w:r>
          </w:p>
        </w:tc>
        <w:tc>
          <w:tcPr>
            <w:tcW w:w="2442" w:type="dxa"/>
            <w:shd w:val="clear" w:color="auto" w:fill="auto"/>
          </w:tcPr>
          <w:p w:rsidR="005D392B" w:rsidRPr="00157B7A" w:rsidRDefault="005D392B" w:rsidP="00A763AE">
            <w:pPr>
              <w:spacing w:after="0" w:line="240" w:lineRule="auto"/>
              <w:rPr>
                <w:b/>
                <w:bCs/>
                <w:iCs/>
              </w:rPr>
            </w:pPr>
            <w:r w:rsidRPr="00157B7A">
              <w:rPr>
                <w:b/>
                <w:bCs/>
                <w:iCs/>
              </w:rPr>
              <w:t>SHUSA</w:t>
            </w:r>
          </w:p>
        </w:tc>
        <w:tc>
          <w:tcPr>
            <w:tcW w:w="2442" w:type="dxa"/>
            <w:shd w:val="clear" w:color="auto" w:fill="auto"/>
          </w:tcPr>
          <w:p w:rsidR="005D392B" w:rsidRPr="00157B7A" w:rsidRDefault="005D392B" w:rsidP="00A763AE">
            <w:pPr>
              <w:spacing w:after="0" w:line="240" w:lineRule="auto"/>
              <w:rPr>
                <w:b/>
                <w:bCs/>
                <w:iCs/>
              </w:rPr>
            </w:pPr>
            <w:r w:rsidRPr="00157B7A">
              <w:rPr>
                <w:b/>
                <w:bCs/>
                <w:iCs/>
              </w:rPr>
              <w:t>SBNA</w:t>
            </w:r>
          </w:p>
        </w:tc>
        <w:tc>
          <w:tcPr>
            <w:tcW w:w="2442" w:type="dxa"/>
            <w:shd w:val="clear" w:color="auto" w:fill="auto"/>
          </w:tcPr>
          <w:p w:rsidR="005D392B" w:rsidRPr="00157B7A" w:rsidRDefault="005D392B" w:rsidP="00A763AE">
            <w:pPr>
              <w:spacing w:after="0" w:line="240" w:lineRule="auto"/>
              <w:rPr>
                <w:b/>
                <w:bCs/>
                <w:iCs/>
              </w:rPr>
            </w:pPr>
            <w:r w:rsidRPr="00157B7A">
              <w:rPr>
                <w:b/>
                <w:bCs/>
                <w:iCs/>
              </w:rPr>
              <w:t>SC</w:t>
            </w:r>
          </w:p>
        </w:tc>
      </w:tr>
      <w:tr w:rsidR="005D392B" w:rsidRPr="00206D41" w:rsidTr="00A763AE">
        <w:trPr>
          <w:trHeight w:val="252"/>
        </w:trPr>
        <w:tc>
          <w:tcPr>
            <w:tcW w:w="1872" w:type="dxa"/>
            <w:vMerge/>
            <w:shd w:val="clear" w:color="auto" w:fill="auto"/>
          </w:tcPr>
          <w:p w:rsidR="005D392B" w:rsidRPr="00206D41" w:rsidRDefault="005D392B" w:rsidP="00A763AE">
            <w:pPr>
              <w:rPr>
                <w:b/>
                <w:bCs/>
                <w:iCs/>
              </w:rPr>
            </w:pPr>
          </w:p>
        </w:tc>
        <w:tc>
          <w:tcPr>
            <w:tcW w:w="2442" w:type="dxa"/>
            <w:shd w:val="clear" w:color="auto" w:fill="auto"/>
          </w:tcPr>
          <w:p w:rsidR="005D392B" w:rsidRPr="00206D41" w:rsidRDefault="005D392B" w:rsidP="00A763AE">
            <w:pPr>
              <w:spacing w:after="0" w:line="240" w:lineRule="auto"/>
              <w:rPr>
                <w:bCs/>
                <w:iCs/>
              </w:rPr>
            </w:pPr>
            <w:r>
              <w:rPr>
                <w:bCs/>
                <w:iCs/>
              </w:rPr>
              <w:t>SHUSA Credit Risk manager</w:t>
            </w:r>
          </w:p>
        </w:tc>
        <w:tc>
          <w:tcPr>
            <w:tcW w:w="2442" w:type="dxa"/>
            <w:shd w:val="clear" w:color="auto" w:fill="auto"/>
          </w:tcPr>
          <w:p w:rsidR="005D392B" w:rsidRPr="00206D41" w:rsidRDefault="005D392B" w:rsidP="00A763AE">
            <w:pPr>
              <w:spacing w:after="0" w:line="240" w:lineRule="auto"/>
              <w:rPr>
                <w:bCs/>
                <w:iCs/>
              </w:rPr>
            </w:pPr>
            <w:r>
              <w:rPr>
                <w:bCs/>
                <w:iCs/>
              </w:rPr>
              <w:t>SBNA Heads of Business</w:t>
            </w:r>
          </w:p>
        </w:tc>
        <w:tc>
          <w:tcPr>
            <w:tcW w:w="2442" w:type="dxa"/>
            <w:shd w:val="clear" w:color="auto" w:fill="auto"/>
          </w:tcPr>
          <w:p w:rsidR="005D392B" w:rsidRPr="00206D41" w:rsidRDefault="005D392B" w:rsidP="00A763AE">
            <w:pPr>
              <w:spacing w:after="0" w:line="240" w:lineRule="auto"/>
              <w:rPr>
                <w:bCs/>
                <w:iCs/>
              </w:rPr>
            </w:pPr>
            <w:r>
              <w:rPr>
                <w:bCs/>
                <w:iCs/>
              </w:rPr>
              <w:t>N/A</w:t>
            </w:r>
          </w:p>
        </w:tc>
      </w:tr>
      <w:tr w:rsidR="005D392B" w:rsidRPr="00206D41" w:rsidTr="00A763AE">
        <w:trPr>
          <w:cantSplit/>
          <w:trHeight w:val="360"/>
        </w:trPr>
        <w:tc>
          <w:tcPr>
            <w:tcW w:w="1872" w:type="dxa"/>
            <w:shd w:val="clear" w:color="auto" w:fill="auto"/>
          </w:tcPr>
          <w:p w:rsidR="005D392B" w:rsidRPr="00206D41" w:rsidRDefault="005D392B" w:rsidP="00A763AE">
            <w:pPr>
              <w:ind w:left="-60"/>
              <w:rPr>
                <w:b/>
                <w:bCs/>
                <w:iCs/>
              </w:rPr>
            </w:pPr>
            <w:r>
              <w:rPr>
                <w:b/>
                <w:bCs/>
                <w:iCs/>
              </w:rPr>
              <w:t>TRIGGER AND LIMIT SETTING</w:t>
            </w:r>
          </w:p>
        </w:tc>
        <w:tc>
          <w:tcPr>
            <w:tcW w:w="7326" w:type="dxa"/>
            <w:gridSpan w:val="3"/>
            <w:shd w:val="clear" w:color="auto" w:fill="auto"/>
          </w:tcPr>
          <w:p w:rsidR="005D392B" w:rsidRPr="00254F91" w:rsidRDefault="005D392B" w:rsidP="00A763AE">
            <w:pPr>
              <w:spacing w:after="0" w:line="240" w:lineRule="auto"/>
              <w:rPr>
                <w:rFonts w:asciiTheme="minorHAnsi" w:eastAsiaTheme="minorHAnsi" w:hAnsiTheme="minorHAnsi" w:cstheme="minorBidi"/>
                <w:iCs/>
              </w:rPr>
            </w:pPr>
            <w:r>
              <w:rPr>
                <w:rFonts w:asciiTheme="minorHAnsi" w:eastAsiaTheme="minorHAnsi" w:hAnsiTheme="minorHAnsi" w:cstheme="minorBidi"/>
                <w:iCs/>
              </w:rPr>
              <w:t>No Trigger nor Limit set</w:t>
            </w:r>
          </w:p>
        </w:tc>
      </w:tr>
      <w:tr w:rsidR="005D392B" w:rsidRPr="00206D41" w:rsidTr="00A763AE">
        <w:trPr>
          <w:cantSplit/>
          <w:trHeight w:val="360"/>
        </w:trPr>
        <w:tc>
          <w:tcPr>
            <w:tcW w:w="1872" w:type="dxa"/>
            <w:shd w:val="clear" w:color="auto" w:fill="auto"/>
          </w:tcPr>
          <w:p w:rsidR="005D392B" w:rsidRPr="00206D41" w:rsidRDefault="005D392B" w:rsidP="00A763AE">
            <w:pPr>
              <w:ind w:left="-60"/>
              <w:rPr>
                <w:b/>
                <w:bCs/>
                <w:iCs/>
              </w:rPr>
            </w:pPr>
            <w:r>
              <w:rPr>
                <w:b/>
                <w:bCs/>
                <w:iCs/>
              </w:rPr>
              <w:t>TESTING FREQUENCY</w:t>
            </w:r>
          </w:p>
        </w:tc>
        <w:tc>
          <w:tcPr>
            <w:tcW w:w="7326" w:type="dxa"/>
            <w:gridSpan w:val="3"/>
            <w:shd w:val="clear" w:color="auto" w:fill="auto"/>
          </w:tcPr>
          <w:p w:rsidR="005D392B" w:rsidRPr="002E30C5" w:rsidRDefault="005D392B" w:rsidP="00A763AE">
            <w:pPr>
              <w:spacing w:after="0" w:line="240" w:lineRule="auto"/>
              <w:rPr>
                <w:bCs/>
                <w:iCs/>
                <w:sz w:val="28"/>
                <w:szCs w:val="28"/>
              </w:rPr>
            </w:pPr>
            <w:r w:rsidRPr="005D392B">
              <w:rPr>
                <w:bCs/>
                <w:iCs/>
                <w:szCs w:val="28"/>
              </w:rPr>
              <w:t>Quarterly</w:t>
            </w:r>
          </w:p>
        </w:tc>
      </w:tr>
      <w:tr w:rsidR="005D392B" w:rsidRPr="00206D41" w:rsidTr="00A763AE">
        <w:trPr>
          <w:trHeight w:val="525"/>
        </w:trPr>
        <w:tc>
          <w:tcPr>
            <w:tcW w:w="1872" w:type="dxa"/>
            <w:shd w:val="clear" w:color="auto" w:fill="auto"/>
          </w:tcPr>
          <w:p w:rsidR="005D392B" w:rsidRPr="00206D41" w:rsidRDefault="005D392B" w:rsidP="00A763AE">
            <w:pPr>
              <w:rPr>
                <w:b/>
                <w:bCs/>
                <w:iCs/>
              </w:rPr>
            </w:pPr>
            <w:r w:rsidRPr="00206D41">
              <w:rPr>
                <w:b/>
                <w:bCs/>
                <w:iCs/>
              </w:rPr>
              <w:t>SOURCE OF INFORMATION</w:t>
            </w:r>
          </w:p>
        </w:tc>
        <w:tc>
          <w:tcPr>
            <w:tcW w:w="7326" w:type="dxa"/>
            <w:gridSpan w:val="3"/>
            <w:shd w:val="clear" w:color="auto" w:fill="auto"/>
          </w:tcPr>
          <w:p w:rsidR="005D392B" w:rsidRPr="00C05360" w:rsidRDefault="005D392B" w:rsidP="00A763AE">
            <w:pPr>
              <w:spacing w:after="0" w:line="240" w:lineRule="auto"/>
              <w:rPr>
                <w:bCs/>
                <w:iCs/>
                <w:highlight w:val="yellow"/>
              </w:rPr>
            </w:pPr>
          </w:p>
        </w:tc>
      </w:tr>
    </w:tbl>
    <w:p w:rsidR="00195817" w:rsidRDefault="00195817" w:rsidP="00582115">
      <w:pPr>
        <w:tabs>
          <w:tab w:val="left" w:pos="2377"/>
        </w:tabs>
      </w:pPr>
    </w:p>
    <w:p w:rsidR="00717B77" w:rsidRPr="00D24877" w:rsidRDefault="00717B77" w:rsidP="00717B77">
      <w:pPr>
        <w:pStyle w:val="ListParagraph"/>
        <w:numPr>
          <w:ilvl w:val="1"/>
          <w:numId w:val="1"/>
        </w:numPr>
        <w:rPr>
          <w:b/>
          <w:sz w:val="24"/>
        </w:rPr>
      </w:pPr>
      <w:r w:rsidRPr="00D24877">
        <w:rPr>
          <w:b/>
          <w:sz w:val="24"/>
        </w:rPr>
        <w:lastRenderedPageBreak/>
        <w:t>Single obligor</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F92D0F" w:rsidRPr="00206D41" w:rsidTr="00F92D0F">
        <w:trPr>
          <w:trHeight w:val="462"/>
        </w:trPr>
        <w:tc>
          <w:tcPr>
            <w:tcW w:w="1728" w:type="dxa"/>
            <w:shd w:val="clear" w:color="auto" w:fill="auto"/>
          </w:tcPr>
          <w:p w:rsidR="00F92D0F" w:rsidRPr="00206D41" w:rsidRDefault="00F92D0F" w:rsidP="00F92D0F">
            <w:pPr>
              <w:rPr>
                <w:b/>
                <w:bCs/>
                <w:iCs/>
              </w:rPr>
            </w:pPr>
            <w:r>
              <w:rPr>
                <w:b/>
                <w:bCs/>
                <w:iCs/>
              </w:rPr>
              <w:t>DEFINITION</w:t>
            </w:r>
          </w:p>
        </w:tc>
        <w:tc>
          <w:tcPr>
            <w:tcW w:w="7470" w:type="dxa"/>
            <w:gridSpan w:val="3"/>
            <w:shd w:val="clear" w:color="auto" w:fill="auto"/>
          </w:tcPr>
          <w:p w:rsidR="00F92D0F" w:rsidRDefault="00F92D0F" w:rsidP="00F92D0F">
            <w:pPr>
              <w:spacing w:after="0" w:line="240" w:lineRule="auto"/>
              <w:rPr>
                <w:bCs/>
                <w:iCs/>
              </w:rPr>
            </w:pPr>
            <w:r w:rsidRPr="00206D41">
              <w:rPr>
                <w:bCs/>
                <w:iCs/>
              </w:rPr>
              <w:t xml:space="preserve">The </w:t>
            </w:r>
            <w:r>
              <w:rPr>
                <w:bCs/>
                <w:iCs/>
              </w:rPr>
              <w:t>dollar value</w:t>
            </w:r>
            <w:r w:rsidRPr="00206D41">
              <w:rPr>
                <w:bCs/>
                <w:iCs/>
              </w:rPr>
              <w:t xml:space="preserve"> of </w:t>
            </w:r>
            <w:r>
              <w:rPr>
                <w:bCs/>
                <w:iCs/>
              </w:rPr>
              <w:t>total exposure to any individual customer (or aggregated to guarantor) in Global Corporate Banking, Middle Mar</w:t>
            </w:r>
            <w:r w:rsidR="002066E0">
              <w:rPr>
                <w:bCs/>
                <w:iCs/>
              </w:rPr>
              <w:t>ket, Auto or Specialty Lending.</w:t>
            </w:r>
          </w:p>
          <w:p w:rsidR="00F92D0F" w:rsidRDefault="00F92D0F" w:rsidP="00F92D0F">
            <w:pPr>
              <w:spacing w:after="0" w:line="240" w:lineRule="auto"/>
              <w:rPr>
                <w:bCs/>
                <w:iCs/>
              </w:rPr>
            </w:pPr>
            <w:r>
              <w:rPr>
                <w:bCs/>
                <w:iCs/>
              </w:rPr>
              <w:t xml:space="preserve">It excludes Financial Institutions and Insurers and other market counterparties. </w:t>
            </w:r>
          </w:p>
          <w:p w:rsidR="00F92D0F" w:rsidRDefault="00F92D0F" w:rsidP="00F92D0F">
            <w:pPr>
              <w:spacing w:after="0" w:line="240" w:lineRule="auto"/>
              <w:rPr>
                <w:bCs/>
                <w:iCs/>
              </w:rPr>
            </w:pPr>
          </w:p>
          <w:p w:rsidR="00F92D0F" w:rsidRDefault="00F92D0F" w:rsidP="00F92D0F">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F92D0F" w:rsidRDefault="00F92D0F" w:rsidP="00F92D0F">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F92D0F" w:rsidRDefault="00F92D0F" w:rsidP="00F92D0F">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F92D0F" w:rsidRDefault="00F92D0F" w:rsidP="00F92D0F">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F92D0F" w:rsidRDefault="00F92D0F" w:rsidP="00F92D0F">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3"/>
            </w:r>
            <w:r w:rsidRPr="00BF190C">
              <w:rPr>
                <w:rFonts w:asciiTheme="minorHAnsi" w:eastAsiaTheme="minorHAnsi" w:hAnsiTheme="minorHAnsi" w:cstheme="minorBidi"/>
                <w:bCs/>
                <w:iCs/>
                <w:lang w:val="en-GB"/>
              </w:rPr>
              <w:t xml:space="preserve"> (“REC”) for derivatives. </w:t>
            </w:r>
          </w:p>
          <w:p w:rsidR="00F92D0F" w:rsidRPr="00206D41" w:rsidRDefault="00F92D0F" w:rsidP="00F92D0F">
            <w:pPr>
              <w:spacing w:after="0" w:line="240" w:lineRule="auto"/>
              <w:rPr>
                <w:bCs/>
                <w:iCs/>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713D83" w:rsidRPr="00206D41" w:rsidTr="00F92D0F">
        <w:trPr>
          <w:cantSplit/>
          <w:trHeight w:val="462"/>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5D392B" w:rsidP="005D392B">
            <w:pPr>
              <w:spacing w:after="0" w:line="240" w:lineRule="auto"/>
              <w:rPr>
                <w:bCs/>
                <w:iCs/>
              </w:rPr>
            </w:pPr>
            <w:r>
              <w:rPr>
                <w:bCs/>
                <w:iCs/>
              </w:rPr>
              <w:t>The only difference with the calculation of this</w:t>
            </w:r>
            <w:r w:rsidR="00713D83">
              <w:rPr>
                <w:bCs/>
                <w:iCs/>
              </w:rPr>
              <w:t xml:space="preserve"> metric </w:t>
            </w:r>
            <w:r>
              <w:rPr>
                <w:bCs/>
                <w:iCs/>
              </w:rPr>
              <w:t>is that it is calculated</w:t>
            </w:r>
            <w:r w:rsidR="00713D83">
              <w:rPr>
                <w:bCs/>
                <w:iCs/>
              </w:rPr>
              <w:t xml:space="preserve"> over </w:t>
            </w:r>
            <w:r w:rsidR="00DF4CEA">
              <w:rPr>
                <w:bCs/>
                <w:iCs/>
              </w:rPr>
              <w:t>shareholder equity</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ENTITY</w:t>
            </w:r>
          </w:p>
        </w:tc>
        <w:tc>
          <w:tcPr>
            <w:tcW w:w="2490" w:type="dxa"/>
            <w:shd w:val="clear" w:color="auto" w:fill="auto"/>
          </w:tcPr>
          <w:p w:rsidR="00F92D0F" w:rsidRPr="00E66FFB" w:rsidRDefault="00F92D0F" w:rsidP="00F92D0F">
            <w:pPr>
              <w:spacing w:after="0" w:line="240" w:lineRule="auto"/>
              <w:rPr>
                <w:b/>
                <w:bCs/>
                <w:iCs/>
              </w:rPr>
            </w:pPr>
            <w:r w:rsidRPr="00E66FFB">
              <w:rPr>
                <w:b/>
                <w:bCs/>
                <w:iCs/>
              </w:rPr>
              <w:t>SHUSA</w:t>
            </w:r>
          </w:p>
        </w:tc>
        <w:tc>
          <w:tcPr>
            <w:tcW w:w="2490" w:type="dxa"/>
            <w:shd w:val="clear" w:color="auto" w:fill="auto"/>
          </w:tcPr>
          <w:p w:rsidR="00F92D0F" w:rsidRPr="00E66FFB" w:rsidRDefault="00F92D0F" w:rsidP="00F92D0F">
            <w:pPr>
              <w:spacing w:after="0" w:line="240" w:lineRule="auto"/>
              <w:rPr>
                <w:b/>
                <w:bCs/>
                <w:iCs/>
              </w:rPr>
            </w:pPr>
            <w:r w:rsidRPr="00E66FFB">
              <w:rPr>
                <w:b/>
                <w:bCs/>
                <w:iCs/>
              </w:rPr>
              <w:t>SBNA</w:t>
            </w:r>
          </w:p>
        </w:tc>
        <w:tc>
          <w:tcPr>
            <w:tcW w:w="2490" w:type="dxa"/>
            <w:shd w:val="clear" w:color="auto" w:fill="auto"/>
          </w:tcPr>
          <w:p w:rsidR="00F92D0F" w:rsidRPr="00E66FFB" w:rsidRDefault="00F92D0F" w:rsidP="00F92D0F">
            <w:pPr>
              <w:spacing w:after="0" w:line="240" w:lineRule="auto"/>
              <w:rPr>
                <w:b/>
                <w:bCs/>
                <w:iCs/>
              </w:rPr>
            </w:pPr>
            <w:r w:rsidRPr="00E66FFB">
              <w:rPr>
                <w:b/>
                <w:bCs/>
                <w:iCs/>
              </w:rPr>
              <w:t>SC</w:t>
            </w:r>
          </w:p>
        </w:tc>
      </w:tr>
      <w:tr w:rsidR="00F92D0F" w:rsidRPr="00206D41" w:rsidTr="00F92D0F">
        <w:trPr>
          <w:trHeight w:val="270"/>
        </w:trPr>
        <w:tc>
          <w:tcPr>
            <w:tcW w:w="1728" w:type="dxa"/>
            <w:vMerge/>
            <w:shd w:val="clear" w:color="auto" w:fill="auto"/>
          </w:tcPr>
          <w:p w:rsidR="00F92D0F"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Yes</w:t>
            </w:r>
          </w:p>
        </w:tc>
        <w:tc>
          <w:tcPr>
            <w:tcW w:w="2490" w:type="dxa"/>
            <w:shd w:val="clear" w:color="auto" w:fill="auto"/>
          </w:tcPr>
          <w:p w:rsidR="00F92D0F" w:rsidRPr="00206D41" w:rsidRDefault="00F92D0F" w:rsidP="00F92D0F">
            <w:pPr>
              <w:spacing w:after="0" w:line="240" w:lineRule="auto"/>
              <w:rPr>
                <w:bCs/>
                <w:iCs/>
              </w:rPr>
            </w:pPr>
            <w:r>
              <w:rPr>
                <w:bCs/>
                <w:iCs/>
              </w:rPr>
              <w:t>No</w:t>
            </w:r>
          </w:p>
        </w:tc>
      </w:tr>
      <w:tr w:rsidR="00F92D0F" w:rsidRPr="00206D41" w:rsidTr="00F92D0F">
        <w:trPr>
          <w:trHeight w:val="270"/>
        </w:trPr>
        <w:tc>
          <w:tcPr>
            <w:tcW w:w="1728" w:type="dxa"/>
            <w:vMerge w:val="restart"/>
            <w:shd w:val="clear" w:color="auto" w:fill="auto"/>
          </w:tcPr>
          <w:p w:rsidR="00F92D0F" w:rsidRPr="00206D41" w:rsidRDefault="00F92D0F" w:rsidP="00F92D0F">
            <w:pPr>
              <w:rPr>
                <w:b/>
                <w:bCs/>
                <w:iCs/>
              </w:rPr>
            </w:pPr>
            <w:r>
              <w:rPr>
                <w:b/>
                <w:bCs/>
                <w:iCs/>
              </w:rPr>
              <w:t>METRIC OWNER</w:t>
            </w:r>
          </w:p>
        </w:tc>
        <w:tc>
          <w:tcPr>
            <w:tcW w:w="2490" w:type="dxa"/>
            <w:shd w:val="clear" w:color="auto" w:fill="auto"/>
          </w:tcPr>
          <w:p w:rsidR="00F92D0F" w:rsidRPr="00E66FFB" w:rsidRDefault="00F92D0F" w:rsidP="00F92D0F">
            <w:pPr>
              <w:spacing w:after="0" w:line="240" w:lineRule="auto"/>
              <w:rPr>
                <w:b/>
                <w:bCs/>
                <w:iCs/>
              </w:rPr>
            </w:pPr>
            <w:r w:rsidRPr="00E66FFB">
              <w:rPr>
                <w:b/>
                <w:bCs/>
                <w:iCs/>
              </w:rPr>
              <w:t>SHUSA</w:t>
            </w:r>
          </w:p>
        </w:tc>
        <w:tc>
          <w:tcPr>
            <w:tcW w:w="2490" w:type="dxa"/>
            <w:shd w:val="clear" w:color="auto" w:fill="auto"/>
          </w:tcPr>
          <w:p w:rsidR="00F92D0F" w:rsidRPr="00E66FFB" w:rsidRDefault="00F92D0F" w:rsidP="00F92D0F">
            <w:pPr>
              <w:spacing w:after="0" w:line="240" w:lineRule="auto"/>
              <w:rPr>
                <w:b/>
                <w:bCs/>
                <w:iCs/>
              </w:rPr>
            </w:pPr>
            <w:r w:rsidRPr="00E66FFB">
              <w:rPr>
                <w:b/>
                <w:bCs/>
                <w:iCs/>
              </w:rPr>
              <w:t>SBNA</w:t>
            </w:r>
          </w:p>
        </w:tc>
        <w:tc>
          <w:tcPr>
            <w:tcW w:w="2490" w:type="dxa"/>
            <w:shd w:val="clear" w:color="auto" w:fill="auto"/>
          </w:tcPr>
          <w:p w:rsidR="00F92D0F" w:rsidRPr="00E66FFB" w:rsidRDefault="00F92D0F" w:rsidP="00F92D0F">
            <w:pPr>
              <w:spacing w:after="0" w:line="240" w:lineRule="auto"/>
              <w:rPr>
                <w:b/>
                <w:bCs/>
                <w:iCs/>
              </w:rPr>
            </w:pPr>
            <w:r w:rsidRPr="00E66FFB">
              <w:rPr>
                <w:b/>
                <w:bCs/>
                <w:iCs/>
              </w:rPr>
              <w:t>SC</w:t>
            </w:r>
          </w:p>
        </w:tc>
      </w:tr>
      <w:tr w:rsidR="00F92D0F" w:rsidRPr="00206D41" w:rsidTr="00F92D0F">
        <w:trPr>
          <w:trHeight w:val="252"/>
        </w:trPr>
        <w:tc>
          <w:tcPr>
            <w:tcW w:w="1728" w:type="dxa"/>
            <w:vMerge/>
            <w:shd w:val="clear" w:color="auto" w:fill="auto"/>
          </w:tcPr>
          <w:p w:rsidR="00F92D0F" w:rsidRPr="00206D41" w:rsidRDefault="00F92D0F" w:rsidP="00F92D0F">
            <w:pPr>
              <w:rPr>
                <w:b/>
                <w:bCs/>
                <w:iCs/>
              </w:rPr>
            </w:pPr>
          </w:p>
        </w:tc>
        <w:tc>
          <w:tcPr>
            <w:tcW w:w="2490" w:type="dxa"/>
            <w:shd w:val="clear" w:color="auto" w:fill="auto"/>
          </w:tcPr>
          <w:p w:rsidR="00F92D0F" w:rsidRPr="00206D41" w:rsidRDefault="00F92D0F" w:rsidP="00F92D0F">
            <w:pPr>
              <w:spacing w:after="0" w:line="240" w:lineRule="auto"/>
              <w:rPr>
                <w:bCs/>
                <w:iCs/>
              </w:rPr>
            </w:pPr>
            <w:r>
              <w:rPr>
                <w:bCs/>
                <w:iCs/>
              </w:rPr>
              <w:t>SHUSA Credit Risk manager</w:t>
            </w:r>
          </w:p>
        </w:tc>
        <w:tc>
          <w:tcPr>
            <w:tcW w:w="2490" w:type="dxa"/>
            <w:shd w:val="clear" w:color="auto" w:fill="auto"/>
          </w:tcPr>
          <w:p w:rsidR="00F92D0F" w:rsidRPr="00206D41" w:rsidRDefault="00F92D0F" w:rsidP="00F92D0F">
            <w:pPr>
              <w:spacing w:after="0" w:line="240" w:lineRule="auto"/>
              <w:rPr>
                <w:bCs/>
                <w:iCs/>
              </w:rPr>
            </w:pPr>
            <w:r>
              <w:rPr>
                <w:bCs/>
                <w:iCs/>
              </w:rPr>
              <w:t>SBNA Heads of Business</w:t>
            </w:r>
          </w:p>
        </w:tc>
        <w:tc>
          <w:tcPr>
            <w:tcW w:w="2490" w:type="dxa"/>
            <w:shd w:val="clear" w:color="auto" w:fill="auto"/>
          </w:tcPr>
          <w:p w:rsidR="00F92D0F" w:rsidRPr="00206D41" w:rsidRDefault="00F92D0F" w:rsidP="00F92D0F">
            <w:pPr>
              <w:spacing w:after="0" w:line="240" w:lineRule="auto"/>
              <w:rPr>
                <w:bCs/>
                <w:iCs/>
              </w:rPr>
            </w:pPr>
            <w:r w:rsidRPr="00206D41">
              <w:rPr>
                <w:bCs/>
                <w:iCs/>
              </w:rPr>
              <w:t>N/A</w:t>
            </w:r>
          </w:p>
        </w:tc>
      </w:tr>
      <w:tr w:rsidR="00F92D0F" w:rsidRPr="00206D41" w:rsidTr="00F92D0F">
        <w:trPr>
          <w:trHeight w:val="439"/>
        </w:trPr>
        <w:tc>
          <w:tcPr>
            <w:tcW w:w="1728" w:type="dxa"/>
            <w:shd w:val="clear" w:color="auto" w:fill="auto"/>
          </w:tcPr>
          <w:p w:rsidR="00F92D0F" w:rsidRPr="00206D41" w:rsidRDefault="00F92D0F" w:rsidP="00F92D0F">
            <w:pPr>
              <w:ind w:left="-60"/>
              <w:rPr>
                <w:b/>
                <w:bCs/>
                <w:iCs/>
              </w:rPr>
            </w:pPr>
            <w:r>
              <w:rPr>
                <w:b/>
                <w:bCs/>
                <w:iCs/>
              </w:rPr>
              <w:t>TRIGGER AND LIMIT SETTING</w:t>
            </w:r>
          </w:p>
        </w:tc>
        <w:tc>
          <w:tcPr>
            <w:tcW w:w="7470" w:type="dxa"/>
            <w:gridSpan w:val="3"/>
            <w:shd w:val="clear" w:color="auto" w:fill="auto"/>
          </w:tcPr>
          <w:p w:rsidR="005D392B" w:rsidRDefault="005D392B" w:rsidP="005D392B">
            <w:pPr>
              <w:pStyle w:val="Default"/>
              <w:rPr>
                <w:sz w:val="22"/>
                <w:szCs w:val="22"/>
              </w:rPr>
            </w:pPr>
            <w:r>
              <w:rPr>
                <w:sz w:val="22"/>
                <w:szCs w:val="22"/>
              </w:rPr>
              <w:t xml:space="preserve">This metric has no amber trigger. The red limit is set annually by the Board when reviewing the RAS. </w:t>
            </w:r>
          </w:p>
          <w:p w:rsidR="00F92D0F" w:rsidRDefault="00F92D0F" w:rsidP="00F92D0F">
            <w:pPr>
              <w:spacing w:after="0" w:line="240" w:lineRule="auto"/>
              <w:rPr>
                <w:rFonts w:asciiTheme="minorHAnsi" w:eastAsiaTheme="minorHAnsi" w:hAnsiTheme="minorHAnsi" w:cstheme="minorBidi"/>
                <w:iCs/>
              </w:rPr>
            </w:pPr>
          </w:p>
        </w:tc>
      </w:tr>
      <w:tr w:rsidR="00F92D0F" w:rsidRPr="00206D41" w:rsidTr="00F92D0F">
        <w:trPr>
          <w:trHeight w:val="303"/>
        </w:trPr>
        <w:tc>
          <w:tcPr>
            <w:tcW w:w="1728" w:type="dxa"/>
            <w:shd w:val="clear" w:color="auto" w:fill="auto"/>
          </w:tcPr>
          <w:p w:rsidR="00F92D0F" w:rsidRPr="00206D41" w:rsidRDefault="00F92D0F" w:rsidP="00F92D0F">
            <w:pPr>
              <w:ind w:left="-60"/>
              <w:rPr>
                <w:b/>
                <w:bCs/>
                <w:iCs/>
              </w:rPr>
            </w:pPr>
            <w:r>
              <w:rPr>
                <w:b/>
                <w:bCs/>
                <w:iCs/>
              </w:rPr>
              <w:t xml:space="preserve">TESTING </w:t>
            </w:r>
            <w:r w:rsidRPr="00206D41">
              <w:rPr>
                <w:b/>
                <w:bCs/>
                <w:iCs/>
              </w:rPr>
              <w:t>FREQUENCY</w:t>
            </w:r>
          </w:p>
        </w:tc>
        <w:tc>
          <w:tcPr>
            <w:tcW w:w="7470" w:type="dxa"/>
            <w:gridSpan w:val="3"/>
            <w:shd w:val="clear" w:color="auto" w:fill="auto"/>
          </w:tcPr>
          <w:p w:rsidR="00F92D0F" w:rsidRPr="00206D41" w:rsidRDefault="005D392B" w:rsidP="00F92D0F">
            <w:r>
              <w:rPr>
                <w:rFonts w:asciiTheme="minorHAnsi" w:eastAsiaTheme="minorHAnsi" w:hAnsiTheme="minorHAnsi" w:cstheme="minorBidi"/>
                <w:iCs/>
              </w:rPr>
              <w:t>Quarterly</w:t>
            </w:r>
          </w:p>
        </w:tc>
      </w:tr>
      <w:tr w:rsidR="00F92D0F" w:rsidRPr="00206D41" w:rsidTr="00F92D0F">
        <w:trPr>
          <w:trHeight w:val="525"/>
        </w:trPr>
        <w:tc>
          <w:tcPr>
            <w:tcW w:w="1728" w:type="dxa"/>
            <w:shd w:val="clear" w:color="auto" w:fill="auto"/>
          </w:tcPr>
          <w:p w:rsidR="00F92D0F" w:rsidRPr="00206D41" w:rsidRDefault="00F92D0F" w:rsidP="00F92D0F">
            <w:pPr>
              <w:rPr>
                <w:b/>
                <w:bCs/>
                <w:iCs/>
              </w:rPr>
            </w:pPr>
            <w:r w:rsidRPr="00206D41">
              <w:rPr>
                <w:b/>
                <w:bCs/>
                <w:iCs/>
              </w:rPr>
              <w:t>SOURCE OF INFORMATION</w:t>
            </w:r>
          </w:p>
        </w:tc>
        <w:tc>
          <w:tcPr>
            <w:tcW w:w="7470" w:type="dxa"/>
            <w:gridSpan w:val="3"/>
            <w:shd w:val="clear" w:color="auto" w:fill="auto"/>
          </w:tcPr>
          <w:p w:rsidR="00F92D0F" w:rsidRDefault="00F92D0F" w:rsidP="00F92D0F">
            <w:pPr>
              <w:spacing w:after="0" w:line="240" w:lineRule="auto"/>
              <w:rPr>
                <w:bCs/>
                <w:iCs/>
              </w:rPr>
            </w:pPr>
            <w:r>
              <w:rPr>
                <w:bCs/>
                <w:iCs/>
              </w:rPr>
              <w:t xml:space="preserve">The information is obtained from CCMIS.  </w:t>
            </w:r>
          </w:p>
          <w:p w:rsidR="00F92D0F" w:rsidRPr="00F7119F" w:rsidRDefault="00F92D0F" w:rsidP="00F92D0F">
            <w:pPr>
              <w:pStyle w:val="ListParagraph"/>
              <w:numPr>
                <w:ilvl w:val="0"/>
                <w:numId w:val="20"/>
              </w:numPr>
              <w:spacing w:after="0" w:line="240" w:lineRule="auto"/>
              <w:rPr>
                <w:bCs/>
                <w:iCs/>
              </w:rPr>
            </w:pPr>
            <w:r w:rsidRPr="00F7119F">
              <w:rPr>
                <w:bCs/>
                <w:iCs/>
              </w:rPr>
              <w:t xml:space="preserve">Single Obligor is defined as all related customers from the Customer table with a common Master One Obligor Number creating a Master One Obligor grouping.  </w:t>
            </w:r>
          </w:p>
          <w:p w:rsidR="00F92D0F" w:rsidRPr="00F7119F" w:rsidRDefault="00F92D0F" w:rsidP="00F92D0F">
            <w:pPr>
              <w:pStyle w:val="ListParagraph"/>
              <w:numPr>
                <w:ilvl w:val="0"/>
                <w:numId w:val="20"/>
              </w:numPr>
              <w:spacing w:after="0" w:line="240" w:lineRule="auto"/>
              <w:rPr>
                <w:bCs/>
                <w:iCs/>
              </w:rPr>
            </w:pPr>
            <w:r w:rsidRPr="00F7119F">
              <w:rPr>
                <w:bCs/>
                <w:iCs/>
              </w:rPr>
              <w:t xml:space="preserve">Exposure is the sum of Binding Exposure for each Customer in the Customer table within the Master One Obligor grouping.   </w:t>
            </w:r>
          </w:p>
          <w:p w:rsidR="00F92D0F" w:rsidRPr="00F7119F" w:rsidRDefault="00F92D0F" w:rsidP="00F92D0F">
            <w:pPr>
              <w:pStyle w:val="ListParagraph"/>
              <w:numPr>
                <w:ilvl w:val="0"/>
                <w:numId w:val="20"/>
              </w:numPr>
              <w:spacing w:after="0" w:line="240" w:lineRule="auto"/>
              <w:rPr>
                <w:bCs/>
                <w:iCs/>
              </w:rPr>
            </w:pPr>
            <w:r w:rsidRPr="00F7119F">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F7119F">
              <w:rPr>
                <w:bCs/>
                <w:iCs/>
              </w:rPr>
              <w:t>To</w:t>
            </w:r>
            <w:proofErr w:type="gramEnd"/>
            <w:r w:rsidRPr="00F7119F">
              <w:rPr>
                <w:bCs/>
                <w:iCs/>
              </w:rPr>
              <w:t xml:space="preserve"> Master Customer table.</w:t>
            </w:r>
          </w:p>
          <w:p w:rsidR="00F92D0F" w:rsidRPr="00F7119F" w:rsidRDefault="00F92D0F" w:rsidP="00F92D0F">
            <w:pPr>
              <w:pStyle w:val="ListParagraph"/>
              <w:numPr>
                <w:ilvl w:val="0"/>
                <w:numId w:val="20"/>
              </w:numPr>
              <w:spacing w:after="0" w:line="240" w:lineRule="auto"/>
              <w:rPr>
                <w:bCs/>
                <w:iCs/>
              </w:rPr>
            </w:pPr>
            <w:r w:rsidRPr="0095495D">
              <w:rPr>
                <w:bCs/>
                <w:iCs/>
              </w:rPr>
              <w:t>Note, PFE is not currently included as the calibration of limits did not take PFE into consideration</w:t>
            </w:r>
          </w:p>
        </w:tc>
      </w:tr>
    </w:tbl>
    <w:p w:rsidR="00717B77" w:rsidRPr="00D24877" w:rsidRDefault="00717B77" w:rsidP="00717B77">
      <w:pPr>
        <w:pStyle w:val="ListParagraph"/>
        <w:numPr>
          <w:ilvl w:val="1"/>
          <w:numId w:val="1"/>
        </w:numPr>
        <w:rPr>
          <w:b/>
          <w:sz w:val="24"/>
        </w:rPr>
      </w:pPr>
      <w:r w:rsidRPr="00D24877">
        <w:rPr>
          <w:b/>
          <w:sz w:val="24"/>
        </w:rPr>
        <w:lastRenderedPageBreak/>
        <w:t>Top 20</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trHeight w:val="439"/>
        </w:trPr>
        <w:tc>
          <w:tcPr>
            <w:tcW w:w="1728" w:type="dxa"/>
            <w:shd w:val="clear" w:color="auto" w:fill="auto"/>
          </w:tcPr>
          <w:p w:rsidR="00C16CCA" w:rsidRPr="00206D41" w:rsidRDefault="00C16CCA" w:rsidP="001D0D9A">
            <w:pPr>
              <w:rPr>
                <w:b/>
                <w:bCs/>
                <w:iCs/>
              </w:rPr>
            </w:pPr>
            <w:r>
              <w:rPr>
                <w:b/>
                <w:bCs/>
                <w:iCs/>
              </w:rPr>
              <w:t>DEFINITION</w:t>
            </w:r>
          </w:p>
        </w:tc>
        <w:tc>
          <w:tcPr>
            <w:tcW w:w="7470" w:type="dxa"/>
            <w:gridSpan w:val="3"/>
            <w:shd w:val="clear" w:color="auto" w:fill="auto"/>
          </w:tcPr>
          <w:p w:rsidR="00C16CCA" w:rsidRDefault="00C16CCA" w:rsidP="001D0D9A">
            <w:pPr>
              <w:spacing w:after="0" w:line="240" w:lineRule="auto"/>
              <w:rPr>
                <w:bCs/>
                <w:iCs/>
              </w:rPr>
            </w:pPr>
            <w:r w:rsidRPr="00206D41">
              <w:rPr>
                <w:bCs/>
                <w:iCs/>
              </w:rPr>
              <w:t xml:space="preserve">The </w:t>
            </w:r>
            <w:r>
              <w:rPr>
                <w:bCs/>
                <w:iCs/>
              </w:rPr>
              <w:t>combined dollar value</w:t>
            </w:r>
            <w:r w:rsidRPr="00206D41">
              <w:rPr>
                <w:bCs/>
                <w:iCs/>
              </w:rPr>
              <w:t xml:space="preserve"> of</w:t>
            </w:r>
            <w:r>
              <w:rPr>
                <w:bCs/>
                <w:iCs/>
              </w:rPr>
              <w:t xml:space="preserve"> total exposure to any individual customer (or aggregated to guarantor) in Global Corporate Banking, Middle Mar</w:t>
            </w:r>
            <w:r w:rsidR="002066E0">
              <w:rPr>
                <w:bCs/>
                <w:iCs/>
              </w:rPr>
              <w:t>ket, Auto or Specialty Lending over shareholder equity.</w:t>
            </w:r>
          </w:p>
          <w:p w:rsidR="00C16CCA" w:rsidRDefault="00C16CCA" w:rsidP="001D0D9A">
            <w:pPr>
              <w:spacing w:after="0" w:line="240" w:lineRule="auto"/>
              <w:rPr>
                <w:bCs/>
                <w:iCs/>
              </w:rPr>
            </w:pPr>
            <w:r>
              <w:rPr>
                <w:bCs/>
                <w:iCs/>
              </w:rPr>
              <w:t xml:space="preserve">It excludes Financial Institutions and Insurers and other market counterparties. </w:t>
            </w:r>
          </w:p>
          <w:p w:rsidR="00C16CCA" w:rsidRDefault="00C16CCA" w:rsidP="001D0D9A">
            <w:pPr>
              <w:spacing w:after="0" w:line="240" w:lineRule="auto"/>
              <w:rPr>
                <w:bCs/>
                <w:iCs/>
              </w:rPr>
            </w:pPr>
          </w:p>
          <w:p w:rsidR="00C16CCA" w:rsidRDefault="00C16CCA" w:rsidP="001D0D9A">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4"/>
            </w:r>
            <w:r w:rsidRPr="00BF190C">
              <w:rPr>
                <w:rFonts w:asciiTheme="minorHAnsi" w:eastAsiaTheme="minorHAnsi" w:hAnsiTheme="minorHAnsi" w:cstheme="minorBidi"/>
                <w:bCs/>
                <w:iCs/>
                <w:lang w:val="en-GB"/>
              </w:rPr>
              <w:t xml:space="preserve"> (“REC”) for derivatives. </w:t>
            </w:r>
          </w:p>
          <w:p w:rsidR="00C16CCA" w:rsidRPr="00476FDA" w:rsidRDefault="00C16CCA" w:rsidP="001D0D9A">
            <w:pPr>
              <w:spacing w:after="0" w:line="240" w:lineRule="auto"/>
              <w:rPr>
                <w:bCs/>
                <w:iCs/>
                <w:color w:val="FF0000"/>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713D83" w:rsidRPr="00206D41" w:rsidTr="001D0D9A">
        <w:trPr>
          <w:trHeight w:val="286"/>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BB7BDA" w:rsidP="00BB7BDA">
            <w:pPr>
              <w:spacing w:after="0" w:line="240" w:lineRule="auto"/>
              <w:rPr>
                <w:bCs/>
                <w:iCs/>
              </w:rPr>
            </w:pPr>
            <w:r>
              <w:rPr>
                <w:bCs/>
                <w:iCs/>
              </w:rPr>
              <w:t xml:space="preserve">This metric is calculated </w:t>
            </w:r>
            <w:r w:rsidR="005D392B">
              <w:rPr>
                <w:bCs/>
                <w:iCs/>
              </w:rPr>
              <w:t>differently by dividing Top 20 over shareholder equity.</w:t>
            </w:r>
          </w:p>
        </w:tc>
      </w:tr>
      <w:tr w:rsidR="00C16CCA" w:rsidRPr="00206D41" w:rsidTr="001D0D9A">
        <w:trPr>
          <w:cantSplit/>
          <w:trHeight w:val="255"/>
        </w:trPr>
        <w:tc>
          <w:tcPr>
            <w:tcW w:w="1728" w:type="dxa"/>
            <w:vMerge w:val="restart"/>
            <w:shd w:val="clear" w:color="auto" w:fill="auto"/>
          </w:tcPr>
          <w:p w:rsidR="00C16CCA" w:rsidRPr="00206D41" w:rsidRDefault="00C16CCA" w:rsidP="001D0D9A">
            <w:pPr>
              <w:rPr>
                <w:b/>
                <w:bCs/>
                <w:iCs/>
              </w:rPr>
            </w:pPr>
            <w:r>
              <w:rPr>
                <w:b/>
                <w:bCs/>
                <w:iCs/>
              </w:rPr>
              <w:t>ENTITY</w:t>
            </w:r>
          </w:p>
        </w:tc>
        <w:tc>
          <w:tcPr>
            <w:tcW w:w="2490" w:type="dxa"/>
            <w:shd w:val="clear" w:color="auto" w:fill="auto"/>
          </w:tcPr>
          <w:p w:rsidR="00C16CCA" w:rsidRPr="006358E6" w:rsidRDefault="00C16CCA" w:rsidP="001D0D9A">
            <w:pPr>
              <w:spacing w:after="0" w:line="240" w:lineRule="auto"/>
              <w:rPr>
                <w:b/>
                <w:bCs/>
                <w:iCs/>
              </w:rPr>
            </w:pPr>
            <w:r w:rsidRPr="006358E6">
              <w:rPr>
                <w:b/>
                <w:bCs/>
                <w:iCs/>
              </w:rPr>
              <w:t>SHUSA</w:t>
            </w:r>
          </w:p>
        </w:tc>
        <w:tc>
          <w:tcPr>
            <w:tcW w:w="2490" w:type="dxa"/>
            <w:shd w:val="clear" w:color="auto" w:fill="auto"/>
          </w:tcPr>
          <w:p w:rsidR="00C16CCA" w:rsidRPr="006358E6" w:rsidRDefault="00C16CCA" w:rsidP="001D0D9A">
            <w:pPr>
              <w:spacing w:after="0" w:line="240" w:lineRule="auto"/>
              <w:rPr>
                <w:b/>
                <w:bCs/>
                <w:iCs/>
              </w:rPr>
            </w:pPr>
            <w:r w:rsidRPr="006358E6">
              <w:rPr>
                <w:b/>
                <w:bCs/>
                <w:iCs/>
              </w:rPr>
              <w:t>SBNA</w:t>
            </w:r>
          </w:p>
        </w:tc>
        <w:tc>
          <w:tcPr>
            <w:tcW w:w="2490" w:type="dxa"/>
            <w:shd w:val="clear" w:color="auto" w:fill="auto"/>
          </w:tcPr>
          <w:p w:rsidR="00C16CCA" w:rsidRPr="006358E6" w:rsidRDefault="00C16CCA" w:rsidP="001D0D9A">
            <w:pPr>
              <w:spacing w:after="0" w:line="240" w:lineRule="auto"/>
              <w:rPr>
                <w:b/>
                <w:bCs/>
                <w:iCs/>
              </w:rPr>
            </w:pPr>
            <w:r w:rsidRPr="006358E6">
              <w:rPr>
                <w:b/>
                <w:bCs/>
                <w:iCs/>
              </w:rPr>
              <w:t>SC</w:t>
            </w:r>
          </w:p>
        </w:tc>
      </w:tr>
      <w:tr w:rsidR="00C16CCA" w:rsidRPr="00206D41" w:rsidTr="001D0D9A">
        <w:trPr>
          <w:trHeight w:val="255"/>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Yes</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 xml:space="preserve">METRIC OWNER </w:t>
            </w:r>
          </w:p>
        </w:tc>
        <w:tc>
          <w:tcPr>
            <w:tcW w:w="2490" w:type="dxa"/>
            <w:shd w:val="clear" w:color="auto" w:fill="auto"/>
          </w:tcPr>
          <w:p w:rsidR="00C16CCA" w:rsidRPr="006358E6" w:rsidRDefault="00C16CCA" w:rsidP="001D0D9A">
            <w:pPr>
              <w:spacing w:after="0" w:line="240" w:lineRule="auto"/>
              <w:rPr>
                <w:b/>
                <w:bCs/>
                <w:iCs/>
              </w:rPr>
            </w:pPr>
            <w:r w:rsidRPr="006358E6">
              <w:rPr>
                <w:b/>
                <w:bCs/>
                <w:iCs/>
              </w:rPr>
              <w:t>SHUSA</w:t>
            </w:r>
          </w:p>
        </w:tc>
        <w:tc>
          <w:tcPr>
            <w:tcW w:w="2490" w:type="dxa"/>
            <w:shd w:val="clear" w:color="auto" w:fill="auto"/>
          </w:tcPr>
          <w:p w:rsidR="00C16CCA" w:rsidRPr="006358E6" w:rsidRDefault="00C16CCA" w:rsidP="001D0D9A">
            <w:pPr>
              <w:spacing w:after="0" w:line="240" w:lineRule="auto"/>
              <w:rPr>
                <w:b/>
                <w:bCs/>
                <w:iCs/>
              </w:rPr>
            </w:pPr>
            <w:r w:rsidRPr="006358E6">
              <w:rPr>
                <w:b/>
                <w:bCs/>
                <w:iCs/>
              </w:rPr>
              <w:t>SBNA</w:t>
            </w:r>
          </w:p>
        </w:tc>
        <w:tc>
          <w:tcPr>
            <w:tcW w:w="2490" w:type="dxa"/>
            <w:shd w:val="clear" w:color="auto" w:fill="auto"/>
          </w:tcPr>
          <w:p w:rsidR="00C16CCA" w:rsidRPr="006358E6" w:rsidRDefault="00C16CCA" w:rsidP="001D0D9A">
            <w:pPr>
              <w:spacing w:after="0" w:line="240" w:lineRule="auto"/>
              <w:rPr>
                <w:b/>
                <w:bCs/>
                <w:iCs/>
              </w:rPr>
            </w:pPr>
            <w:r w:rsidRPr="006358E6">
              <w:rPr>
                <w:b/>
                <w:bCs/>
                <w:iCs/>
              </w:rPr>
              <w:t>SC</w:t>
            </w:r>
          </w:p>
        </w:tc>
      </w:tr>
      <w:tr w:rsidR="00C16CCA" w:rsidRPr="00206D41" w:rsidTr="001D0D9A">
        <w:trPr>
          <w:trHeight w:val="252"/>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SHUSA Credit Risk manager</w:t>
            </w:r>
          </w:p>
        </w:tc>
        <w:tc>
          <w:tcPr>
            <w:tcW w:w="2490" w:type="dxa"/>
            <w:shd w:val="clear" w:color="auto" w:fill="auto"/>
          </w:tcPr>
          <w:p w:rsidR="00C16CCA" w:rsidRPr="00206D41" w:rsidRDefault="00C16CCA" w:rsidP="001D0D9A">
            <w:pPr>
              <w:spacing w:after="0" w:line="240" w:lineRule="auto"/>
              <w:rPr>
                <w:bCs/>
                <w:iCs/>
              </w:rPr>
            </w:pPr>
            <w:r>
              <w:rPr>
                <w:bCs/>
                <w:iCs/>
              </w:rPr>
              <w:t>SBNA Heads of Business</w:t>
            </w:r>
          </w:p>
        </w:tc>
        <w:tc>
          <w:tcPr>
            <w:tcW w:w="2490" w:type="dxa"/>
            <w:shd w:val="clear" w:color="auto" w:fill="auto"/>
          </w:tcPr>
          <w:p w:rsidR="00C16CCA" w:rsidRPr="00206D41" w:rsidRDefault="00C16CCA" w:rsidP="001D0D9A">
            <w:pPr>
              <w:spacing w:after="0" w:line="240" w:lineRule="auto"/>
              <w:rPr>
                <w:bCs/>
                <w:iCs/>
              </w:rPr>
            </w:pPr>
            <w:r>
              <w:rPr>
                <w:bCs/>
                <w:iCs/>
              </w:rPr>
              <w:t>N/A</w:t>
            </w:r>
          </w:p>
        </w:tc>
      </w:tr>
      <w:tr w:rsidR="00C16CCA" w:rsidRPr="00206D41" w:rsidTr="001D0D9A">
        <w:trPr>
          <w:trHeight w:val="360"/>
        </w:trPr>
        <w:tc>
          <w:tcPr>
            <w:tcW w:w="1728" w:type="dxa"/>
            <w:shd w:val="clear" w:color="auto" w:fill="auto"/>
          </w:tcPr>
          <w:p w:rsidR="00C16CCA" w:rsidRPr="00206D41" w:rsidRDefault="00C16CCA" w:rsidP="001D0D9A">
            <w:pPr>
              <w:ind w:left="-60"/>
              <w:rPr>
                <w:b/>
                <w:bCs/>
                <w:iCs/>
              </w:rPr>
            </w:pPr>
            <w:r>
              <w:rPr>
                <w:b/>
                <w:bCs/>
                <w:iCs/>
              </w:rPr>
              <w:t>TRIGGER AND LIMIT SETTING</w:t>
            </w:r>
          </w:p>
        </w:tc>
        <w:tc>
          <w:tcPr>
            <w:tcW w:w="7470" w:type="dxa"/>
            <w:gridSpan w:val="3"/>
            <w:shd w:val="clear" w:color="auto" w:fill="auto"/>
          </w:tcPr>
          <w:p w:rsidR="00C16CCA" w:rsidRDefault="00C16CCA"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are set annually by the Board when reviewing the RAS.</w:t>
            </w:r>
          </w:p>
        </w:tc>
      </w:tr>
      <w:tr w:rsidR="00C16CCA" w:rsidRPr="00206D41" w:rsidTr="001D0D9A">
        <w:trPr>
          <w:trHeight w:val="510"/>
        </w:trPr>
        <w:tc>
          <w:tcPr>
            <w:tcW w:w="1728" w:type="dxa"/>
            <w:shd w:val="clear" w:color="auto" w:fill="auto"/>
          </w:tcPr>
          <w:p w:rsidR="00C16CCA" w:rsidRPr="00206D41" w:rsidRDefault="00C16CCA" w:rsidP="001D0D9A">
            <w:pPr>
              <w:ind w:left="-60"/>
              <w:rPr>
                <w:b/>
                <w:bCs/>
                <w:iCs/>
              </w:rPr>
            </w:pPr>
            <w:r>
              <w:rPr>
                <w:b/>
                <w:bCs/>
                <w:iCs/>
              </w:rPr>
              <w:t xml:space="preserve">TESTING </w:t>
            </w:r>
            <w:r w:rsidRPr="00206D41">
              <w:rPr>
                <w:b/>
                <w:bCs/>
                <w:iCs/>
              </w:rPr>
              <w:t>FREQUENCY</w:t>
            </w:r>
          </w:p>
        </w:tc>
        <w:tc>
          <w:tcPr>
            <w:tcW w:w="7470" w:type="dxa"/>
            <w:gridSpan w:val="3"/>
            <w:shd w:val="clear" w:color="auto" w:fill="auto"/>
          </w:tcPr>
          <w:p w:rsidR="00C16CCA" w:rsidRPr="00206D41" w:rsidRDefault="005D392B" w:rsidP="001D0D9A">
            <w:r>
              <w:rPr>
                <w:rFonts w:asciiTheme="minorHAnsi" w:eastAsiaTheme="minorHAnsi" w:hAnsiTheme="minorHAnsi" w:cstheme="minorBidi"/>
                <w:iCs/>
              </w:rPr>
              <w:t>Quarterly</w:t>
            </w:r>
          </w:p>
        </w:tc>
      </w:tr>
      <w:tr w:rsidR="00C16CCA" w:rsidRPr="00206D41" w:rsidTr="001D0D9A">
        <w:trPr>
          <w:trHeight w:val="525"/>
        </w:trPr>
        <w:tc>
          <w:tcPr>
            <w:tcW w:w="1728" w:type="dxa"/>
            <w:shd w:val="clear" w:color="auto" w:fill="auto"/>
          </w:tcPr>
          <w:p w:rsidR="00C16CCA" w:rsidRPr="00206D41" w:rsidRDefault="00C16CCA" w:rsidP="001D0D9A">
            <w:pPr>
              <w:rPr>
                <w:b/>
                <w:bCs/>
                <w:iCs/>
              </w:rPr>
            </w:pPr>
            <w:r w:rsidRPr="00206D41">
              <w:rPr>
                <w:b/>
                <w:bCs/>
                <w:iCs/>
              </w:rPr>
              <w:t>SOURCE OF INFORMATION</w:t>
            </w:r>
          </w:p>
        </w:tc>
        <w:tc>
          <w:tcPr>
            <w:tcW w:w="7470" w:type="dxa"/>
            <w:gridSpan w:val="3"/>
            <w:shd w:val="clear" w:color="auto" w:fill="auto"/>
          </w:tcPr>
          <w:p w:rsidR="00C16CCA" w:rsidRDefault="00C16CCA" w:rsidP="001D0D9A">
            <w:pPr>
              <w:spacing w:after="0" w:line="240" w:lineRule="auto"/>
              <w:rPr>
                <w:bCs/>
                <w:iCs/>
              </w:rPr>
            </w:pPr>
            <w:r>
              <w:rPr>
                <w:bCs/>
                <w:iCs/>
              </w:rPr>
              <w:t xml:space="preserve">The information is obtained from CCMIS.  </w:t>
            </w:r>
          </w:p>
          <w:p w:rsidR="00C16CCA" w:rsidRPr="00F7119F" w:rsidRDefault="00C16CCA" w:rsidP="00C16CCA">
            <w:pPr>
              <w:pStyle w:val="ListParagraph"/>
              <w:numPr>
                <w:ilvl w:val="0"/>
                <w:numId w:val="21"/>
              </w:numPr>
              <w:spacing w:after="0" w:line="240" w:lineRule="auto"/>
              <w:rPr>
                <w:bCs/>
                <w:iCs/>
              </w:rPr>
            </w:pPr>
            <w:r w:rsidRPr="00F7119F">
              <w:rPr>
                <w:bCs/>
                <w:iCs/>
              </w:rPr>
              <w:t xml:space="preserve">Obligors are defined as all related customers from the Customer table with a common Master One Obligor Number creating a Master One Obligor grouping.  </w:t>
            </w:r>
          </w:p>
          <w:p w:rsidR="00C16CCA" w:rsidRPr="00F7119F" w:rsidRDefault="00C16CCA" w:rsidP="00C16CCA">
            <w:pPr>
              <w:pStyle w:val="ListParagraph"/>
              <w:numPr>
                <w:ilvl w:val="0"/>
                <w:numId w:val="21"/>
              </w:numPr>
              <w:spacing w:after="0" w:line="240" w:lineRule="auto"/>
              <w:rPr>
                <w:bCs/>
                <w:iCs/>
              </w:rPr>
            </w:pPr>
            <w:r w:rsidRPr="00F7119F">
              <w:rPr>
                <w:bCs/>
                <w:iCs/>
              </w:rPr>
              <w:t xml:space="preserve">Exposure is the sum of Binding Exposure for each Customer in the Customer table within the Master One Obligor grouping.   </w:t>
            </w:r>
          </w:p>
          <w:p w:rsidR="00C16CCA" w:rsidRPr="00F7119F" w:rsidRDefault="00C16CCA" w:rsidP="00C16CCA">
            <w:pPr>
              <w:pStyle w:val="ListParagraph"/>
              <w:numPr>
                <w:ilvl w:val="0"/>
                <w:numId w:val="21"/>
              </w:numPr>
              <w:spacing w:after="0" w:line="240" w:lineRule="auto"/>
              <w:rPr>
                <w:bCs/>
                <w:iCs/>
              </w:rPr>
            </w:pPr>
            <w:r w:rsidRPr="00F7119F">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F7119F">
              <w:rPr>
                <w:bCs/>
                <w:iCs/>
              </w:rPr>
              <w:t>To</w:t>
            </w:r>
            <w:proofErr w:type="gramEnd"/>
            <w:r w:rsidRPr="00F7119F">
              <w:rPr>
                <w:bCs/>
                <w:iCs/>
              </w:rPr>
              <w:t xml:space="preserve"> Master Customer table.</w:t>
            </w:r>
          </w:p>
          <w:p w:rsidR="00C16CCA" w:rsidRPr="00F7119F" w:rsidRDefault="00C16CCA" w:rsidP="00C16CCA">
            <w:pPr>
              <w:pStyle w:val="ListParagraph"/>
              <w:numPr>
                <w:ilvl w:val="0"/>
                <w:numId w:val="21"/>
              </w:numPr>
              <w:spacing w:after="0" w:line="240" w:lineRule="auto"/>
              <w:rPr>
                <w:bCs/>
                <w:iCs/>
              </w:rPr>
            </w:pPr>
            <w:r w:rsidRPr="0095495D">
              <w:rPr>
                <w:bCs/>
                <w:iCs/>
              </w:rPr>
              <w:t>Note, PFE is not currently included as the calibration of limits did not take PFE into consideration</w:t>
            </w:r>
          </w:p>
        </w:tc>
      </w:tr>
    </w:tbl>
    <w:p w:rsidR="00717B77" w:rsidRPr="005D392B" w:rsidRDefault="00717B77" w:rsidP="00907DCD">
      <w:pPr>
        <w:pStyle w:val="ListParagraph"/>
        <w:numPr>
          <w:ilvl w:val="1"/>
          <w:numId w:val="1"/>
        </w:numPr>
        <w:rPr>
          <w:b/>
          <w:sz w:val="24"/>
        </w:rPr>
      </w:pPr>
      <w:r w:rsidRPr="005D392B">
        <w:rPr>
          <w:b/>
          <w:sz w:val="24"/>
        </w:rPr>
        <w:lastRenderedPageBreak/>
        <w:t>Maximum Individual exposure with clients with rating &lt; 5.0</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cantSplit/>
          <w:trHeight w:val="690"/>
        </w:trPr>
        <w:tc>
          <w:tcPr>
            <w:tcW w:w="1728" w:type="dxa"/>
            <w:shd w:val="clear" w:color="auto" w:fill="auto"/>
          </w:tcPr>
          <w:p w:rsidR="00C16CCA" w:rsidRPr="00206D41" w:rsidRDefault="00C16CCA" w:rsidP="001D0D9A">
            <w:pPr>
              <w:rPr>
                <w:b/>
                <w:bCs/>
                <w:iCs/>
              </w:rPr>
            </w:pPr>
            <w:r>
              <w:rPr>
                <w:b/>
                <w:bCs/>
                <w:iCs/>
              </w:rPr>
              <w:t>DEFINITION</w:t>
            </w:r>
          </w:p>
        </w:tc>
        <w:tc>
          <w:tcPr>
            <w:tcW w:w="7470" w:type="dxa"/>
            <w:gridSpan w:val="3"/>
            <w:shd w:val="clear" w:color="auto" w:fill="auto"/>
          </w:tcPr>
          <w:p w:rsidR="00C16CCA" w:rsidRDefault="00C16CCA" w:rsidP="001D0D9A">
            <w:pPr>
              <w:spacing w:after="0" w:line="240" w:lineRule="auto"/>
              <w:rPr>
                <w:rFonts w:asciiTheme="minorHAnsi" w:eastAsiaTheme="minorHAnsi" w:hAnsiTheme="minorHAnsi" w:cstheme="minorBidi"/>
                <w:iCs/>
              </w:rPr>
            </w:pPr>
            <w:r w:rsidRPr="00206D41">
              <w:rPr>
                <w:rFonts w:asciiTheme="minorHAnsi" w:eastAsiaTheme="minorHAnsi" w:hAnsiTheme="minorHAnsi" w:cstheme="minorBidi"/>
                <w:iCs/>
              </w:rPr>
              <w:t xml:space="preserve">The </w:t>
            </w:r>
            <w:r>
              <w:rPr>
                <w:rFonts w:asciiTheme="minorHAnsi" w:eastAsiaTheme="minorHAnsi" w:hAnsiTheme="minorHAnsi" w:cstheme="minorBidi"/>
                <w:iCs/>
              </w:rPr>
              <w:t xml:space="preserve">total number of individual counterparties of </w:t>
            </w:r>
            <w:r w:rsidRPr="00206D41">
              <w:rPr>
                <w:rFonts w:asciiTheme="minorHAnsi" w:eastAsiaTheme="minorHAnsi" w:hAnsiTheme="minorHAnsi" w:cstheme="minorBidi"/>
                <w:iCs/>
              </w:rPr>
              <w:t>lower credit quality (defined as internal risk rating of &lt; 5.0)</w:t>
            </w:r>
            <w:r>
              <w:rPr>
                <w:rFonts w:asciiTheme="minorHAnsi" w:eastAsiaTheme="minorHAnsi" w:hAnsiTheme="minorHAnsi" w:cstheme="minorBidi"/>
                <w:iCs/>
              </w:rPr>
              <w:t xml:space="preserve"> with exposure &gt; $100MM </w:t>
            </w:r>
          </w:p>
          <w:p w:rsidR="00C16CCA" w:rsidRDefault="00C16CCA" w:rsidP="001D0D9A">
            <w:pPr>
              <w:spacing w:after="0" w:line="240" w:lineRule="auto"/>
              <w:rPr>
                <w:rFonts w:asciiTheme="minorHAnsi" w:eastAsiaTheme="minorHAnsi" w:hAnsiTheme="minorHAnsi" w:cstheme="minorBidi"/>
                <w:iCs/>
              </w:rPr>
            </w:pPr>
          </w:p>
          <w:p w:rsidR="00C16CCA" w:rsidRDefault="00C16CCA" w:rsidP="001D0D9A">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5"/>
            </w:r>
            <w:r w:rsidRPr="00BF190C">
              <w:rPr>
                <w:rFonts w:asciiTheme="minorHAnsi" w:eastAsiaTheme="minorHAnsi" w:hAnsiTheme="minorHAnsi" w:cstheme="minorBidi"/>
                <w:bCs/>
                <w:iCs/>
                <w:lang w:val="en-GB"/>
              </w:rPr>
              <w:t xml:space="preserve"> (“REC”) for derivatives. </w:t>
            </w:r>
          </w:p>
          <w:p w:rsidR="00C16CCA" w:rsidRPr="00BF190C" w:rsidRDefault="00C16CCA" w:rsidP="001D0D9A">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Exposures</w:t>
            </w:r>
            <w:r>
              <w:rPr>
                <w:rFonts w:asciiTheme="minorHAnsi" w:eastAsiaTheme="minorHAnsi" w:hAnsiTheme="minorHAnsi" w:cstheme="minorBidi"/>
                <w:bCs/>
                <w:iCs/>
                <w:lang w:val="en-GB"/>
              </w:rPr>
              <w:t>, including those in the Commercial Real Estate book,</w:t>
            </w:r>
            <w:r w:rsidRPr="00BF190C">
              <w:rPr>
                <w:rFonts w:asciiTheme="minorHAnsi" w:eastAsiaTheme="minorHAnsi" w:hAnsiTheme="minorHAnsi" w:cstheme="minorBidi"/>
                <w:bCs/>
                <w:iCs/>
                <w:lang w:val="en-GB"/>
              </w:rPr>
              <w:t xml:space="preserve"> will be calculated at individual counterparty level and aggregated as required to ultimate parent (economic group) level. Exposures to non-recourse project finance will be treated as individual exposures and not aggregated to the sponsor.</w:t>
            </w:r>
          </w:p>
        </w:tc>
      </w:tr>
      <w:tr w:rsidR="00713D83" w:rsidRPr="00206D41" w:rsidTr="001D0D9A">
        <w:trPr>
          <w:trHeight w:val="281"/>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ENTITY</w:t>
            </w:r>
          </w:p>
        </w:tc>
        <w:tc>
          <w:tcPr>
            <w:tcW w:w="2490" w:type="dxa"/>
            <w:shd w:val="clear" w:color="auto" w:fill="auto"/>
          </w:tcPr>
          <w:p w:rsidR="00C16CCA" w:rsidRPr="005B60EF" w:rsidRDefault="00C16CCA" w:rsidP="001D0D9A">
            <w:pPr>
              <w:spacing w:after="0" w:line="240" w:lineRule="auto"/>
              <w:rPr>
                <w:b/>
                <w:bCs/>
                <w:iCs/>
              </w:rPr>
            </w:pPr>
            <w:r>
              <w:rPr>
                <w:b/>
                <w:bCs/>
                <w:iCs/>
              </w:rPr>
              <w:t>SHUSA</w:t>
            </w:r>
          </w:p>
        </w:tc>
        <w:tc>
          <w:tcPr>
            <w:tcW w:w="2490" w:type="dxa"/>
            <w:shd w:val="clear" w:color="auto" w:fill="auto"/>
          </w:tcPr>
          <w:p w:rsidR="00C16CCA" w:rsidRPr="005B60EF" w:rsidRDefault="00C16CCA" w:rsidP="001D0D9A">
            <w:pPr>
              <w:spacing w:after="0" w:line="240" w:lineRule="auto"/>
              <w:rPr>
                <w:b/>
                <w:bCs/>
                <w:iCs/>
              </w:rPr>
            </w:pPr>
            <w:r w:rsidRPr="005B60EF">
              <w:rPr>
                <w:b/>
                <w:bCs/>
                <w:iCs/>
              </w:rPr>
              <w:t>SBNA</w:t>
            </w:r>
          </w:p>
        </w:tc>
        <w:tc>
          <w:tcPr>
            <w:tcW w:w="2490" w:type="dxa"/>
            <w:shd w:val="clear" w:color="auto" w:fill="auto"/>
          </w:tcPr>
          <w:p w:rsidR="00C16CCA" w:rsidRPr="005B60EF" w:rsidRDefault="00C16CCA" w:rsidP="001D0D9A">
            <w:pPr>
              <w:spacing w:after="0" w:line="240" w:lineRule="auto"/>
              <w:rPr>
                <w:b/>
                <w:bCs/>
                <w:iCs/>
              </w:rPr>
            </w:pPr>
            <w:r w:rsidRPr="005B60EF">
              <w:rPr>
                <w:b/>
                <w:bCs/>
                <w:iCs/>
              </w:rPr>
              <w:t>SC</w:t>
            </w:r>
          </w:p>
        </w:tc>
      </w:tr>
      <w:tr w:rsidR="00C16CCA" w:rsidRPr="00206D41" w:rsidTr="001D0D9A">
        <w:trPr>
          <w:trHeight w:val="270"/>
        </w:trPr>
        <w:tc>
          <w:tcPr>
            <w:tcW w:w="1728" w:type="dxa"/>
            <w:vMerge/>
            <w:shd w:val="clear" w:color="auto" w:fill="auto"/>
          </w:tcPr>
          <w:p w:rsidR="00C16CCA"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No</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METRIC OWNER</w:t>
            </w:r>
          </w:p>
        </w:tc>
        <w:tc>
          <w:tcPr>
            <w:tcW w:w="2490" w:type="dxa"/>
            <w:shd w:val="clear" w:color="auto" w:fill="auto"/>
          </w:tcPr>
          <w:p w:rsidR="00C16CCA" w:rsidRPr="005B60EF" w:rsidRDefault="00C16CCA" w:rsidP="001D0D9A">
            <w:pPr>
              <w:spacing w:after="0" w:line="240" w:lineRule="auto"/>
              <w:rPr>
                <w:b/>
                <w:bCs/>
                <w:iCs/>
              </w:rPr>
            </w:pPr>
            <w:r w:rsidRPr="005B60EF">
              <w:rPr>
                <w:b/>
                <w:bCs/>
                <w:iCs/>
              </w:rPr>
              <w:t>SHUSA</w:t>
            </w:r>
          </w:p>
        </w:tc>
        <w:tc>
          <w:tcPr>
            <w:tcW w:w="2490" w:type="dxa"/>
            <w:shd w:val="clear" w:color="auto" w:fill="auto"/>
          </w:tcPr>
          <w:p w:rsidR="00C16CCA" w:rsidRPr="005B60EF" w:rsidRDefault="00C16CCA" w:rsidP="001D0D9A">
            <w:pPr>
              <w:spacing w:after="0" w:line="240" w:lineRule="auto"/>
              <w:rPr>
                <w:b/>
                <w:bCs/>
                <w:iCs/>
              </w:rPr>
            </w:pPr>
            <w:r w:rsidRPr="005B60EF">
              <w:rPr>
                <w:b/>
                <w:bCs/>
                <w:iCs/>
              </w:rPr>
              <w:t>SBNA</w:t>
            </w:r>
          </w:p>
        </w:tc>
        <w:tc>
          <w:tcPr>
            <w:tcW w:w="2490" w:type="dxa"/>
            <w:shd w:val="clear" w:color="auto" w:fill="auto"/>
          </w:tcPr>
          <w:p w:rsidR="00C16CCA" w:rsidRPr="005B60EF" w:rsidRDefault="00C16CCA" w:rsidP="001D0D9A">
            <w:pPr>
              <w:spacing w:after="0" w:line="240" w:lineRule="auto"/>
              <w:rPr>
                <w:b/>
                <w:bCs/>
                <w:iCs/>
              </w:rPr>
            </w:pPr>
            <w:r w:rsidRPr="005B60EF">
              <w:rPr>
                <w:b/>
                <w:bCs/>
                <w:iCs/>
              </w:rPr>
              <w:t>SC</w:t>
            </w:r>
          </w:p>
        </w:tc>
      </w:tr>
      <w:tr w:rsidR="00C16CCA" w:rsidRPr="00206D41" w:rsidTr="001D0D9A">
        <w:trPr>
          <w:trHeight w:val="252"/>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SHUSA Credit Risk manager</w:t>
            </w:r>
          </w:p>
        </w:tc>
        <w:tc>
          <w:tcPr>
            <w:tcW w:w="2490" w:type="dxa"/>
            <w:shd w:val="clear" w:color="auto" w:fill="auto"/>
          </w:tcPr>
          <w:p w:rsidR="00C16CCA" w:rsidRPr="00206D41" w:rsidRDefault="00C16CCA" w:rsidP="001D0D9A">
            <w:pPr>
              <w:spacing w:after="0" w:line="240" w:lineRule="auto"/>
              <w:rPr>
                <w:bCs/>
                <w:iCs/>
              </w:rPr>
            </w:pPr>
            <w:r>
              <w:rPr>
                <w:bCs/>
                <w:iCs/>
              </w:rPr>
              <w:t>SBNA Heads of Business</w:t>
            </w:r>
          </w:p>
        </w:tc>
        <w:tc>
          <w:tcPr>
            <w:tcW w:w="2490" w:type="dxa"/>
            <w:shd w:val="clear" w:color="auto" w:fill="auto"/>
          </w:tcPr>
          <w:p w:rsidR="00C16CCA" w:rsidRPr="00206D41" w:rsidRDefault="00C16CCA" w:rsidP="001D0D9A">
            <w:pPr>
              <w:spacing w:after="0" w:line="240" w:lineRule="auto"/>
              <w:rPr>
                <w:bCs/>
                <w:iCs/>
              </w:rPr>
            </w:pPr>
            <w:r>
              <w:rPr>
                <w:bCs/>
                <w:iCs/>
              </w:rPr>
              <w:t>N/A</w:t>
            </w:r>
          </w:p>
        </w:tc>
      </w:tr>
      <w:tr w:rsidR="00C16CCA" w:rsidRPr="00206D41" w:rsidTr="001D0D9A">
        <w:trPr>
          <w:trHeight w:val="360"/>
        </w:trPr>
        <w:tc>
          <w:tcPr>
            <w:tcW w:w="1728" w:type="dxa"/>
            <w:shd w:val="clear" w:color="auto" w:fill="auto"/>
          </w:tcPr>
          <w:p w:rsidR="00C16CCA" w:rsidRPr="00206D41" w:rsidRDefault="00C16CCA" w:rsidP="001D0D9A">
            <w:pPr>
              <w:ind w:left="-60"/>
              <w:rPr>
                <w:b/>
                <w:bCs/>
                <w:iCs/>
              </w:rPr>
            </w:pPr>
            <w:r>
              <w:rPr>
                <w:b/>
                <w:bCs/>
                <w:iCs/>
              </w:rPr>
              <w:t>TRIGGER AND LIMIT SETTING</w:t>
            </w:r>
          </w:p>
        </w:tc>
        <w:tc>
          <w:tcPr>
            <w:tcW w:w="7470" w:type="dxa"/>
            <w:gridSpan w:val="3"/>
            <w:shd w:val="clear" w:color="auto" w:fill="auto"/>
          </w:tcPr>
          <w:p w:rsidR="00C16CCA" w:rsidRDefault="00C16CCA"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This metric has no amber trigger and a red limit of zero.</w:t>
            </w:r>
          </w:p>
          <w:p w:rsidR="00C16CCA" w:rsidRDefault="00C16CCA" w:rsidP="001D0D9A">
            <w:pPr>
              <w:spacing w:after="0" w:line="240" w:lineRule="auto"/>
              <w:rPr>
                <w:rFonts w:asciiTheme="minorHAnsi" w:eastAsiaTheme="minorHAnsi" w:hAnsiTheme="minorHAnsi" w:cstheme="minorBidi"/>
                <w:iCs/>
              </w:rPr>
            </w:pPr>
          </w:p>
        </w:tc>
      </w:tr>
      <w:tr w:rsidR="00C16CCA" w:rsidRPr="00206D41" w:rsidTr="001D0D9A">
        <w:trPr>
          <w:trHeight w:val="360"/>
        </w:trPr>
        <w:tc>
          <w:tcPr>
            <w:tcW w:w="1728" w:type="dxa"/>
            <w:shd w:val="clear" w:color="auto" w:fill="auto"/>
          </w:tcPr>
          <w:p w:rsidR="00C16CCA" w:rsidRDefault="00C16CCA" w:rsidP="001D0D9A">
            <w:pPr>
              <w:ind w:left="-60"/>
              <w:rPr>
                <w:rFonts w:asciiTheme="minorHAnsi" w:hAnsiTheme="minorHAnsi"/>
                <w:b/>
                <w:bCs/>
                <w:iCs/>
              </w:rPr>
            </w:pPr>
            <w:r w:rsidRPr="005B0BAF">
              <w:rPr>
                <w:rFonts w:asciiTheme="minorHAnsi" w:hAnsiTheme="minorHAnsi"/>
                <w:b/>
                <w:bCs/>
                <w:iCs/>
              </w:rPr>
              <w:t>TESTING FREQUENCY</w:t>
            </w:r>
          </w:p>
          <w:p w:rsidR="00C16CCA" w:rsidRPr="00206D41" w:rsidRDefault="00C16CCA" w:rsidP="001D0D9A">
            <w:pPr>
              <w:ind w:left="-60"/>
              <w:rPr>
                <w:b/>
                <w:bCs/>
                <w:iCs/>
              </w:rPr>
            </w:pPr>
          </w:p>
        </w:tc>
        <w:tc>
          <w:tcPr>
            <w:tcW w:w="7470" w:type="dxa"/>
            <w:gridSpan w:val="3"/>
            <w:shd w:val="clear" w:color="auto" w:fill="auto"/>
          </w:tcPr>
          <w:p w:rsidR="00C16CCA" w:rsidRPr="00206D41" w:rsidRDefault="00C16CCA"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Monthly</w:t>
            </w:r>
          </w:p>
        </w:tc>
      </w:tr>
      <w:tr w:rsidR="00C16CCA" w:rsidRPr="00206D41" w:rsidTr="001D0D9A">
        <w:trPr>
          <w:trHeight w:val="525"/>
        </w:trPr>
        <w:tc>
          <w:tcPr>
            <w:tcW w:w="1728" w:type="dxa"/>
            <w:shd w:val="clear" w:color="auto" w:fill="auto"/>
          </w:tcPr>
          <w:p w:rsidR="00C16CCA" w:rsidRPr="00206D41" w:rsidRDefault="00C16CCA" w:rsidP="001D0D9A">
            <w:pPr>
              <w:rPr>
                <w:b/>
                <w:bCs/>
                <w:iCs/>
              </w:rPr>
            </w:pPr>
            <w:r w:rsidRPr="00206D41">
              <w:rPr>
                <w:b/>
                <w:bCs/>
                <w:iCs/>
              </w:rPr>
              <w:t>SOURCE OF INFORMATION</w:t>
            </w:r>
          </w:p>
        </w:tc>
        <w:tc>
          <w:tcPr>
            <w:tcW w:w="7470" w:type="dxa"/>
            <w:gridSpan w:val="3"/>
            <w:shd w:val="clear" w:color="auto" w:fill="auto"/>
          </w:tcPr>
          <w:p w:rsidR="00C16CCA" w:rsidRDefault="00C16CCA" w:rsidP="001D0D9A">
            <w:pPr>
              <w:spacing w:after="0" w:line="240" w:lineRule="auto"/>
              <w:rPr>
                <w:bCs/>
                <w:iCs/>
              </w:rPr>
            </w:pPr>
            <w:r>
              <w:rPr>
                <w:bCs/>
                <w:iCs/>
              </w:rPr>
              <w:t xml:space="preserve">The information is obtained from CCMIS.  </w:t>
            </w:r>
          </w:p>
          <w:p w:rsidR="00C16CCA" w:rsidRPr="00AB7F7D" w:rsidRDefault="00C16CCA" w:rsidP="00C16CCA">
            <w:pPr>
              <w:pStyle w:val="ListParagraph"/>
              <w:numPr>
                <w:ilvl w:val="0"/>
                <w:numId w:val="22"/>
              </w:numPr>
              <w:spacing w:after="0" w:line="240" w:lineRule="auto"/>
              <w:rPr>
                <w:bCs/>
                <w:iCs/>
              </w:rPr>
            </w:pPr>
            <w:r w:rsidRPr="00AB7F7D">
              <w:rPr>
                <w:bCs/>
                <w:iCs/>
              </w:rPr>
              <w:t xml:space="preserve">Counterparty is defined as all related customers from the Customer table with a common Master One Obligor Number creating a Master One Obligor grouping.  </w:t>
            </w:r>
          </w:p>
          <w:p w:rsidR="00C16CCA" w:rsidRPr="00AB7F7D" w:rsidRDefault="00C16CCA" w:rsidP="00C16CCA">
            <w:pPr>
              <w:pStyle w:val="ListParagraph"/>
              <w:numPr>
                <w:ilvl w:val="0"/>
                <w:numId w:val="22"/>
              </w:numPr>
              <w:spacing w:after="0" w:line="240" w:lineRule="auto"/>
              <w:rPr>
                <w:bCs/>
                <w:iCs/>
              </w:rPr>
            </w:pPr>
            <w:r w:rsidRPr="00AB7F7D">
              <w:rPr>
                <w:bCs/>
                <w:iCs/>
              </w:rPr>
              <w:t xml:space="preserve">Exposure is the sum of Binding Exposure for each Customer in the Customer table within the Master One Obligor grouping.   </w:t>
            </w:r>
          </w:p>
          <w:p w:rsidR="00C16CCA" w:rsidRPr="00AB7F7D" w:rsidRDefault="00C16CCA" w:rsidP="00C16CCA">
            <w:pPr>
              <w:pStyle w:val="ListParagraph"/>
              <w:numPr>
                <w:ilvl w:val="0"/>
                <w:numId w:val="22"/>
              </w:numPr>
              <w:spacing w:after="0" w:line="240" w:lineRule="auto"/>
              <w:rPr>
                <w:bCs/>
                <w:iCs/>
              </w:rPr>
            </w:pPr>
            <w:r w:rsidRPr="00AB7F7D">
              <w:rPr>
                <w:bCs/>
                <w:iCs/>
              </w:rPr>
              <w:t xml:space="preserve">Master One Obligor Number is obtained by joining the Customer table to the Customer Additional Fields table using their native keys and joining the Master Customer Number in the Customer Additional Fields table to the Master Customer Number in the Master One Obligor </w:t>
            </w:r>
            <w:proofErr w:type="gramStart"/>
            <w:r w:rsidRPr="00AB7F7D">
              <w:rPr>
                <w:bCs/>
                <w:iCs/>
              </w:rPr>
              <w:t>To</w:t>
            </w:r>
            <w:proofErr w:type="gramEnd"/>
            <w:r w:rsidRPr="00AB7F7D">
              <w:rPr>
                <w:bCs/>
                <w:iCs/>
              </w:rPr>
              <w:t xml:space="preserve"> Master Customer table.</w:t>
            </w:r>
          </w:p>
          <w:p w:rsidR="00C16CCA" w:rsidRPr="00AB7F7D" w:rsidRDefault="00C16CCA" w:rsidP="00C16CCA">
            <w:pPr>
              <w:pStyle w:val="ListParagraph"/>
              <w:numPr>
                <w:ilvl w:val="0"/>
                <w:numId w:val="22"/>
              </w:numPr>
              <w:spacing w:after="0" w:line="240" w:lineRule="auto"/>
              <w:rPr>
                <w:bCs/>
                <w:iCs/>
              </w:rPr>
            </w:pPr>
            <w:r w:rsidRPr="00AB7F7D">
              <w:rPr>
                <w:bCs/>
                <w:iCs/>
              </w:rPr>
              <w:t xml:space="preserve">Internal Risk Rating is the weighted average SRR of the Master One Obligor grouping.  This is obtained by multiplying the SRR of each Master Customer </w:t>
            </w:r>
            <w:r w:rsidRPr="00AB7F7D">
              <w:rPr>
                <w:bCs/>
                <w:iCs/>
              </w:rPr>
              <w:lastRenderedPageBreak/>
              <w:t>in the Master Customer table by the sum of Binding Exposure from the Customer table for that Master Customer.  The SRR is related to the Binding Exposure by joining the Customer table to the Customer Additional Fields table using their native keys and joining the Master Customer Number in the Customer Additional Fields table to the Master Customer Number in the Master Customer table.</w:t>
            </w:r>
          </w:p>
          <w:p w:rsidR="00C16CCA" w:rsidRPr="00AB7F7D" w:rsidRDefault="00C16CCA" w:rsidP="00C16CCA">
            <w:pPr>
              <w:pStyle w:val="ListParagraph"/>
              <w:numPr>
                <w:ilvl w:val="0"/>
                <w:numId w:val="22"/>
              </w:numPr>
              <w:spacing w:after="0" w:line="240" w:lineRule="auto"/>
              <w:rPr>
                <w:bCs/>
                <w:iCs/>
              </w:rPr>
            </w:pPr>
            <w:r w:rsidRPr="00AB7F7D">
              <w:rPr>
                <w:bCs/>
                <w:iCs/>
              </w:rPr>
              <w:t xml:space="preserve">This value is then aggregated to the Master One Obligor level by summing by Master One Obligor Number which can be obtained as previously described.  </w:t>
            </w:r>
          </w:p>
          <w:p w:rsidR="00C16CCA" w:rsidRPr="00AB7F7D" w:rsidRDefault="00C16CCA" w:rsidP="00C16CCA">
            <w:pPr>
              <w:pStyle w:val="ListParagraph"/>
              <w:numPr>
                <w:ilvl w:val="0"/>
                <w:numId w:val="22"/>
              </w:numPr>
              <w:spacing w:after="0" w:line="240" w:lineRule="auto"/>
              <w:rPr>
                <w:bCs/>
                <w:iCs/>
              </w:rPr>
            </w:pPr>
            <w:r w:rsidRPr="00AB7F7D">
              <w:rPr>
                <w:bCs/>
                <w:iCs/>
              </w:rPr>
              <w:t>This aggregate value is then divided by the aggregate Binding Exposure of the Master One Obligor as previously defined</w:t>
            </w:r>
          </w:p>
          <w:p w:rsidR="00C16CCA" w:rsidRPr="00AB7F7D" w:rsidRDefault="00C16CCA" w:rsidP="00C16CCA">
            <w:pPr>
              <w:pStyle w:val="ListParagraph"/>
              <w:numPr>
                <w:ilvl w:val="0"/>
                <w:numId w:val="22"/>
              </w:numPr>
              <w:spacing w:after="0" w:line="240" w:lineRule="auto"/>
              <w:rPr>
                <w:bCs/>
                <w:iCs/>
              </w:rPr>
            </w:pPr>
            <w:r w:rsidRPr="0095495D">
              <w:rPr>
                <w:bCs/>
                <w:iCs/>
              </w:rPr>
              <w:t xml:space="preserve">Note, PFE is not currently included as the calibration of limits did </w:t>
            </w:r>
            <w:r>
              <w:rPr>
                <w:bCs/>
                <w:iCs/>
              </w:rPr>
              <w:t>not take PFE into consideration</w:t>
            </w:r>
          </w:p>
        </w:tc>
      </w:tr>
    </w:tbl>
    <w:p w:rsidR="00717B77" w:rsidRDefault="00717B77" w:rsidP="00717B77"/>
    <w:p w:rsidR="00717B77" w:rsidRPr="00713D83" w:rsidRDefault="00717B77" w:rsidP="00713D83">
      <w:pPr>
        <w:pStyle w:val="ListParagraph"/>
        <w:numPr>
          <w:ilvl w:val="1"/>
          <w:numId w:val="1"/>
        </w:numPr>
        <w:rPr>
          <w:b/>
          <w:sz w:val="24"/>
        </w:rPr>
      </w:pPr>
      <w:r w:rsidRPr="00D24877">
        <w:rPr>
          <w:b/>
          <w:sz w:val="24"/>
        </w:rPr>
        <w:t>Max industry over Total Portfolio and Total portfolio excluding retail</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trHeight w:val="352"/>
        </w:trPr>
        <w:tc>
          <w:tcPr>
            <w:tcW w:w="1728" w:type="dxa"/>
            <w:shd w:val="clear" w:color="auto" w:fill="auto"/>
          </w:tcPr>
          <w:p w:rsidR="00C16CCA" w:rsidRPr="00206D41" w:rsidRDefault="00C16CCA" w:rsidP="001D0D9A">
            <w:pPr>
              <w:rPr>
                <w:b/>
                <w:bCs/>
                <w:iCs/>
              </w:rPr>
            </w:pPr>
            <w:r>
              <w:rPr>
                <w:b/>
                <w:bCs/>
                <w:iCs/>
              </w:rPr>
              <w:t xml:space="preserve">DEFINITION </w:t>
            </w:r>
          </w:p>
        </w:tc>
        <w:tc>
          <w:tcPr>
            <w:tcW w:w="7470" w:type="dxa"/>
            <w:gridSpan w:val="3"/>
            <w:shd w:val="clear" w:color="auto" w:fill="auto"/>
          </w:tcPr>
          <w:p w:rsidR="00C16CCA" w:rsidRDefault="00C16CCA" w:rsidP="001D0D9A">
            <w:pPr>
              <w:spacing w:after="0" w:line="240" w:lineRule="auto"/>
              <w:rPr>
                <w:bCs/>
                <w:iCs/>
                <w:lang w:val="en-GB"/>
              </w:rPr>
            </w:pPr>
            <w:r>
              <w:rPr>
                <w:bCs/>
                <w:iCs/>
              </w:rPr>
              <w:t xml:space="preserve">The total dollar value exposure for all counterparties within one industry type, according to the OCC industry classification. </w:t>
            </w:r>
            <w:r w:rsidRPr="00BF190C">
              <w:rPr>
                <w:rFonts w:asciiTheme="minorHAnsi" w:eastAsiaTheme="minorHAnsi" w:hAnsiTheme="minorHAnsi" w:cstheme="minorBidi"/>
                <w:bCs/>
                <w:iCs/>
                <w:lang w:val="en-GB"/>
              </w:rPr>
              <w:t>Sectors / Industries are defined at the highest aggregation level for OCC industry codes</w:t>
            </w:r>
            <w:r>
              <w:rPr>
                <w:rStyle w:val="FootnoteReference"/>
                <w:rFonts w:asciiTheme="minorHAnsi" w:eastAsiaTheme="minorHAnsi" w:hAnsiTheme="minorHAnsi" w:cstheme="minorBidi"/>
                <w:bCs/>
                <w:iCs/>
                <w:lang w:val="en-GB"/>
              </w:rPr>
              <w:footnoteReference w:id="6"/>
            </w:r>
            <w:r w:rsidR="00BB7BDA">
              <w:rPr>
                <w:rFonts w:asciiTheme="minorHAnsi" w:eastAsiaTheme="minorHAnsi" w:hAnsiTheme="minorHAnsi" w:cstheme="minorBidi"/>
                <w:bCs/>
                <w:iCs/>
                <w:lang w:val="en-GB"/>
              </w:rPr>
              <w:t>.</w:t>
            </w:r>
          </w:p>
          <w:p w:rsidR="00C16CCA" w:rsidRDefault="00C16CCA" w:rsidP="001D0D9A">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7"/>
            </w:r>
            <w:r w:rsidRPr="00BF190C">
              <w:rPr>
                <w:rFonts w:asciiTheme="minorHAnsi" w:eastAsiaTheme="minorHAnsi" w:hAnsiTheme="minorHAnsi" w:cstheme="minorBidi"/>
                <w:bCs/>
                <w:iCs/>
                <w:lang w:val="en-GB"/>
              </w:rPr>
              <w:t xml:space="preserve"> (“REC”) for derivatives. </w:t>
            </w:r>
          </w:p>
          <w:p w:rsidR="00C16CCA" w:rsidRPr="00BF190C" w:rsidRDefault="00C16CCA" w:rsidP="001D0D9A">
            <w:pPr>
              <w:spacing w:after="0" w:line="240" w:lineRule="auto"/>
              <w:rPr>
                <w:bCs/>
                <w:iCs/>
                <w:lang w:val="en-GB"/>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 Exposures to non-recourse project finance will be treated as individual exposures and not aggregated to the sponsor.</w:t>
            </w:r>
          </w:p>
        </w:tc>
      </w:tr>
      <w:tr w:rsidR="00713D83" w:rsidRPr="00206D41" w:rsidTr="001D0D9A">
        <w:trPr>
          <w:trHeight w:val="433"/>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BB7BDA" w:rsidRPr="00BF190C" w:rsidRDefault="00BB7BDA" w:rsidP="00BB7BDA">
            <w:pPr>
              <w:spacing w:after="0" w:line="240" w:lineRule="auto"/>
              <w:rPr>
                <w:rFonts w:asciiTheme="minorHAnsi" w:eastAsiaTheme="minorHAnsi" w:hAnsiTheme="minorHAnsi" w:cstheme="minorBidi"/>
                <w:bCs/>
                <w:iCs/>
                <w:lang w:val="en-GB"/>
              </w:rPr>
            </w:pPr>
            <w:r>
              <w:rPr>
                <w:bCs/>
                <w:iCs/>
              </w:rPr>
              <w:t xml:space="preserve">This metric is calculated </w:t>
            </w:r>
            <w:r>
              <w:rPr>
                <w:rFonts w:asciiTheme="minorHAnsi" w:eastAsiaTheme="minorHAnsi" w:hAnsiTheme="minorHAnsi" w:cstheme="minorBidi"/>
                <w:bCs/>
                <w:iCs/>
                <w:lang w:val="en-GB"/>
              </w:rPr>
              <w:t>over Total portfolio of SBNA and total portfolio excluding Retail.</w:t>
            </w:r>
          </w:p>
          <w:p w:rsidR="00713D83" w:rsidRPr="00BB7BDA" w:rsidRDefault="00713D83" w:rsidP="00713D83">
            <w:pPr>
              <w:spacing w:after="0" w:line="240" w:lineRule="auto"/>
              <w:rPr>
                <w:bCs/>
                <w:iCs/>
                <w:lang w:val="en-GB"/>
              </w:rPr>
            </w:pPr>
          </w:p>
        </w:tc>
      </w:tr>
      <w:tr w:rsidR="00C16CCA" w:rsidRPr="00206D41" w:rsidTr="001D0D9A">
        <w:trPr>
          <w:trHeight w:val="20"/>
        </w:trPr>
        <w:tc>
          <w:tcPr>
            <w:tcW w:w="1728" w:type="dxa"/>
            <w:vMerge w:val="restart"/>
            <w:shd w:val="clear" w:color="auto" w:fill="auto"/>
          </w:tcPr>
          <w:p w:rsidR="00C16CCA" w:rsidRPr="00206D41" w:rsidRDefault="00C16CCA" w:rsidP="001D0D9A">
            <w:pPr>
              <w:rPr>
                <w:b/>
                <w:bCs/>
                <w:iCs/>
              </w:rPr>
            </w:pPr>
            <w:r>
              <w:rPr>
                <w:b/>
                <w:bCs/>
                <w:iCs/>
              </w:rPr>
              <w:t>ENTITY</w:t>
            </w:r>
          </w:p>
        </w:tc>
        <w:tc>
          <w:tcPr>
            <w:tcW w:w="2490" w:type="dxa"/>
            <w:shd w:val="clear" w:color="auto" w:fill="auto"/>
          </w:tcPr>
          <w:p w:rsidR="00C16CCA" w:rsidRPr="005B60EF" w:rsidRDefault="00C16CCA" w:rsidP="001D0D9A">
            <w:pPr>
              <w:spacing w:after="0" w:line="240" w:lineRule="auto"/>
              <w:rPr>
                <w:b/>
                <w:bCs/>
                <w:iCs/>
              </w:rPr>
            </w:pPr>
            <w:r>
              <w:rPr>
                <w:b/>
                <w:bCs/>
                <w:iCs/>
              </w:rPr>
              <w:t>SHUSA</w:t>
            </w:r>
          </w:p>
        </w:tc>
        <w:tc>
          <w:tcPr>
            <w:tcW w:w="2490" w:type="dxa"/>
            <w:shd w:val="clear" w:color="auto" w:fill="auto"/>
          </w:tcPr>
          <w:p w:rsidR="00C16CCA" w:rsidRPr="005B60EF" w:rsidRDefault="00C16CCA" w:rsidP="001D0D9A">
            <w:pPr>
              <w:spacing w:after="0" w:line="240" w:lineRule="auto"/>
              <w:rPr>
                <w:b/>
                <w:bCs/>
                <w:iCs/>
              </w:rPr>
            </w:pPr>
            <w:r w:rsidRPr="005B60EF">
              <w:rPr>
                <w:b/>
                <w:bCs/>
                <w:iCs/>
              </w:rPr>
              <w:t>SBNA</w:t>
            </w:r>
          </w:p>
        </w:tc>
        <w:tc>
          <w:tcPr>
            <w:tcW w:w="2490" w:type="dxa"/>
            <w:shd w:val="clear" w:color="auto" w:fill="auto"/>
          </w:tcPr>
          <w:p w:rsidR="00C16CCA" w:rsidRPr="005B60EF" w:rsidRDefault="00C16CCA" w:rsidP="001D0D9A">
            <w:pPr>
              <w:spacing w:after="0" w:line="240" w:lineRule="auto"/>
              <w:rPr>
                <w:b/>
                <w:bCs/>
                <w:iCs/>
              </w:rPr>
            </w:pPr>
            <w:r w:rsidRPr="005B60EF">
              <w:rPr>
                <w:b/>
                <w:bCs/>
                <w:iCs/>
              </w:rPr>
              <w:t>SC</w:t>
            </w:r>
          </w:p>
        </w:tc>
      </w:tr>
      <w:tr w:rsidR="00C16CCA" w:rsidRPr="00206D41" w:rsidTr="001D0D9A">
        <w:trPr>
          <w:trHeight w:val="20"/>
        </w:trPr>
        <w:tc>
          <w:tcPr>
            <w:tcW w:w="1728" w:type="dxa"/>
            <w:vMerge/>
            <w:shd w:val="clear" w:color="auto" w:fill="auto"/>
          </w:tcPr>
          <w:p w:rsidR="00C16CCA"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No</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 xml:space="preserve">METRIC OWNER </w:t>
            </w:r>
          </w:p>
        </w:tc>
        <w:tc>
          <w:tcPr>
            <w:tcW w:w="2490" w:type="dxa"/>
            <w:shd w:val="clear" w:color="auto" w:fill="auto"/>
          </w:tcPr>
          <w:p w:rsidR="00C16CCA" w:rsidRPr="005B52F3" w:rsidRDefault="00C16CCA" w:rsidP="001D0D9A">
            <w:pPr>
              <w:spacing w:after="0" w:line="240" w:lineRule="auto"/>
              <w:rPr>
                <w:b/>
                <w:bCs/>
                <w:iCs/>
              </w:rPr>
            </w:pPr>
            <w:r w:rsidRPr="005B52F3">
              <w:rPr>
                <w:b/>
                <w:bCs/>
                <w:iCs/>
              </w:rPr>
              <w:t>SHUSA</w:t>
            </w:r>
          </w:p>
        </w:tc>
        <w:tc>
          <w:tcPr>
            <w:tcW w:w="2490" w:type="dxa"/>
            <w:shd w:val="clear" w:color="auto" w:fill="auto"/>
          </w:tcPr>
          <w:p w:rsidR="00C16CCA" w:rsidRPr="005B52F3" w:rsidRDefault="00C16CCA" w:rsidP="001D0D9A">
            <w:pPr>
              <w:spacing w:after="0" w:line="240" w:lineRule="auto"/>
              <w:rPr>
                <w:b/>
                <w:bCs/>
                <w:iCs/>
              </w:rPr>
            </w:pPr>
            <w:r w:rsidRPr="005B52F3">
              <w:rPr>
                <w:b/>
                <w:bCs/>
                <w:iCs/>
              </w:rPr>
              <w:t>SBNA</w:t>
            </w:r>
          </w:p>
        </w:tc>
        <w:tc>
          <w:tcPr>
            <w:tcW w:w="2490" w:type="dxa"/>
            <w:shd w:val="clear" w:color="auto" w:fill="auto"/>
          </w:tcPr>
          <w:p w:rsidR="00C16CCA" w:rsidRPr="005B52F3" w:rsidRDefault="00C16CCA" w:rsidP="001D0D9A">
            <w:pPr>
              <w:spacing w:after="0" w:line="240" w:lineRule="auto"/>
              <w:rPr>
                <w:b/>
                <w:bCs/>
                <w:iCs/>
              </w:rPr>
            </w:pPr>
            <w:r w:rsidRPr="005B52F3">
              <w:rPr>
                <w:b/>
                <w:bCs/>
                <w:iCs/>
              </w:rPr>
              <w:t>SC</w:t>
            </w:r>
          </w:p>
        </w:tc>
      </w:tr>
      <w:tr w:rsidR="00C16CCA" w:rsidRPr="00206D41" w:rsidTr="001D0D9A">
        <w:trPr>
          <w:trHeight w:val="252"/>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5B52F3" w:rsidRDefault="00C16CCA" w:rsidP="001D0D9A">
            <w:pPr>
              <w:spacing w:after="0" w:line="240" w:lineRule="auto"/>
              <w:rPr>
                <w:b/>
                <w:bCs/>
                <w:iCs/>
              </w:rPr>
            </w:pPr>
            <w:r>
              <w:rPr>
                <w:bCs/>
                <w:iCs/>
              </w:rPr>
              <w:t>SHUSA Credit Risk manager</w:t>
            </w:r>
          </w:p>
        </w:tc>
        <w:tc>
          <w:tcPr>
            <w:tcW w:w="2490" w:type="dxa"/>
            <w:shd w:val="clear" w:color="auto" w:fill="auto"/>
          </w:tcPr>
          <w:p w:rsidR="00C16CCA" w:rsidRPr="00206D41" w:rsidRDefault="00C16CCA" w:rsidP="001D0D9A">
            <w:pPr>
              <w:spacing w:after="0" w:line="240" w:lineRule="auto"/>
              <w:rPr>
                <w:bCs/>
                <w:iCs/>
              </w:rPr>
            </w:pPr>
            <w:r>
              <w:rPr>
                <w:bCs/>
                <w:iCs/>
              </w:rPr>
              <w:t>SBNA Heads of Business</w:t>
            </w:r>
          </w:p>
        </w:tc>
        <w:tc>
          <w:tcPr>
            <w:tcW w:w="2490" w:type="dxa"/>
            <w:shd w:val="clear" w:color="auto" w:fill="auto"/>
          </w:tcPr>
          <w:p w:rsidR="00C16CCA" w:rsidRPr="00206D41" w:rsidRDefault="00C16CCA" w:rsidP="001D0D9A">
            <w:pPr>
              <w:spacing w:after="0" w:line="240" w:lineRule="auto"/>
              <w:rPr>
                <w:bCs/>
                <w:iCs/>
              </w:rPr>
            </w:pPr>
            <w:r w:rsidRPr="00206D41">
              <w:rPr>
                <w:bCs/>
                <w:iCs/>
              </w:rPr>
              <w:t>N/A</w:t>
            </w:r>
          </w:p>
        </w:tc>
      </w:tr>
      <w:tr w:rsidR="00C16CCA" w:rsidRPr="00206D41" w:rsidTr="001D0D9A">
        <w:trPr>
          <w:trHeight w:val="360"/>
        </w:trPr>
        <w:tc>
          <w:tcPr>
            <w:tcW w:w="1728" w:type="dxa"/>
            <w:shd w:val="clear" w:color="auto" w:fill="auto"/>
          </w:tcPr>
          <w:p w:rsidR="00C16CCA" w:rsidRPr="00206D41" w:rsidRDefault="00C16CCA" w:rsidP="001D0D9A">
            <w:pPr>
              <w:ind w:left="-60"/>
              <w:rPr>
                <w:b/>
                <w:bCs/>
                <w:iCs/>
              </w:rPr>
            </w:pPr>
            <w:r>
              <w:rPr>
                <w:b/>
                <w:bCs/>
                <w:iCs/>
              </w:rPr>
              <w:t>TRIGGER AND LIMIT SETTING</w:t>
            </w:r>
          </w:p>
        </w:tc>
        <w:tc>
          <w:tcPr>
            <w:tcW w:w="7470" w:type="dxa"/>
            <w:gridSpan w:val="3"/>
            <w:shd w:val="clear" w:color="auto" w:fill="auto"/>
          </w:tcPr>
          <w:p w:rsidR="00C16CCA" w:rsidRDefault="00C16CCA"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w:t>
            </w:r>
          </w:p>
          <w:p w:rsidR="00C16CCA" w:rsidRDefault="00C16CCA" w:rsidP="001D0D9A">
            <w:pPr>
              <w:spacing w:after="0" w:line="240" w:lineRule="auto"/>
              <w:rPr>
                <w:rFonts w:asciiTheme="minorHAnsi" w:eastAsiaTheme="minorHAnsi" w:hAnsiTheme="minorHAnsi" w:cstheme="minorBidi"/>
                <w:iCs/>
              </w:rPr>
            </w:pPr>
          </w:p>
        </w:tc>
      </w:tr>
      <w:tr w:rsidR="00C16CCA" w:rsidRPr="00206D41" w:rsidTr="001D0D9A">
        <w:trPr>
          <w:trHeight w:val="360"/>
        </w:trPr>
        <w:tc>
          <w:tcPr>
            <w:tcW w:w="1728" w:type="dxa"/>
            <w:shd w:val="clear" w:color="auto" w:fill="auto"/>
          </w:tcPr>
          <w:p w:rsidR="00C16CCA" w:rsidRPr="00206D41" w:rsidRDefault="00C16CCA" w:rsidP="001D0D9A">
            <w:pPr>
              <w:ind w:left="-60"/>
              <w:rPr>
                <w:b/>
                <w:bCs/>
                <w:iCs/>
              </w:rPr>
            </w:pPr>
            <w:r w:rsidRPr="00931941">
              <w:rPr>
                <w:b/>
                <w:bCs/>
                <w:iCs/>
              </w:rPr>
              <w:t>TESTING FREQUENCY</w:t>
            </w:r>
          </w:p>
        </w:tc>
        <w:tc>
          <w:tcPr>
            <w:tcW w:w="7470" w:type="dxa"/>
            <w:gridSpan w:val="3"/>
            <w:shd w:val="clear" w:color="auto" w:fill="auto"/>
          </w:tcPr>
          <w:p w:rsidR="00C16CCA" w:rsidRPr="002E67A0" w:rsidRDefault="003C7E77"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Quarterly</w:t>
            </w:r>
          </w:p>
        </w:tc>
      </w:tr>
      <w:tr w:rsidR="00C16CCA" w:rsidRPr="00206D41" w:rsidTr="001D0D9A">
        <w:trPr>
          <w:trHeight w:val="525"/>
        </w:trPr>
        <w:tc>
          <w:tcPr>
            <w:tcW w:w="1728" w:type="dxa"/>
            <w:shd w:val="clear" w:color="auto" w:fill="auto"/>
          </w:tcPr>
          <w:p w:rsidR="00C16CCA" w:rsidRPr="00206D41" w:rsidRDefault="00C16CCA" w:rsidP="001D0D9A">
            <w:pPr>
              <w:rPr>
                <w:b/>
                <w:bCs/>
                <w:iCs/>
              </w:rPr>
            </w:pPr>
            <w:r w:rsidRPr="00206D41">
              <w:rPr>
                <w:b/>
                <w:bCs/>
                <w:iCs/>
              </w:rPr>
              <w:lastRenderedPageBreak/>
              <w:t>SOURCE OF INFORMATION</w:t>
            </w:r>
          </w:p>
        </w:tc>
        <w:tc>
          <w:tcPr>
            <w:tcW w:w="7470" w:type="dxa"/>
            <w:gridSpan w:val="3"/>
            <w:shd w:val="clear" w:color="auto" w:fill="auto"/>
          </w:tcPr>
          <w:p w:rsidR="00C16CCA" w:rsidRDefault="00C16CCA" w:rsidP="001D0D9A">
            <w:pPr>
              <w:spacing w:after="0" w:line="240" w:lineRule="auto"/>
              <w:rPr>
                <w:bCs/>
                <w:iCs/>
              </w:rPr>
            </w:pPr>
            <w:r>
              <w:rPr>
                <w:bCs/>
                <w:iCs/>
              </w:rPr>
              <w:t xml:space="preserve">The information is obtained from CCMIS.  </w:t>
            </w:r>
          </w:p>
          <w:p w:rsidR="00C16CCA" w:rsidRDefault="00C16CCA" w:rsidP="001D0D9A">
            <w:pPr>
              <w:spacing w:after="0" w:line="240" w:lineRule="auto"/>
            </w:pPr>
            <w:r>
              <w:t xml:space="preserve">Utilizing the Credit Metric Cube table Sum Binding Exposure by </w:t>
            </w:r>
            <w:proofErr w:type="spellStart"/>
            <w:r>
              <w:t>NAICSCode</w:t>
            </w:r>
            <w:proofErr w:type="spellEnd"/>
            <w:r>
              <w:t xml:space="preserve"> where:</w:t>
            </w:r>
          </w:p>
          <w:p w:rsidR="00C16CCA" w:rsidRPr="00C72D48" w:rsidRDefault="00C16CCA" w:rsidP="00C16CCA">
            <w:pPr>
              <w:pStyle w:val="ListParagraph"/>
              <w:numPr>
                <w:ilvl w:val="0"/>
                <w:numId w:val="23"/>
              </w:numPr>
              <w:spacing w:after="0" w:line="240" w:lineRule="auto"/>
              <w:rPr>
                <w:bCs/>
                <w:iCs/>
              </w:rPr>
            </w:pPr>
            <w:proofErr w:type="spellStart"/>
            <w:r w:rsidRPr="00C72D48">
              <w:rPr>
                <w:bCs/>
                <w:iCs/>
              </w:rPr>
              <w:t>CRE_CI_Indicator</w:t>
            </w:r>
            <w:proofErr w:type="spellEnd"/>
            <w:r w:rsidRPr="00C72D48">
              <w:rPr>
                <w:bCs/>
                <w:iCs/>
              </w:rPr>
              <w:t xml:space="preserve"> = Non-CRE and (excludes Investment CRE)</w:t>
            </w:r>
          </w:p>
          <w:p w:rsidR="00C16CCA" w:rsidRPr="00C72D48" w:rsidRDefault="00C16CCA" w:rsidP="00C16CCA">
            <w:pPr>
              <w:pStyle w:val="ListParagraph"/>
              <w:numPr>
                <w:ilvl w:val="0"/>
                <w:numId w:val="23"/>
              </w:numPr>
              <w:spacing w:after="0" w:line="240" w:lineRule="auto"/>
              <w:rPr>
                <w:bCs/>
                <w:iCs/>
              </w:rPr>
            </w:pPr>
            <w:r w:rsidRPr="00C72D48">
              <w:rPr>
                <w:bCs/>
                <w:iCs/>
              </w:rPr>
              <w:t>Permanent Segment Rank &lt;&gt; 16 and (excludes Small Business Banking)</w:t>
            </w:r>
          </w:p>
          <w:p w:rsidR="00C16CCA" w:rsidRPr="00C72D48" w:rsidRDefault="00C16CCA" w:rsidP="00C16CCA">
            <w:pPr>
              <w:pStyle w:val="ListParagraph"/>
              <w:numPr>
                <w:ilvl w:val="0"/>
                <w:numId w:val="23"/>
              </w:numPr>
              <w:spacing w:after="0" w:line="240" w:lineRule="auto"/>
              <w:rPr>
                <w:bCs/>
                <w:iCs/>
              </w:rPr>
            </w:pPr>
            <w:r w:rsidRPr="00C72D48">
              <w:rPr>
                <w:bCs/>
                <w:iCs/>
              </w:rPr>
              <w:t>Customer Number does not begin with GL (excludes General Ledger adjusting entries)</w:t>
            </w:r>
          </w:p>
          <w:p w:rsidR="00C16CCA" w:rsidRPr="00C72D48" w:rsidRDefault="00C16CCA" w:rsidP="00C16CCA">
            <w:pPr>
              <w:pStyle w:val="ListParagraph"/>
              <w:numPr>
                <w:ilvl w:val="0"/>
                <w:numId w:val="23"/>
              </w:numPr>
              <w:spacing w:after="0" w:line="240" w:lineRule="auto"/>
              <w:rPr>
                <w:bCs/>
                <w:iCs/>
              </w:rPr>
            </w:pPr>
            <w:r w:rsidRPr="00C72D48">
              <w:rPr>
                <w:bCs/>
                <w:iCs/>
              </w:rPr>
              <w:t>Join NAICS</w:t>
            </w:r>
            <w:r w:rsidR="00587D8A">
              <w:rPr>
                <w:bCs/>
                <w:iCs/>
              </w:rPr>
              <w:t xml:space="preserve"> </w:t>
            </w:r>
            <w:r w:rsidRPr="00C72D48">
              <w:rPr>
                <w:bCs/>
                <w:iCs/>
              </w:rPr>
              <w:t>Code in result to NAICS in OCC NAICS Groups reference table and sum by OCC Group</w:t>
            </w:r>
          </w:p>
          <w:p w:rsidR="00C16CCA" w:rsidRPr="00C72D48" w:rsidRDefault="00C16CCA" w:rsidP="00C16CCA">
            <w:pPr>
              <w:pStyle w:val="ListParagraph"/>
              <w:numPr>
                <w:ilvl w:val="0"/>
                <w:numId w:val="23"/>
              </w:numPr>
              <w:spacing w:after="0" w:line="240" w:lineRule="auto"/>
              <w:rPr>
                <w:bCs/>
                <w:iCs/>
              </w:rPr>
            </w:pPr>
            <w:r w:rsidRPr="0095495D">
              <w:rPr>
                <w:bCs/>
                <w:iCs/>
              </w:rPr>
              <w:t xml:space="preserve">Note, PFE is not currently included as the calibration of limits did </w:t>
            </w:r>
            <w:r>
              <w:rPr>
                <w:bCs/>
                <w:iCs/>
              </w:rPr>
              <w:t>not take PFE into consideration</w:t>
            </w:r>
          </w:p>
        </w:tc>
      </w:tr>
    </w:tbl>
    <w:p w:rsidR="00717B77" w:rsidRDefault="00717B77" w:rsidP="00717B77">
      <w:pPr>
        <w:pStyle w:val="ListParagraph"/>
        <w:ind w:left="680"/>
      </w:pPr>
    </w:p>
    <w:p w:rsidR="00717B77" w:rsidRDefault="00717B77" w:rsidP="00717B77">
      <w:pPr>
        <w:pStyle w:val="ListParagraph"/>
        <w:ind w:left="680"/>
      </w:pPr>
    </w:p>
    <w:p w:rsidR="00717B77" w:rsidRPr="00D24877" w:rsidRDefault="00717B77" w:rsidP="00717B77">
      <w:pPr>
        <w:pStyle w:val="ListParagraph"/>
        <w:numPr>
          <w:ilvl w:val="1"/>
          <w:numId w:val="1"/>
        </w:numPr>
        <w:rPr>
          <w:b/>
          <w:sz w:val="24"/>
        </w:rPr>
      </w:pPr>
      <w:r w:rsidRPr="00D24877">
        <w:rPr>
          <w:b/>
          <w:sz w:val="24"/>
        </w:rPr>
        <w:t>CRE</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trHeight w:val="347"/>
        </w:trPr>
        <w:tc>
          <w:tcPr>
            <w:tcW w:w="1728" w:type="dxa"/>
            <w:shd w:val="clear" w:color="auto" w:fill="auto"/>
          </w:tcPr>
          <w:p w:rsidR="00C16CCA" w:rsidRPr="00206D41" w:rsidRDefault="00C16CCA" w:rsidP="001D0D9A">
            <w:pPr>
              <w:rPr>
                <w:b/>
                <w:bCs/>
                <w:iCs/>
              </w:rPr>
            </w:pPr>
            <w:r>
              <w:rPr>
                <w:b/>
                <w:bCs/>
                <w:iCs/>
              </w:rPr>
              <w:t>DEFINITION</w:t>
            </w:r>
          </w:p>
        </w:tc>
        <w:tc>
          <w:tcPr>
            <w:tcW w:w="7470" w:type="dxa"/>
            <w:gridSpan w:val="3"/>
            <w:shd w:val="clear" w:color="auto" w:fill="auto"/>
          </w:tcPr>
          <w:p w:rsidR="00C16CCA" w:rsidRDefault="00C16CCA" w:rsidP="001D0D9A">
            <w:pPr>
              <w:spacing w:after="0" w:line="240" w:lineRule="auto"/>
              <w:rPr>
                <w:bCs/>
                <w:iCs/>
              </w:rPr>
            </w:pPr>
            <w:r>
              <w:rPr>
                <w:bCs/>
                <w:iCs/>
              </w:rPr>
              <w:t>The total dollar value of Commercial Real Estate exposure, excluding the exposure to Multifamily real estate</w:t>
            </w:r>
            <w:r w:rsidR="00AF64B0">
              <w:rPr>
                <w:bCs/>
                <w:iCs/>
              </w:rPr>
              <w:t xml:space="preserve"> over total portfolio and total portfolio excluding Retail.</w:t>
            </w:r>
          </w:p>
          <w:p w:rsidR="00C16CCA" w:rsidRDefault="00C16CCA" w:rsidP="001D0D9A">
            <w:pPr>
              <w:contextualSpacing/>
              <w:rPr>
                <w:rFonts w:asciiTheme="minorHAnsi" w:eastAsiaTheme="minorHAnsi" w:hAnsiTheme="minorHAnsi" w:cstheme="minorBidi"/>
                <w:bCs/>
                <w:iCs/>
                <w:lang w:val="en-GB"/>
              </w:rPr>
            </w:pPr>
          </w:p>
          <w:p w:rsidR="00C16CCA" w:rsidRDefault="00C16CCA" w:rsidP="001D0D9A">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8"/>
            </w:r>
            <w:r w:rsidRPr="00BF190C">
              <w:rPr>
                <w:rFonts w:asciiTheme="minorHAnsi" w:eastAsiaTheme="minorHAnsi" w:hAnsiTheme="minorHAnsi" w:cstheme="minorBidi"/>
                <w:bCs/>
                <w:iCs/>
                <w:lang w:val="en-GB"/>
              </w:rPr>
              <w:t xml:space="preserve"> (“REC”) for derivatives. </w:t>
            </w:r>
          </w:p>
          <w:p w:rsidR="00C16CCA" w:rsidRPr="00206D41" w:rsidRDefault="00C16CCA" w:rsidP="001D0D9A">
            <w:pPr>
              <w:spacing w:after="0" w:line="240" w:lineRule="auto"/>
              <w:rPr>
                <w:bCs/>
                <w:iCs/>
              </w:rPr>
            </w:pPr>
            <w:r w:rsidRPr="00BF190C">
              <w:rPr>
                <w:rFonts w:asciiTheme="minorHAnsi" w:eastAsiaTheme="minorHAnsi" w:hAnsiTheme="minorHAnsi" w:cstheme="minorBidi"/>
                <w:bCs/>
                <w:iCs/>
                <w:lang w:val="en-GB"/>
              </w:rPr>
              <w:t>Exposures will be calculated at individual counterparty level and aggregated as required to ultimate parent (economic group) level</w:t>
            </w:r>
            <w:r>
              <w:rPr>
                <w:rFonts w:asciiTheme="minorHAnsi" w:eastAsiaTheme="minorHAnsi" w:hAnsiTheme="minorHAnsi" w:cstheme="minorBidi"/>
                <w:bCs/>
                <w:iCs/>
                <w:lang w:val="en-GB"/>
              </w:rPr>
              <w:t>.</w:t>
            </w:r>
          </w:p>
        </w:tc>
      </w:tr>
      <w:tr w:rsidR="00713D83" w:rsidRPr="00206D41" w:rsidTr="001D0D9A">
        <w:trPr>
          <w:trHeight w:val="448"/>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DF4CEA" w:rsidP="00713D83">
            <w:pPr>
              <w:spacing w:after="0" w:line="240" w:lineRule="auto"/>
              <w:rPr>
                <w:bCs/>
                <w:iCs/>
              </w:rPr>
            </w:pPr>
            <w:r>
              <w:rPr>
                <w:bCs/>
                <w:iCs/>
              </w:rPr>
              <w:t xml:space="preserve">This metric is calculated over Total portfolio </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ENTITY</w:t>
            </w:r>
          </w:p>
        </w:tc>
        <w:tc>
          <w:tcPr>
            <w:tcW w:w="2490" w:type="dxa"/>
            <w:shd w:val="clear" w:color="auto" w:fill="auto"/>
          </w:tcPr>
          <w:p w:rsidR="00C16CCA" w:rsidRPr="0004486A" w:rsidRDefault="00C16CCA" w:rsidP="001D0D9A">
            <w:pPr>
              <w:spacing w:after="0" w:line="240" w:lineRule="auto"/>
              <w:rPr>
                <w:b/>
                <w:bCs/>
                <w:iCs/>
              </w:rPr>
            </w:pPr>
            <w:r w:rsidRPr="0004486A">
              <w:rPr>
                <w:b/>
                <w:bCs/>
                <w:iCs/>
              </w:rPr>
              <w:t>SHUSA</w:t>
            </w:r>
          </w:p>
        </w:tc>
        <w:tc>
          <w:tcPr>
            <w:tcW w:w="2490" w:type="dxa"/>
            <w:shd w:val="clear" w:color="auto" w:fill="auto"/>
          </w:tcPr>
          <w:p w:rsidR="00C16CCA" w:rsidRPr="0004486A" w:rsidRDefault="00C16CCA" w:rsidP="001D0D9A">
            <w:pPr>
              <w:spacing w:after="0" w:line="240" w:lineRule="auto"/>
              <w:rPr>
                <w:b/>
                <w:bCs/>
                <w:iCs/>
              </w:rPr>
            </w:pPr>
            <w:r w:rsidRPr="0004486A">
              <w:rPr>
                <w:b/>
                <w:bCs/>
                <w:iCs/>
              </w:rPr>
              <w:t>SBNA</w:t>
            </w:r>
          </w:p>
        </w:tc>
        <w:tc>
          <w:tcPr>
            <w:tcW w:w="2490" w:type="dxa"/>
            <w:shd w:val="clear" w:color="auto" w:fill="auto"/>
          </w:tcPr>
          <w:p w:rsidR="00C16CCA" w:rsidRPr="0004486A" w:rsidRDefault="00C16CCA" w:rsidP="001D0D9A">
            <w:pPr>
              <w:spacing w:after="0" w:line="240" w:lineRule="auto"/>
              <w:rPr>
                <w:b/>
                <w:bCs/>
                <w:iCs/>
              </w:rPr>
            </w:pPr>
            <w:r w:rsidRPr="0004486A">
              <w:rPr>
                <w:b/>
                <w:bCs/>
                <w:iCs/>
              </w:rPr>
              <w:t>SC</w:t>
            </w:r>
          </w:p>
        </w:tc>
      </w:tr>
      <w:tr w:rsidR="00C16CCA" w:rsidRPr="00206D41" w:rsidTr="001D0D9A">
        <w:trPr>
          <w:trHeight w:val="270"/>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No</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METRIC OWNER</w:t>
            </w:r>
          </w:p>
        </w:tc>
        <w:tc>
          <w:tcPr>
            <w:tcW w:w="2490" w:type="dxa"/>
            <w:shd w:val="clear" w:color="auto" w:fill="auto"/>
          </w:tcPr>
          <w:p w:rsidR="00C16CCA" w:rsidRPr="0004486A" w:rsidRDefault="00C16CCA" w:rsidP="001D0D9A">
            <w:pPr>
              <w:spacing w:after="0" w:line="240" w:lineRule="auto"/>
              <w:rPr>
                <w:b/>
                <w:bCs/>
                <w:iCs/>
              </w:rPr>
            </w:pPr>
            <w:r w:rsidRPr="0004486A">
              <w:rPr>
                <w:b/>
                <w:bCs/>
                <w:iCs/>
              </w:rPr>
              <w:t>SHUSA</w:t>
            </w:r>
          </w:p>
        </w:tc>
        <w:tc>
          <w:tcPr>
            <w:tcW w:w="2490" w:type="dxa"/>
            <w:shd w:val="clear" w:color="auto" w:fill="auto"/>
          </w:tcPr>
          <w:p w:rsidR="00C16CCA" w:rsidRPr="0004486A" w:rsidRDefault="00C16CCA" w:rsidP="001D0D9A">
            <w:pPr>
              <w:spacing w:after="0" w:line="240" w:lineRule="auto"/>
              <w:rPr>
                <w:b/>
                <w:bCs/>
                <w:iCs/>
              </w:rPr>
            </w:pPr>
            <w:r w:rsidRPr="0004486A">
              <w:rPr>
                <w:b/>
                <w:bCs/>
                <w:iCs/>
              </w:rPr>
              <w:t>SBNA</w:t>
            </w:r>
          </w:p>
        </w:tc>
        <w:tc>
          <w:tcPr>
            <w:tcW w:w="2490" w:type="dxa"/>
            <w:shd w:val="clear" w:color="auto" w:fill="auto"/>
          </w:tcPr>
          <w:p w:rsidR="00C16CCA" w:rsidRPr="0004486A" w:rsidRDefault="00C16CCA" w:rsidP="001D0D9A">
            <w:pPr>
              <w:spacing w:after="0" w:line="240" w:lineRule="auto"/>
              <w:rPr>
                <w:b/>
                <w:bCs/>
                <w:iCs/>
              </w:rPr>
            </w:pPr>
            <w:r w:rsidRPr="0004486A">
              <w:rPr>
                <w:b/>
                <w:bCs/>
                <w:iCs/>
              </w:rPr>
              <w:t>SC</w:t>
            </w:r>
          </w:p>
        </w:tc>
      </w:tr>
      <w:tr w:rsidR="00C16CCA" w:rsidRPr="00206D41" w:rsidTr="001D0D9A">
        <w:trPr>
          <w:trHeight w:val="252"/>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5B52F3" w:rsidRDefault="00C16CCA" w:rsidP="001D0D9A">
            <w:pPr>
              <w:spacing w:after="0" w:line="240" w:lineRule="auto"/>
              <w:rPr>
                <w:b/>
                <w:bCs/>
                <w:iCs/>
              </w:rPr>
            </w:pPr>
            <w:r>
              <w:rPr>
                <w:bCs/>
                <w:iCs/>
              </w:rPr>
              <w:t>SHUSA Credit Risk manager</w:t>
            </w:r>
          </w:p>
        </w:tc>
        <w:tc>
          <w:tcPr>
            <w:tcW w:w="2490" w:type="dxa"/>
            <w:shd w:val="clear" w:color="auto" w:fill="auto"/>
          </w:tcPr>
          <w:p w:rsidR="00C16CCA" w:rsidRPr="00206D41" w:rsidRDefault="00C16CCA" w:rsidP="001D0D9A">
            <w:pPr>
              <w:spacing w:after="0" w:line="240" w:lineRule="auto"/>
              <w:rPr>
                <w:bCs/>
                <w:iCs/>
              </w:rPr>
            </w:pPr>
            <w:r>
              <w:rPr>
                <w:bCs/>
                <w:iCs/>
              </w:rPr>
              <w:t>SBNA Head of CRE</w:t>
            </w:r>
          </w:p>
        </w:tc>
        <w:tc>
          <w:tcPr>
            <w:tcW w:w="2490" w:type="dxa"/>
            <w:shd w:val="clear" w:color="auto" w:fill="auto"/>
          </w:tcPr>
          <w:p w:rsidR="00C16CCA" w:rsidRPr="00206D41" w:rsidRDefault="00C16CCA" w:rsidP="001D0D9A">
            <w:pPr>
              <w:spacing w:after="0" w:line="240" w:lineRule="auto"/>
              <w:rPr>
                <w:bCs/>
                <w:iCs/>
              </w:rPr>
            </w:pPr>
            <w:r w:rsidRPr="00206D41">
              <w:rPr>
                <w:bCs/>
                <w:iCs/>
              </w:rPr>
              <w:t>N/A</w:t>
            </w:r>
          </w:p>
        </w:tc>
      </w:tr>
      <w:tr w:rsidR="00C16CCA" w:rsidRPr="00206D41" w:rsidTr="001D0D9A">
        <w:trPr>
          <w:trHeight w:val="360"/>
        </w:trPr>
        <w:tc>
          <w:tcPr>
            <w:tcW w:w="1728" w:type="dxa"/>
            <w:shd w:val="clear" w:color="auto" w:fill="auto"/>
          </w:tcPr>
          <w:p w:rsidR="00C16CCA" w:rsidRPr="00206D41" w:rsidRDefault="00C16CCA" w:rsidP="001D0D9A">
            <w:pPr>
              <w:ind w:left="-60"/>
              <w:rPr>
                <w:b/>
                <w:bCs/>
                <w:iCs/>
              </w:rPr>
            </w:pPr>
            <w:r>
              <w:rPr>
                <w:b/>
                <w:bCs/>
                <w:iCs/>
              </w:rPr>
              <w:t>TRIGGER AND LIMIT SETTING</w:t>
            </w:r>
          </w:p>
        </w:tc>
        <w:tc>
          <w:tcPr>
            <w:tcW w:w="7470" w:type="dxa"/>
            <w:gridSpan w:val="3"/>
            <w:shd w:val="clear" w:color="auto" w:fill="auto"/>
          </w:tcPr>
          <w:p w:rsidR="00C16CCA" w:rsidRDefault="00C16CCA"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w:t>
            </w:r>
          </w:p>
          <w:p w:rsidR="00C16CCA" w:rsidRDefault="00C16CCA" w:rsidP="001D0D9A">
            <w:pPr>
              <w:spacing w:after="0" w:line="240" w:lineRule="auto"/>
              <w:rPr>
                <w:rFonts w:asciiTheme="minorHAnsi" w:eastAsiaTheme="minorHAnsi" w:hAnsiTheme="minorHAnsi" w:cstheme="minorBidi"/>
                <w:iCs/>
              </w:rPr>
            </w:pPr>
          </w:p>
        </w:tc>
      </w:tr>
      <w:tr w:rsidR="00C16CCA" w:rsidRPr="00206D41" w:rsidTr="001D0D9A">
        <w:trPr>
          <w:cantSplit/>
          <w:trHeight w:val="360"/>
        </w:trPr>
        <w:tc>
          <w:tcPr>
            <w:tcW w:w="1728" w:type="dxa"/>
            <w:shd w:val="clear" w:color="auto" w:fill="auto"/>
          </w:tcPr>
          <w:p w:rsidR="00C16CCA" w:rsidRPr="00206D41" w:rsidRDefault="00C16CCA" w:rsidP="001D0D9A">
            <w:pPr>
              <w:ind w:left="-60"/>
              <w:rPr>
                <w:b/>
                <w:bCs/>
                <w:iCs/>
              </w:rPr>
            </w:pPr>
            <w:r w:rsidRPr="00931941">
              <w:rPr>
                <w:b/>
                <w:bCs/>
                <w:iCs/>
              </w:rPr>
              <w:t>TESTING FREQUENCY</w:t>
            </w:r>
          </w:p>
        </w:tc>
        <w:tc>
          <w:tcPr>
            <w:tcW w:w="7470" w:type="dxa"/>
            <w:gridSpan w:val="3"/>
            <w:shd w:val="clear" w:color="auto" w:fill="auto"/>
          </w:tcPr>
          <w:p w:rsidR="00C16CCA" w:rsidRPr="002E67A0" w:rsidRDefault="003C7E77"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Quarterly</w:t>
            </w:r>
          </w:p>
        </w:tc>
      </w:tr>
      <w:tr w:rsidR="00C16CCA" w:rsidRPr="00206D41" w:rsidTr="001D0D9A">
        <w:trPr>
          <w:trHeight w:val="650"/>
        </w:trPr>
        <w:tc>
          <w:tcPr>
            <w:tcW w:w="1728" w:type="dxa"/>
            <w:shd w:val="clear" w:color="auto" w:fill="auto"/>
          </w:tcPr>
          <w:p w:rsidR="00C16CCA" w:rsidRPr="00206D41" w:rsidRDefault="00C16CCA" w:rsidP="001D0D9A">
            <w:pPr>
              <w:rPr>
                <w:b/>
                <w:bCs/>
                <w:iCs/>
              </w:rPr>
            </w:pPr>
            <w:r w:rsidRPr="00206D41">
              <w:rPr>
                <w:b/>
                <w:bCs/>
                <w:iCs/>
              </w:rPr>
              <w:t>SOURCE OF INFORMATION</w:t>
            </w:r>
          </w:p>
        </w:tc>
        <w:tc>
          <w:tcPr>
            <w:tcW w:w="7470" w:type="dxa"/>
            <w:gridSpan w:val="3"/>
            <w:shd w:val="clear" w:color="auto" w:fill="auto"/>
          </w:tcPr>
          <w:p w:rsidR="00C16CCA" w:rsidRDefault="00C16CCA" w:rsidP="001D0D9A">
            <w:pPr>
              <w:spacing w:after="0" w:line="240" w:lineRule="auto"/>
            </w:pPr>
            <w:r w:rsidRPr="00BE360D">
              <w:t xml:space="preserve">CRE is defined as all Investor/Developer Commercial Real Estate (CRE) exposure, excluding exposure classified as Multifamily property type. </w:t>
            </w:r>
          </w:p>
          <w:p w:rsidR="00C16CCA" w:rsidRPr="00BE360D" w:rsidRDefault="00C16CCA" w:rsidP="001D0D9A">
            <w:pPr>
              <w:spacing w:after="0" w:line="240" w:lineRule="auto"/>
            </w:pPr>
            <w:r w:rsidRPr="00BE360D">
              <w:t>In the CCMIS database, Investor/Developer CRE is defined the following way:</w:t>
            </w:r>
          </w:p>
          <w:p w:rsidR="00C16CCA" w:rsidRDefault="00C16CCA" w:rsidP="00C16CCA">
            <w:pPr>
              <w:pStyle w:val="ListParagraph"/>
              <w:numPr>
                <w:ilvl w:val="0"/>
                <w:numId w:val="24"/>
              </w:numPr>
              <w:spacing w:after="0" w:line="240" w:lineRule="auto"/>
            </w:pPr>
            <w:r>
              <w:lastRenderedPageBreak/>
              <w:t>Utilizing the Concentration Detail Expanded table Sum Binding Exposure where:</w:t>
            </w:r>
          </w:p>
          <w:p w:rsidR="00C16CCA" w:rsidRPr="00BE360D" w:rsidRDefault="00C16CCA" w:rsidP="00C16CCA">
            <w:pPr>
              <w:pStyle w:val="ListParagraph"/>
              <w:numPr>
                <w:ilvl w:val="0"/>
                <w:numId w:val="25"/>
              </w:numPr>
              <w:spacing w:after="0" w:line="240" w:lineRule="auto"/>
            </w:pPr>
            <w:r w:rsidRPr="00BE360D">
              <w:t>Segment = “CRE” or “SREC” or “CCRC”</w:t>
            </w:r>
          </w:p>
          <w:p w:rsidR="00C16CCA" w:rsidRPr="00BE360D" w:rsidRDefault="00C16CCA" w:rsidP="00C16CCA">
            <w:pPr>
              <w:pStyle w:val="ListParagraph"/>
              <w:numPr>
                <w:ilvl w:val="0"/>
                <w:numId w:val="25"/>
              </w:numPr>
              <w:spacing w:after="0" w:line="240" w:lineRule="auto"/>
            </w:pPr>
            <w:r w:rsidRPr="00BE360D">
              <w:t xml:space="preserve">Or, GL Category = “CRE” or “Multi” and Investor Classification &lt;&gt; “Owner Occupied RE” </w:t>
            </w:r>
          </w:p>
          <w:p w:rsidR="00C16CCA" w:rsidRPr="00BE360D" w:rsidRDefault="00C16CCA" w:rsidP="001D0D9A">
            <w:pPr>
              <w:spacing w:after="0" w:line="240" w:lineRule="auto"/>
            </w:pPr>
            <w:r>
              <w:t>and</w:t>
            </w:r>
          </w:p>
          <w:p w:rsidR="00C16CCA" w:rsidRPr="00BE360D" w:rsidRDefault="00C16CCA" w:rsidP="00C16CCA">
            <w:pPr>
              <w:pStyle w:val="ListParagraph"/>
              <w:numPr>
                <w:ilvl w:val="0"/>
                <w:numId w:val="26"/>
              </w:numPr>
              <w:spacing w:after="0" w:line="240" w:lineRule="auto"/>
            </w:pPr>
            <w:r w:rsidRPr="00BE360D">
              <w:t xml:space="preserve">Retype </w:t>
            </w:r>
            <w:r>
              <w:t>&lt;&gt;</w:t>
            </w:r>
            <w:r w:rsidRPr="00BE360D">
              <w:t xml:space="preserve"> Multifamily</w:t>
            </w:r>
          </w:p>
          <w:p w:rsidR="00C16CCA" w:rsidRPr="00C72D48" w:rsidRDefault="00C16CCA" w:rsidP="00C16CCA">
            <w:pPr>
              <w:pStyle w:val="ListParagraph"/>
              <w:numPr>
                <w:ilvl w:val="0"/>
                <w:numId w:val="24"/>
              </w:numPr>
              <w:spacing w:after="0" w:line="240" w:lineRule="auto"/>
              <w:rPr>
                <w:bCs/>
                <w:iCs/>
              </w:rPr>
            </w:pPr>
            <w:r w:rsidRPr="0095495D">
              <w:rPr>
                <w:bCs/>
                <w:iCs/>
              </w:rPr>
              <w:t xml:space="preserve">Note, PFE is not currently included as the calibration of limits did </w:t>
            </w:r>
            <w:r>
              <w:rPr>
                <w:bCs/>
                <w:iCs/>
              </w:rPr>
              <w:t>not take PFE into consideration</w:t>
            </w:r>
          </w:p>
        </w:tc>
      </w:tr>
    </w:tbl>
    <w:p w:rsidR="00717B77" w:rsidRDefault="00717B77" w:rsidP="00717B77"/>
    <w:p w:rsidR="00717B77" w:rsidRPr="00D24877" w:rsidRDefault="00717B77" w:rsidP="00717B77">
      <w:pPr>
        <w:pStyle w:val="ListParagraph"/>
        <w:numPr>
          <w:ilvl w:val="1"/>
          <w:numId w:val="1"/>
        </w:numPr>
        <w:rPr>
          <w:b/>
          <w:sz w:val="24"/>
        </w:rPr>
      </w:pPr>
      <w:r w:rsidRPr="00D24877">
        <w:rPr>
          <w:b/>
          <w:sz w:val="24"/>
        </w:rPr>
        <w:t>Multifamily</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trHeight w:val="347"/>
        </w:trPr>
        <w:tc>
          <w:tcPr>
            <w:tcW w:w="1728" w:type="dxa"/>
            <w:shd w:val="clear" w:color="auto" w:fill="auto"/>
          </w:tcPr>
          <w:p w:rsidR="00C16CCA" w:rsidRPr="00206D41" w:rsidRDefault="00C16CCA" w:rsidP="001D0D9A">
            <w:pPr>
              <w:rPr>
                <w:b/>
                <w:bCs/>
                <w:iCs/>
              </w:rPr>
            </w:pPr>
            <w:r>
              <w:rPr>
                <w:b/>
                <w:bCs/>
                <w:iCs/>
              </w:rPr>
              <w:t xml:space="preserve">DEFINITION </w:t>
            </w:r>
          </w:p>
        </w:tc>
        <w:tc>
          <w:tcPr>
            <w:tcW w:w="7470" w:type="dxa"/>
            <w:gridSpan w:val="3"/>
            <w:shd w:val="clear" w:color="auto" w:fill="auto"/>
          </w:tcPr>
          <w:p w:rsidR="00AF64B0" w:rsidRDefault="00C16CCA" w:rsidP="00AF64B0">
            <w:pPr>
              <w:spacing w:after="0" w:line="240" w:lineRule="auto"/>
              <w:rPr>
                <w:bCs/>
                <w:iCs/>
              </w:rPr>
            </w:pPr>
            <w:r>
              <w:rPr>
                <w:bCs/>
                <w:iCs/>
              </w:rPr>
              <w:t>The total dollar value of Multifamily real estat</w:t>
            </w:r>
            <w:r w:rsidR="00AF64B0">
              <w:rPr>
                <w:bCs/>
                <w:iCs/>
              </w:rPr>
              <w:t>e exposure over total portfolio and total portfolio excluding Retail.</w:t>
            </w:r>
          </w:p>
          <w:p w:rsidR="00C16CCA" w:rsidRDefault="00C16CCA" w:rsidP="001D0D9A">
            <w:pPr>
              <w:spacing w:after="0" w:line="240" w:lineRule="auto"/>
              <w:rPr>
                <w:bCs/>
                <w:iCs/>
              </w:rPr>
            </w:pPr>
          </w:p>
          <w:p w:rsidR="00C16CCA" w:rsidRDefault="00C16CCA" w:rsidP="001D0D9A">
            <w:pPr>
              <w:spacing w:after="0" w:line="240" w:lineRule="auto"/>
              <w:rPr>
                <w:bCs/>
                <w:iCs/>
              </w:rPr>
            </w:pPr>
          </w:p>
          <w:p w:rsidR="00C16CCA" w:rsidRDefault="00C16CCA" w:rsidP="001D0D9A">
            <w:p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Exposure </w:t>
            </w:r>
            <w:r>
              <w:rPr>
                <w:rFonts w:asciiTheme="minorHAnsi" w:eastAsiaTheme="minorHAnsi" w:hAnsiTheme="minorHAnsi" w:cstheme="minorBidi"/>
                <w:bCs/>
                <w:iCs/>
                <w:lang w:val="en-GB"/>
              </w:rPr>
              <w:t xml:space="preserve">is defined as </w:t>
            </w:r>
            <w:r w:rsidRPr="00BF190C">
              <w:rPr>
                <w:rFonts w:asciiTheme="minorHAnsi" w:eastAsiaTheme="minorHAnsi" w:hAnsiTheme="minorHAnsi" w:cstheme="minorBidi"/>
                <w:bCs/>
                <w:iCs/>
                <w:lang w:val="en-GB"/>
              </w:rPr>
              <w:t xml:space="preserve">the </w:t>
            </w:r>
            <w:r w:rsidRPr="00BF190C">
              <w:rPr>
                <w:rFonts w:asciiTheme="minorHAnsi" w:eastAsiaTheme="minorHAnsi" w:hAnsiTheme="minorHAnsi" w:cstheme="minorBidi"/>
                <w:bCs/>
                <w:iCs/>
                <w:u w:val="single"/>
                <w:lang w:val="en-GB"/>
              </w:rPr>
              <w:t>sum</w:t>
            </w:r>
            <w:r w:rsidRPr="00BF190C">
              <w:rPr>
                <w:rFonts w:asciiTheme="minorHAnsi" w:eastAsiaTheme="minorHAnsi" w:hAnsiTheme="minorHAnsi" w:cstheme="minorBidi"/>
                <w:bCs/>
                <w:iCs/>
                <w:lang w:val="en-GB"/>
              </w:rPr>
              <w:t xml:space="preserve"> of: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 xml:space="preserve">Committed facilities (drawn and undrawn)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D</w:t>
            </w:r>
            <w:r w:rsidRPr="00BF190C">
              <w:rPr>
                <w:rFonts w:asciiTheme="minorHAnsi" w:eastAsiaTheme="minorHAnsi" w:hAnsiTheme="minorHAnsi" w:cstheme="minorBidi"/>
                <w:bCs/>
                <w:iCs/>
                <w:lang w:val="en-GB"/>
              </w:rPr>
              <w:t>rawn</w:t>
            </w:r>
            <w:r>
              <w:rPr>
                <w:rFonts w:asciiTheme="minorHAnsi" w:eastAsiaTheme="minorHAnsi" w:hAnsiTheme="minorHAnsi" w:cstheme="minorBidi"/>
                <w:bCs/>
                <w:iCs/>
                <w:lang w:val="en-GB"/>
              </w:rPr>
              <w:t xml:space="preserve"> balances</w:t>
            </w:r>
            <w:r w:rsidRPr="00BF190C">
              <w:rPr>
                <w:rFonts w:asciiTheme="minorHAnsi" w:eastAsiaTheme="minorHAnsi" w:hAnsiTheme="minorHAnsi" w:cstheme="minorBidi"/>
                <w:bCs/>
                <w:iCs/>
                <w:lang w:val="en-GB"/>
              </w:rPr>
              <w:t xml:space="preserve"> under uncommitted facilities  </w:t>
            </w:r>
          </w:p>
          <w:p w:rsidR="00C16CCA" w:rsidRDefault="00C16CCA" w:rsidP="00C16CCA">
            <w:pPr>
              <w:numPr>
                <w:ilvl w:val="1"/>
                <w:numId w:val="8"/>
              </w:numPr>
              <w:contextualSpacing/>
              <w:rPr>
                <w:rFonts w:asciiTheme="minorHAnsi" w:eastAsiaTheme="minorHAnsi" w:hAnsiTheme="minorHAnsi" w:cstheme="minorBidi"/>
                <w:bCs/>
                <w:iCs/>
                <w:lang w:val="en-GB"/>
              </w:rPr>
            </w:pPr>
            <w:r>
              <w:rPr>
                <w:rFonts w:asciiTheme="minorHAnsi" w:eastAsiaTheme="minorHAnsi" w:hAnsiTheme="minorHAnsi" w:cstheme="minorBidi"/>
                <w:bCs/>
                <w:iCs/>
                <w:lang w:val="en-GB"/>
              </w:rPr>
              <w:t>O</w:t>
            </w:r>
            <w:r w:rsidRPr="00BF190C">
              <w:rPr>
                <w:rFonts w:asciiTheme="minorHAnsi" w:eastAsiaTheme="minorHAnsi" w:hAnsiTheme="minorHAnsi" w:cstheme="minorBidi"/>
                <w:bCs/>
                <w:iCs/>
                <w:lang w:val="en-GB"/>
              </w:rPr>
              <w:t xml:space="preserve">ff balance sheet items (e.g. Letters of Credit)  </w:t>
            </w:r>
          </w:p>
          <w:p w:rsidR="00C16CCA" w:rsidRDefault="00C16CCA" w:rsidP="00C16CCA">
            <w:pPr>
              <w:numPr>
                <w:ilvl w:val="1"/>
                <w:numId w:val="8"/>
              </w:numPr>
              <w:contextualSpacing/>
              <w:rPr>
                <w:rFonts w:asciiTheme="minorHAnsi" w:eastAsiaTheme="minorHAnsi" w:hAnsiTheme="minorHAnsi" w:cstheme="minorBidi"/>
                <w:bCs/>
                <w:iCs/>
                <w:lang w:val="en-GB"/>
              </w:rPr>
            </w:pPr>
            <w:r w:rsidRPr="00BF190C">
              <w:rPr>
                <w:rFonts w:asciiTheme="minorHAnsi" w:eastAsiaTheme="minorHAnsi" w:hAnsiTheme="minorHAnsi" w:cstheme="minorBidi"/>
                <w:bCs/>
                <w:iCs/>
                <w:lang w:val="en-GB"/>
              </w:rPr>
              <w:t>PFE</w:t>
            </w:r>
            <w:r w:rsidRPr="00BF190C">
              <w:rPr>
                <w:rFonts w:asciiTheme="minorHAnsi" w:eastAsiaTheme="minorHAnsi" w:hAnsiTheme="minorHAnsi" w:cstheme="minorBidi"/>
                <w:bCs/>
                <w:iCs/>
                <w:vertAlign w:val="superscript"/>
                <w:lang w:val="en-GB"/>
              </w:rPr>
              <w:footnoteReference w:id="9"/>
            </w:r>
            <w:r w:rsidRPr="00BF190C">
              <w:rPr>
                <w:rFonts w:asciiTheme="minorHAnsi" w:eastAsiaTheme="minorHAnsi" w:hAnsiTheme="minorHAnsi" w:cstheme="minorBidi"/>
                <w:bCs/>
                <w:iCs/>
                <w:lang w:val="en-GB"/>
              </w:rPr>
              <w:t xml:space="preserve"> (“REC”) for derivatives. </w:t>
            </w:r>
          </w:p>
          <w:p w:rsidR="00C16CCA" w:rsidRPr="00206D41" w:rsidRDefault="00C16CCA" w:rsidP="001D0D9A">
            <w:pPr>
              <w:spacing w:after="0" w:line="240" w:lineRule="auto"/>
              <w:rPr>
                <w:bCs/>
                <w:iCs/>
              </w:rPr>
            </w:pPr>
            <w:r w:rsidRPr="00BF190C">
              <w:rPr>
                <w:rFonts w:asciiTheme="minorHAnsi" w:eastAsiaTheme="minorHAnsi" w:hAnsiTheme="minorHAnsi" w:cstheme="minorBidi"/>
                <w:bCs/>
                <w:iCs/>
                <w:lang w:val="en-GB"/>
              </w:rPr>
              <w:t xml:space="preserve">Exposures will be calculated at individual counterparty level and aggregated as required to ultimate parent (economic group) level. </w:t>
            </w:r>
          </w:p>
        </w:tc>
      </w:tr>
      <w:tr w:rsidR="00DF4CEA" w:rsidRPr="00206D41" w:rsidTr="001D0D9A">
        <w:trPr>
          <w:cantSplit/>
          <w:trHeight w:val="448"/>
        </w:trPr>
        <w:tc>
          <w:tcPr>
            <w:tcW w:w="1728" w:type="dxa"/>
            <w:shd w:val="clear" w:color="auto" w:fill="auto"/>
          </w:tcPr>
          <w:p w:rsidR="00DF4CEA" w:rsidRDefault="00DF4CEA" w:rsidP="00DF4CEA">
            <w:pPr>
              <w:rPr>
                <w:b/>
                <w:bCs/>
                <w:iCs/>
              </w:rPr>
            </w:pPr>
            <w:r>
              <w:rPr>
                <w:b/>
                <w:bCs/>
                <w:iCs/>
              </w:rPr>
              <w:t>DIFFERENT FROM SHUSA</w:t>
            </w:r>
          </w:p>
        </w:tc>
        <w:tc>
          <w:tcPr>
            <w:tcW w:w="7470" w:type="dxa"/>
            <w:gridSpan w:val="3"/>
            <w:shd w:val="clear" w:color="auto" w:fill="auto"/>
          </w:tcPr>
          <w:p w:rsidR="00DF4CEA" w:rsidRDefault="00DF4CEA" w:rsidP="00DF4CEA">
            <w:pPr>
              <w:spacing w:after="0" w:line="240" w:lineRule="auto"/>
              <w:rPr>
                <w:bCs/>
                <w:iCs/>
              </w:rPr>
            </w:pPr>
            <w:r>
              <w:rPr>
                <w:bCs/>
                <w:iCs/>
              </w:rPr>
              <w:t xml:space="preserve">This metric is calculated over Total portfolio </w:t>
            </w:r>
          </w:p>
        </w:tc>
      </w:tr>
      <w:tr w:rsidR="00DF4CEA" w:rsidRPr="00206D41" w:rsidTr="001D0D9A">
        <w:trPr>
          <w:trHeight w:val="270"/>
        </w:trPr>
        <w:tc>
          <w:tcPr>
            <w:tcW w:w="1728" w:type="dxa"/>
            <w:vMerge w:val="restart"/>
            <w:shd w:val="clear" w:color="auto" w:fill="auto"/>
          </w:tcPr>
          <w:p w:rsidR="00DF4CEA" w:rsidRDefault="00DF4CEA" w:rsidP="00DF4CEA">
            <w:pPr>
              <w:rPr>
                <w:b/>
                <w:bCs/>
                <w:iCs/>
              </w:rPr>
            </w:pPr>
            <w:r>
              <w:rPr>
                <w:b/>
                <w:bCs/>
                <w:iCs/>
              </w:rPr>
              <w:t>ENTITY</w:t>
            </w:r>
          </w:p>
          <w:p w:rsidR="00DF4CEA" w:rsidRPr="00206D41" w:rsidRDefault="00DF4CEA" w:rsidP="00DF4CEA">
            <w:pPr>
              <w:rPr>
                <w:b/>
                <w:bCs/>
                <w:iCs/>
              </w:rPr>
            </w:pPr>
          </w:p>
        </w:tc>
        <w:tc>
          <w:tcPr>
            <w:tcW w:w="2490" w:type="dxa"/>
            <w:shd w:val="clear" w:color="auto" w:fill="auto"/>
          </w:tcPr>
          <w:p w:rsidR="00DF4CEA" w:rsidRPr="00E66FFB" w:rsidRDefault="00DF4CEA" w:rsidP="00DF4CEA">
            <w:pPr>
              <w:tabs>
                <w:tab w:val="left" w:pos="795"/>
                <w:tab w:val="center" w:pos="1137"/>
              </w:tabs>
              <w:spacing w:after="0" w:line="240" w:lineRule="auto"/>
              <w:rPr>
                <w:b/>
                <w:bCs/>
                <w:iCs/>
              </w:rPr>
            </w:pPr>
            <w:r w:rsidRPr="00E66FFB">
              <w:rPr>
                <w:b/>
                <w:bCs/>
                <w:iCs/>
              </w:rPr>
              <w:t>SHUSA</w:t>
            </w:r>
          </w:p>
        </w:tc>
        <w:tc>
          <w:tcPr>
            <w:tcW w:w="2490" w:type="dxa"/>
            <w:shd w:val="clear" w:color="auto" w:fill="auto"/>
          </w:tcPr>
          <w:p w:rsidR="00DF4CEA" w:rsidRPr="00E66FFB" w:rsidRDefault="00DF4CEA" w:rsidP="00DF4CEA">
            <w:pPr>
              <w:spacing w:after="0" w:line="240" w:lineRule="auto"/>
              <w:rPr>
                <w:b/>
                <w:bCs/>
                <w:iCs/>
              </w:rPr>
            </w:pPr>
            <w:r w:rsidRPr="00E66FFB">
              <w:rPr>
                <w:b/>
                <w:bCs/>
                <w:iCs/>
              </w:rPr>
              <w:t>SBNA</w:t>
            </w:r>
          </w:p>
        </w:tc>
        <w:tc>
          <w:tcPr>
            <w:tcW w:w="2490" w:type="dxa"/>
            <w:shd w:val="clear" w:color="auto" w:fill="auto"/>
          </w:tcPr>
          <w:p w:rsidR="00DF4CEA" w:rsidRPr="00E66FFB" w:rsidRDefault="00DF4CEA" w:rsidP="00DF4CEA">
            <w:pPr>
              <w:spacing w:after="0" w:line="240" w:lineRule="auto"/>
              <w:rPr>
                <w:b/>
                <w:bCs/>
                <w:iCs/>
              </w:rPr>
            </w:pPr>
            <w:r w:rsidRPr="00E66FFB">
              <w:rPr>
                <w:b/>
                <w:bCs/>
                <w:iCs/>
              </w:rPr>
              <w:t>SC</w:t>
            </w:r>
          </w:p>
        </w:tc>
      </w:tr>
      <w:tr w:rsidR="00DF4CEA" w:rsidRPr="00206D41" w:rsidTr="001D0D9A">
        <w:trPr>
          <w:trHeight w:val="270"/>
        </w:trPr>
        <w:tc>
          <w:tcPr>
            <w:tcW w:w="1728" w:type="dxa"/>
            <w:vMerge/>
            <w:shd w:val="clear" w:color="auto" w:fill="auto"/>
          </w:tcPr>
          <w:p w:rsidR="00DF4CEA" w:rsidRPr="00206D41" w:rsidRDefault="00DF4CEA" w:rsidP="00DF4CEA">
            <w:pPr>
              <w:rPr>
                <w:b/>
                <w:bCs/>
                <w:iCs/>
              </w:rPr>
            </w:pPr>
          </w:p>
        </w:tc>
        <w:tc>
          <w:tcPr>
            <w:tcW w:w="2490" w:type="dxa"/>
            <w:shd w:val="clear" w:color="auto" w:fill="auto"/>
          </w:tcPr>
          <w:p w:rsidR="00DF4CEA" w:rsidRPr="00206D41" w:rsidRDefault="00DF4CEA" w:rsidP="00DF4CEA">
            <w:pPr>
              <w:spacing w:after="0" w:line="240" w:lineRule="auto"/>
              <w:rPr>
                <w:bCs/>
                <w:iCs/>
              </w:rPr>
            </w:pPr>
            <w:r>
              <w:rPr>
                <w:bCs/>
                <w:iCs/>
              </w:rPr>
              <w:t>Yes</w:t>
            </w:r>
          </w:p>
        </w:tc>
        <w:tc>
          <w:tcPr>
            <w:tcW w:w="2490" w:type="dxa"/>
            <w:shd w:val="clear" w:color="auto" w:fill="auto"/>
          </w:tcPr>
          <w:p w:rsidR="00DF4CEA" w:rsidRPr="00206D41" w:rsidRDefault="00DF4CEA" w:rsidP="00DF4CEA">
            <w:pPr>
              <w:spacing w:after="0" w:line="240" w:lineRule="auto"/>
              <w:rPr>
                <w:bCs/>
                <w:iCs/>
              </w:rPr>
            </w:pPr>
            <w:r>
              <w:rPr>
                <w:bCs/>
                <w:iCs/>
              </w:rPr>
              <w:t>Yes</w:t>
            </w:r>
          </w:p>
        </w:tc>
        <w:tc>
          <w:tcPr>
            <w:tcW w:w="2490" w:type="dxa"/>
            <w:shd w:val="clear" w:color="auto" w:fill="auto"/>
          </w:tcPr>
          <w:p w:rsidR="00DF4CEA" w:rsidRPr="00206D41" w:rsidRDefault="00DF4CEA" w:rsidP="00DF4CEA">
            <w:pPr>
              <w:spacing w:after="0" w:line="240" w:lineRule="auto"/>
              <w:rPr>
                <w:bCs/>
                <w:iCs/>
              </w:rPr>
            </w:pPr>
            <w:r>
              <w:rPr>
                <w:bCs/>
                <w:iCs/>
              </w:rPr>
              <w:t>No</w:t>
            </w:r>
          </w:p>
        </w:tc>
      </w:tr>
      <w:tr w:rsidR="00DF4CEA" w:rsidRPr="00206D41" w:rsidTr="001D0D9A">
        <w:trPr>
          <w:trHeight w:val="270"/>
        </w:trPr>
        <w:tc>
          <w:tcPr>
            <w:tcW w:w="1728" w:type="dxa"/>
            <w:vMerge w:val="restart"/>
            <w:shd w:val="clear" w:color="auto" w:fill="auto"/>
          </w:tcPr>
          <w:p w:rsidR="00DF4CEA" w:rsidRPr="00206D41" w:rsidRDefault="00DF4CEA" w:rsidP="00DF4CEA">
            <w:pPr>
              <w:rPr>
                <w:b/>
                <w:bCs/>
                <w:iCs/>
              </w:rPr>
            </w:pPr>
            <w:r>
              <w:rPr>
                <w:b/>
                <w:bCs/>
                <w:iCs/>
              </w:rPr>
              <w:t xml:space="preserve">METRIC OWNER </w:t>
            </w:r>
          </w:p>
        </w:tc>
        <w:tc>
          <w:tcPr>
            <w:tcW w:w="2490" w:type="dxa"/>
            <w:shd w:val="clear" w:color="auto" w:fill="auto"/>
          </w:tcPr>
          <w:p w:rsidR="00DF4CEA" w:rsidRPr="00E66FFB" w:rsidRDefault="00DF4CEA" w:rsidP="00DF4CEA">
            <w:pPr>
              <w:spacing w:after="0" w:line="240" w:lineRule="auto"/>
              <w:rPr>
                <w:b/>
                <w:bCs/>
                <w:iCs/>
              </w:rPr>
            </w:pPr>
            <w:r w:rsidRPr="00E66FFB">
              <w:rPr>
                <w:b/>
                <w:bCs/>
                <w:iCs/>
              </w:rPr>
              <w:t>SHUSA</w:t>
            </w:r>
          </w:p>
        </w:tc>
        <w:tc>
          <w:tcPr>
            <w:tcW w:w="2490" w:type="dxa"/>
            <w:shd w:val="clear" w:color="auto" w:fill="auto"/>
          </w:tcPr>
          <w:p w:rsidR="00DF4CEA" w:rsidRPr="00E66FFB" w:rsidRDefault="00DF4CEA" w:rsidP="00DF4CEA">
            <w:pPr>
              <w:spacing w:after="0" w:line="240" w:lineRule="auto"/>
              <w:rPr>
                <w:b/>
                <w:bCs/>
                <w:iCs/>
              </w:rPr>
            </w:pPr>
            <w:r w:rsidRPr="00E66FFB">
              <w:rPr>
                <w:b/>
                <w:bCs/>
                <w:iCs/>
              </w:rPr>
              <w:t>SBNA</w:t>
            </w:r>
          </w:p>
        </w:tc>
        <w:tc>
          <w:tcPr>
            <w:tcW w:w="2490" w:type="dxa"/>
            <w:shd w:val="clear" w:color="auto" w:fill="auto"/>
          </w:tcPr>
          <w:p w:rsidR="00DF4CEA" w:rsidRPr="00E66FFB" w:rsidRDefault="00DF4CEA" w:rsidP="00DF4CEA">
            <w:pPr>
              <w:spacing w:after="0" w:line="240" w:lineRule="auto"/>
              <w:rPr>
                <w:b/>
                <w:bCs/>
                <w:iCs/>
              </w:rPr>
            </w:pPr>
            <w:r w:rsidRPr="00E66FFB">
              <w:rPr>
                <w:b/>
                <w:bCs/>
                <w:iCs/>
              </w:rPr>
              <w:t>SC</w:t>
            </w:r>
          </w:p>
        </w:tc>
      </w:tr>
      <w:tr w:rsidR="00DF4CEA" w:rsidRPr="00206D41" w:rsidTr="001D0D9A">
        <w:trPr>
          <w:trHeight w:val="252"/>
        </w:trPr>
        <w:tc>
          <w:tcPr>
            <w:tcW w:w="1728" w:type="dxa"/>
            <w:vMerge/>
            <w:shd w:val="clear" w:color="auto" w:fill="auto"/>
          </w:tcPr>
          <w:p w:rsidR="00DF4CEA" w:rsidRPr="00206D41" w:rsidRDefault="00DF4CEA" w:rsidP="00DF4CEA">
            <w:pPr>
              <w:rPr>
                <w:b/>
                <w:bCs/>
                <w:iCs/>
              </w:rPr>
            </w:pPr>
          </w:p>
        </w:tc>
        <w:tc>
          <w:tcPr>
            <w:tcW w:w="2490" w:type="dxa"/>
            <w:shd w:val="clear" w:color="auto" w:fill="auto"/>
          </w:tcPr>
          <w:p w:rsidR="00DF4CEA" w:rsidRPr="005B52F3" w:rsidRDefault="00DF4CEA" w:rsidP="00DF4CEA">
            <w:pPr>
              <w:spacing w:after="0" w:line="240" w:lineRule="auto"/>
              <w:rPr>
                <w:b/>
                <w:bCs/>
                <w:iCs/>
              </w:rPr>
            </w:pPr>
            <w:r>
              <w:rPr>
                <w:bCs/>
                <w:iCs/>
              </w:rPr>
              <w:t>SHUSA Credit Risk manager</w:t>
            </w:r>
          </w:p>
        </w:tc>
        <w:tc>
          <w:tcPr>
            <w:tcW w:w="2490" w:type="dxa"/>
            <w:shd w:val="clear" w:color="auto" w:fill="auto"/>
          </w:tcPr>
          <w:p w:rsidR="00DF4CEA" w:rsidRPr="00206D41" w:rsidRDefault="00DF4CEA" w:rsidP="00DF4CEA">
            <w:pPr>
              <w:spacing w:after="0" w:line="240" w:lineRule="auto"/>
              <w:rPr>
                <w:bCs/>
                <w:iCs/>
              </w:rPr>
            </w:pPr>
            <w:r>
              <w:rPr>
                <w:bCs/>
                <w:iCs/>
              </w:rPr>
              <w:t>SBNA Head of Business</w:t>
            </w:r>
          </w:p>
        </w:tc>
        <w:tc>
          <w:tcPr>
            <w:tcW w:w="2490" w:type="dxa"/>
            <w:shd w:val="clear" w:color="auto" w:fill="auto"/>
          </w:tcPr>
          <w:p w:rsidR="00DF4CEA" w:rsidRPr="00206D41" w:rsidRDefault="00DF4CEA" w:rsidP="00DF4CEA">
            <w:pPr>
              <w:spacing w:after="0" w:line="240" w:lineRule="auto"/>
              <w:rPr>
                <w:bCs/>
                <w:iCs/>
              </w:rPr>
            </w:pPr>
            <w:r>
              <w:rPr>
                <w:bCs/>
                <w:iCs/>
              </w:rPr>
              <w:t>N/A</w:t>
            </w:r>
          </w:p>
        </w:tc>
      </w:tr>
      <w:tr w:rsidR="00DF4CEA" w:rsidRPr="00206D41" w:rsidTr="001D0D9A">
        <w:trPr>
          <w:trHeight w:val="360"/>
        </w:trPr>
        <w:tc>
          <w:tcPr>
            <w:tcW w:w="1728" w:type="dxa"/>
            <w:shd w:val="clear" w:color="auto" w:fill="auto"/>
          </w:tcPr>
          <w:p w:rsidR="00DF4CEA" w:rsidRPr="00206D41" w:rsidRDefault="00DF4CEA" w:rsidP="00DF4CEA">
            <w:pPr>
              <w:ind w:left="-60"/>
              <w:rPr>
                <w:b/>
                <w:bCs/>
                <w:iCs/>
              </w:rPr>
            </w:pPr>
            <w:r>
              <w:rPr>
                <w:b/>
                <w:bCs/>
                <w:iCs/>
              </w:rPr>
              <w:t>TRIGGER AND LIMIT SETTING</w:t>
            </w:r>
          </w:p>
        </w:tc>
        <w:tc>
          <w:tcPr>
            <w:tcW w:w="7470" w:type="dxa"/>
            <w:gridSpan w:val="3"/>
            <w:shd w:val="clear" w:color="auto" w:fill="auto"/>
          </w:tcPr>
          <w:p w:rsidR="00DF4CEA" w:rsidRDefault="00DF4CEA" w:rsidP="00DF4CEA">
            <w:pPr>
              <w:spacing w:after="0" w:line="240" w:lineRule="auto"/>
              <w:rPr>
                <w:rFonts w:asciiTheme="minorHAnsi" w:eastAsiaTheme="minorHAnsi" w:hAnsiTheme="minorHAnsi" w:cstheme="minorBidi"/>
                <w:iCs/>
              </w:rPr>
            </w:pPr>
            <w:r>
              <w:rPr>
                <w:rFonts w:asciiTheme="minorHAnsi" w:eastAsiaTheme="minorHAnsi" w:hAnsiTheme="minorHAnsi" w:cstheme="minorBidi"/>
                <w:iCs/>
              </w:rPr>
              <w:t>The amber trigger and red limit for this metric are reviewed annually by the Board when setting the RAS.</w:t>
            </w:r>
          </w:p>
          <w:p w:rsidR="00DF4CEA" w:rsidRDefault="00DF4CEA" w:rsidP="00DF4CEA">
            <w:pPr>
              <w:spacing w:after="0" w:line="240" w:lineRule="auto"/>
              <w:rPr>
                <w:rFonts w:asciiTheme="minorHAnsi" w:eastAsiaTheme="minorHAnsi" w:hAnsiTheme="minorHAnsi" w:cstheme="minorBidi"/>
                <w:iCs/>
              </w:rPr>
            </w:pPr>
          </w:p>
        </w:tc>
      </w:tr>
      <w:tr w:rsidR="00DF4CEA" w:rsidRPr="00206D41" w:rsidTr="001D0D9A">
        <w:trPr>
          <w:trHeight w:val="360"/>
        </w:trPr>
        <w:tc>
          <w:tcPr>
            <w:tcW w:w="1728" w:type="dxa"/>
            <w:shd w:val="clear" w:color="auto" w:fill="auto"/>
          </w:tcPr>
          <w:p w:rsidR="00DF4CEA" w:rsidRPr="00206D41" w:rsidRDefault="00DF4CEA" w:rsidP="00DF4CEA">
            <w:pPr>
              <w:ind w:left="-60"/>
              <w:rPr>
                <w:b/>
                <w:bCs/>
                <w:iCs/>
              </w:rPr>
            </w:pPr>
            <w:r w:rsidRPr="00A04DBB">
              <w:rPr>
                <w:b/>
                <w:bCs/>
                <w:iCs/>
              </w:rPr>
              <w:t>TESTING FREQUENCY</w:t>
            </w:r>
          </w:p>
        </w:tc>
        <w:tc>
          <w:tcPr>
            <w:tcW w:w="7470" w:type="dxa"/>
            <w:gridSpan w:val="3"/>
            <w:shd w:val="clear" w:color="auto" w:fill="auto"/>
          </w:tcPr>
          <w:p w:rsidR="00DF4CEA" w:rsidRPr="00A04DBB" w:rsidRDefault="003C7E77" w:rsidP="003C7E77">
            <w:pPr>
              <w:spacing w:after="0" w:line="240" w:lineRule="auto"/>
              <w:rPr>
                <w:rFonts w:asciiTheme="minorHAnsi" w:eastAsiaTheme="minorHAnsi" w:hAnsiTheme="minorHAnsi" w:cstheme="minorBidi"/>
                <w:iCs/>
              </w:rPr>
            </w:pPr>
            <w:r>
              <w:rPr>
                <w:rFonts w:asciiTheme="minorHAnsi" w:eastAsiaTheme="minorHAnsi" w:hAnsiTheme="minorHAnsi" w:cstheme="minorBidi"/>
                <w:iCs/>
              </w:rPr>
              <w:t>Quarterly</w:t>
            </w:r>
            <w:r w:rsidR="00DF4CEA">
              <w:rPr>
                <w:rFonts w:asciiTheme="minorHAnsi" w:eastAsiaTheme="minorHAnsi" w:hAnsiTheme="minorHAnsi" w:cstheme="minorBidi"/>
                <w:iCs/>
              </w:rPr>
              <w:t xml:space="preserve"> </w:t>
            </w:r>
          </w:p>
        </w:tc>
      </w:tr>
      <w:tr w:rsidR="00DF4CEA" w:rsidRPr="00206D41" w:rsidTr="001D0D9A">
        <w:trPr>
          <w:trHeight w:val="650"/>
        </w:trPr>
        <w:tc>
          <w:tcPr>
            <w:tcW w:w="1728" w:type="dxa"/>
            <w:shd w:val="clear" w:color="auto" w:fill="auto"/>
          </w:tcPr>
          <w:p w:rsidR="00DF4CEA" w:rsidRPr="00206D41" w:rsidRDefault="00DF4CEA" w:rsidP="00DF4CEA">
            <w:pPr>
              <w:rPr>
                <w:b/>
                <w:bCs/>
                <w:iCs/>
              </w:rPr>
            </w:pPr>
            <w:r w:rsidRPr="00206D41">
              <w:rPr>
                <w:b/>
                <w:bCs/>
                <w:iCs/>
              </w:rPr>
              <w:t>SOURCE OF INFORMATION</w:t>
            </w:r>
          </w:p>
        </w:tc>
        <w:tc>
          <w:tcPr>
            <w:tcW w:w="7470" w:type="dxa"/>
            <w:gridSpan w:val="3"/>
            <w:shd w:val="clear" w:color="auto" w:fill="auto"/>
          </w:tcPr>
          <w:p w:rsidR="00DF4CEA" w:rsidRPr="00BE360D" w:rsidRDefault="00DF4CEA" w:rsidP="00DF4CEA">
            <w:pPr>
              <w:spacing w:after="0" w:line="240" w:lineRule="auto"/>
            </w:pPr>
            <w:r w:rsidRPr="00BE360D">
              <w:t>Multifamily exposure is defined as any Investor/Developer Commercial Real Estate (CRE) exposure classified as Multifamily property type.</w:t>
            </w:r>
          </w:p>
          <w:p w:rsidR="00DF4CEA" w:rsidRPr="00BE360D" w:rsidRDefault="00DF4CEA" w:rsidP="00DF4CEA">
            <w:pPr>
              <w:spacing w:after="0" w:line="240" w:lineRule="auto"/>
            </w:pPr>
            <w:r w:rsidRPr="00BE360D">
              <w:t>In the CCMIS database, Investor/Developer CRE is defined the following way:</w:t>
            </w:r>
          </w:p>
          <w:p w:rsidR="00DF4CEA" w:rsidRDefault="00DF4CEA" w:rsidP="00DF4CEA">
            <w:pPr>
              <w:pStyle w:val="ListParagraph"/>
              <w:numPr>
                <w:ilvl w:val="0"/>
                <w:numId w:val="27"/>
              </w:numPr>
              <w:spacing w:after="0" w:line="240" w:lineRule="auto"/>
            </w:pPr>
            <w:r>
              <w:lastRenderedPageBreak/>
              <w:t>Utilizing the Concentration Detail Expanded table Sum Binding Exposure where:</w:t>
            </w:r>
          </w:p>
          <w:p w:rsidR="00DF4CEA" w:rsidRPr="00BE360D" w:rsidRDefault="00DF4CEA" w:rsidP="00DF4CEA">
            <w:pPr>
              <w:pStyle w:val="ListParagraph"/>
              <w:numPr>
                <w:ilvl w:val="0"/>
                <w:numId w:val="28"/>
              </w:numPr>
              <w:spacing w:after="0" w:line="240" w:lineRule="auto"/>
            </w:pPr>
            <w:r w:rsidRPr="00BE360D">
              <w:t>Segment = “CRE” or “SREC” or “CCRC”</w:t>
            </w:r>
          </w:p>
          <w:p w:rsidR="00DF4CEA" w:rsidRPr="00BE360D" w:rsidRDefault="00DF4CEA" w:rsidP="00DF4CEA">
            <w:pPr>
              <w:pStyle w:val="ListParagraph"/>
              <w:numPr>
                <w:ilvl w:val="0"/>
                <w:numId w:val="28"/>
              </w:numPr>
              <w:spacing w:after="0" w:line="240" w:lineRule="auto"/>
            </w:pPr>
            <w:r w:rsidRPr="00BE360D">
              <w:t xml:space="preserve">Or, GL Category = “CRE” or “Multi” and Investor Classification &lt;&gt; “Owner Occupied RE” </w:t>
            </w:r>
          </w:p>
          <w:p w:rsidR="00DF4CEA" w:rsidRPr="00BE360D" w:rsidRDefault="00DF4CEA" w:rsidP="00DF4CEA">
            <w:pPr>
              <w:spacing w:after="0" w:line="240" w:lineRule="auto"/>
              <w:ind w:left="360"/>
            </w:pPr>
            <w:r>
              <w:t>and</w:t>
            </w:r>
          </w:p>
          <w:p w:rsidR="00DF4CEA" w:rsidRPr="00BE360D" w:rsidRDefault="00DF4CEA" w:rsidP="00DF4CEA">
            <w:pPr>
              <w:pStyle w:val="ListParagraph"/>
              <w:numPr>
                <w:ilvl w:val="0"/>
                <w:numId w:val="28"/>
              </w:numPr>
              <w:spacing w:after="0" w:line="240" w:lineRule="auto"/>
            </w:pPr>
            <w:r w:rsidRPr="00BE360D">
              <w:t xml:space="preserve">Retype </w:t>
            </w:r>
            <w:r>
              <w:t>=</w:t>
            </w:r>
            <w:r w:rsidRPr="00BE360D">
              <w:t xml:space="preserve"> Multifamily</w:t>
            </w:r>
          </w:p>
          <w:p w:rsidR="00DF4CEA" w:rsidRPr="00C72D48" w:rsidRDefault="00DF4CEA" w:rsidP="00DF4CEA">
            <w:pPr>
              <w:pStyle w:val="ListParagraph"/>
              <w:numPr>
                <w:ilvl w:val="0"/>
                <w:numId w:val="27"/>
              </w:numPr>
              <w:spacing w:after="0" w:line="240" w:lineRule="auto"/>
              <w:rPr>
                <w:bCs/>
                <w:iCs/>
              </w:rPr>
            </w:pPr>
            <w:r w:rsidRPr="0095495D">
              <w:rPr>
                <w:bCs/>
                <w:iCs/>
              </w:rPr>
              <w:t>Note, PFE is not currently included as the calibration of limits did not take PFE into consideration</w:t>
            </w:r>
          </w:p>
        </w:tc>
      </w:tr>
    </w:tbl>
    <w:p w:rsidR="00717B77" w:rsidRPr="00717B77" w:rsidRDefault="00717B77" w:rsidP="00717B77"/>
    <w:p w:rsidR="00717B77" w:rsidRPr="003C7E77" w:rsidRDefault="00717B77" w:rsidP="00717B77">
      <w:pPr>
        <w:pStyle w:val="ListParagraph"/>
        <w:numPr>
          <w:ilvl w:val="1"/>
          <w:numId w:val="1"/>
        </w:numPr>
        <w:rPr>
          <w:b/>
          <w:sz w:val="24"/>
        </w:rPr>
      </w:pPr>
      <w:r w:rsidRPr="003C7E77">
        <w:rPr>
          <w:b/>
          <w:sz w:val="24"/>
        </w:rPr>
        <w:t>SCUSA sub-prime assets over SHUSA Net Credit Exposure</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trHeight w:val="261"/>
        </w:trPr>
        <w:tc>
          <w:tcPr>
            <w:tcW w:w="1728" w:type="dxa"/>
            <w:shd w:val="clear" w:color="auto" w:fill="auto"/>
          </w:tcPr>
          <w:p w:rsidR="00C16CCA" w:rsidRPr="00206D41" w:rsidRDefault="00C16CCA" w:rsidP="001D0D9A">
            <w:pPr>
              <w:rPr>
                <w:b/>
                <w:bCs/>
                <w:iCs/>
              </w:rPr>
            </w:pPr>
            <w:r>
              <w:rPr>
                <w:b/>
                <w:bCs/>
                <w:iCs/>
              </w:rPr>
              <w:t>DEFINITION</w:t>
            </w:r>
          </w:p>
        </w:tc>
        <w:tc>
          <w:tcPr>
            <w:tcW w:w="7470" w:type="dxa"/>
            <w:gridSpan w:val="3"/>
            <w:shd w:val="clear" w:color="auto" w:fill="auto"/>
          </w:tcPr>
          <w:p w:rsidR="00C16CCA" w:rsidRPr="00206D41" w:rsidRDefault="00C16CCA" w:rsidP="001D0D9A">
            <w:pPr>
              <w:spacing w:after="0" w:line="240" w:lineRule="auto"/>
              <w:rPr>
                <w:bCs/>
                <w:iCs/>
              </w:rPr>
            </w:pPr>
            <w:r>
              <w:rPr>
                <w:bCs/>
                <w:iCs/>
              </w:rPr>
              <w:t>The concentration</w:t>
            </w:r>
            <w:r w:rsidRPr="00206D41">
              <w:rPr>
                <w:bCs/>
                <w:iCs/>
              </w:rPr>
              <w:t xml:space="preserve"> of </w:t>
            </w:r>
            <w:r>
              <w:rPr>
                <w:bCs/>
                <w:iCs/>
              </w:rPr>
              <w:t xml:space="preserve">sub-prime </w:t>
            </w:r>
            <w:r w:rsidRPr="00206D41">
              <w:rPr>
                <w:bCs/>
                <w:iCs/>
              </w:rPr>
              <w:t>SC</w:t>
            </w:r>
            <w:r>
              <w:rPr>
                <w:bCs/>
                <w:iCs/>
              </w:rPr>
              <w:t xml:space="preserve"> assets</w:t>
            </w:r>
            <w:r w:rsidRPr="00206D41">
              <w:rPr>
                <w:bCs/>
                <w:iCs/>
              </w:rPr>
              <w:t xml:space="preserve"> as a % of total SHUSA consolidated </w:t>
            </w:r>
            <w:r>
              <w:rPr>
                <w:bCs/>
                <w:iCs/>
              </w:rPr>
              <w:t>credit exposure</w:t>
            </w:r>
          </w:p>
        </w:tc>
      </w:tr>
      <w:tr w:rsidR="00713D83" w:rsidRPr="00206D41" w:rsidTr="001D0D9A">
        <w:trPr>
          <w:trHeight w:val="350"/>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r w:rsidR="003C7E77">
              <w:rPr>
                <w:bCs/>
                <w:iCs/>
              </w:rPr>
              <w:t xml:space="preserve"> </w:t>
            </w:r>
          </w:p>
        </w:tc>
      </w:tr>
      <w:tr w:rsidR="00C16CCA" w:rsidRPr="00206D41" w:rsidTr="001D0D9A">
        <w:trPr>
          <w:trHeight w:val="255"/>
        </w:trPr>
        <w:tc>
          <w:tcPr>
            <w:tcW w:w="1728" w:type="dxa"/>
            <w:vMerge w:val="restart"/>
            <w:shd w:val="clear" w:color="auto" w:fill="auto"/>
          </w:tcPr>
          <w:p w:rsidR="00C16CCA" w:rsidRPr="00206D41" w:rsidRDefault="00C16CCA" w:rsidP="001D0D9A">
            <w:pPr>
              <w:rPr>
                <w:b/>
                <w:bCs/>
                <w:iCs/>
              </w:rPr>
            </w:pPr>
            <w:r>
              <w:rPr>
                <w:b/>
                <w:bCs/>
                <w:iCs/>
              </w:rPr>
              <w:t>ENTITY</w:t>
            </w:r>
          </w:p>
        </w:tc>
        <w:tc>
          <w:tcPr>
            <w:tcW w:w="2490" w:type="dxa"/>
            <w:shd w:val="clear" w:color="auto" w:fill="auto"/>
          </w:tcPr>
          <w:p w:rsidR="00C16CCA" w:rsidRPr="00CE7334" w:rsidRDefault="00C16CCA" w:rsidP="001D0D9A">
            <w:pPr>
              <w:spacing w:after="0" w:line="240" w:lineRule="auto"/>
              <w:rPr>
                <w:b/>
                <w:bCs/>
                <w:iCs/>
              </w:rPr>
            </w:pPr>
            <w:r w:rsidRPr="00CE7334">
              <w:rPr>
                <w:b/>
                <w:bCs/>
                <w:iCs/>
              </w:rPr>
              <w:t>SHUSA</w:t>
            </w:r>
          </w:p>
        </w:tc>
        <w:tc>
          <w:tcPr>
            <w:tcW w:w="2490" w:type="dxa"/>
            <w:shd w:val="clear" w:color="auto" w:fill="auto"/>
          </w:tcPr>
          <w:p w:rsidR="00C16CCA" w:rsidRPr="00CE7334" w:rsidRDefault="00C16CCA" w:rsidP="001D0D9A">
            <w:pPr>
              <w:spacing w:after="0" w:line="240" w:lineRule="auto"/>
              <w:rPr>
                <w:b/>
                <w:bCs/>
                <w:iCs/>
              </w:rPr>
            </w:pPr>
            <w:r w:rsidRPr="00CE7334">
              <w:rPr>
                <w:b/>
                <w:bCs/>
                <w:iCs/>
              </w:rPr>
              <w:t>SBNA</w:t>
            </w:r>
          </w:p>
        </w:tc>
        <w:tc>
          <w:tcPr>
            <w:tcW w:w="2490" w:type="dxa"/>
            <w:shd w:val="clear" w:color="auto" w:fill="auto"/>
          </w:tcPr>
          <w:p w:rsidR="00C16CCA" w:rsidRPr="00CE7334" w:rsidRDefault="00C16CCA" w:rsidP="001D0D9A">
            <w:pPr>
              <w:spacing w:after="0" w:line="240" w:lineRule="auto"/>
              <w:rPr>
                <w:b/>
                <w:bCs/>
                <w:iCs/>
              </w:rPr>
            </w:pPr>
            <w:r w:rsidRPr="00CE7334">
              <w:rPr>
                <w:b/>
                <w:bCs/>
                <w:iCs/>
              </w:rPr>
              <w:t>SC</w:t>
            </w:r>
          </w:p>
        </w:tc>
      </w:tr>
      <w:tr w:rsidR="00C16CCA" w:rsidRPr="00206D41" w:rsidTr="001D0D9A">
        <w:trPr>
          <w:trHeight w:val="255"/>
        </w:trPr>
        <w:tc>
          <w:tcPr>
            <w:tcW w:w="1728" w:type="dxa"/>
            <w:vMerge/>
            <w:shd w:val="clear" w:color="auto" w:fill="auto"/>
          </w:tcPr>
          <w:p w:rsidR="00C16CCA"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Yes</w:t>
            </w:r>
          </w:p>
        </w:tc>
        <w:tc>
          <w:tcPr>
            <w:tcW w:w="2490" w:type="dxa"/>
            <w:shd w:val="clear" w:color="auto" w:fill="auto"/>
          </w:tcPr>
          <w:p w:rsidR="00C16CCA" w:rsidRPr="00206D41" w:rsidRDefault="00C16CCA" w:rsidP="001D0D9A">
            <w:pPr>
              <w:spacing w:after="0" w:line="240" w:lineRule="auto"/>
              <w:rPr>
                <w:bCs/>
                <w:iCs/>
              </w:rPr>
            </w:pPr>
            <w:r>
              <w:rPr>
                <w:bCs/>
                <w:iCs/>
              </w:rPr>
              <w:t>N/A</w:t>
            </w:r>
          </w:p>
        </w:tc>
        <w:tc>
          <w:tcPr>
            <w:tcW w:w="2490" w:type="dxa"/>
            <w:shd w:val="clear" w:color="auto" w:fill="auto"/>
          </w:tcPr>
          <w:p w:rsidR="00C16CCA" w:rsidRPr="00206D41" w:rsidRDefault="00C16CCA" w:rsidP="001D0D9A">
            <w:pPr>
              <w:spacing w:after="0" w:line="240" w:lineRule="auto"/>
              <w:rPr>
                <w:bCs/>
                <w:iCs/>
              </w:rPr>
            </w:pPr>
            <w:r>
              <w:rPr>
                <w:bCs/>
                <w:iCs/>
              </w:rPr>
              <w:t>Yes</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METRIC OWNER</w:t>
            </w:r>
          </w:p>
        </w:tc>
        <w:tc>
          <w:tcPr>
            <w:tcW w:w="2490" w:type="dxa"/>
            <w:shd w:val="clear" w:color="auto" w:fill="auto"/>
          </w:tcPr>
          <w:p w:rsidR="00C16CCA" w:rsidRPr="00CE7334" w:rsidRDefault="00C16CCA" w:rsidP="001D0D9A">
            <w:pPr>
              <w:spacing w:after="0" w:line="240" w:lineRule="auto"/>
              <w:rPr>
                <w:b/>
                <w:bCs/>
                <w:iCs/>
              </w:rPr>
            </w:pPr>
            <w:r w:rsidRPr="00CE7334">
              <w:rPr>
                <w:b/>
                <w:bCs/>
                <w:iCs/>
              </w:rPr>
              <w:t>SHUSA</w:t>
            </w:r>
          </w:p>
        </w:tc>
        <w:tc>
          <w:tcPr>
            <w:tcW w:w="2490" w:type="dxa"/>
            <w:shd w:val="clear" w:color="auto" w:fill="auto"/>
          </w:tcPr>
          <w:p w:rsidR="00C16CCA" w:rsidRPr="00CE7334" w:rsidRDefault="00C16CCA" w:rsidP="001D0D9A">
            <w:pPr>
              <w:spacing w:after="0" w:line="240" w:lineRule="auto"/>
              <w:rPr>
                <w:b/>
                <w:bCs/>
                <w:iCs/>
              </w:rPr>
            </w:pPr>
            <w:r w:rsidRPr="00CE7334">
              <w:rPr>
                <w:b/>
                <w:bCs/>
                <w:iCs/>
              </w:rPr>
              <w:t>SBNA</w:t>
            </w:r>
          </w:p>
        </w:tc>
        <w:tc>
          <w:tcPr>
            <w:tcW w:w="2490" w:type="dxa"/>
            <w:shd w:val="clear" w:color="auto" w:fill="auto"/>
          </w:tcPr>
          <w:p w:rsidR="00C16CCA" w:rsidRPr="00CE7334" w:rsidRDefault="00C16CCA" w:rsidP="001D0D9A">
            <w:pPr>
              <w:spacing w:after="0" w:line="240" w:lineRule="auto"/>
              <w:rPr>
                <w:b/>
                <w:bCs/>
                <w:iCs/>
              </w:rPr>
            </w:pPr>
            <w:r w:rsidRPr="00CE7334">
              <w:rPr>
                <w:b/>
                <w:bCs/>
                <w:iCs/>
              </w:rPr>
              <w:t>SC</w:t>
            </w:r>
          </w:p>
        </w:tc>
      </w:tr>
      <w:tr w:rsidR="00C16CCA" w:rsidRPr="00206D41" w:rsidTr="001D0D9A">
        <w:trPr>
          <w:trHeight w:val="252"/>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206D41" w:rsidRDefault="00C16CCA" w:rsidP="001D0D9A">
            <w:pPr>
              <w:tabs>
                <w:tab w:val="center" w:pos="972"/>
              </w:tabs>
              <w:spacing w:after="0" w:line="240" w:lineRule="auto"/>
              <w:rPr>
                <w:bCs/>
                <w:iCs/>
              </w:rPr>
            </w:pPr>
            <w:r>
              <w:rPr>
                <w:bCs/>
                <w:iCs/>
              </w:rPr>
              <w:t>SHUSA Finance</w:t>
            </w:r>
          </w:p>
        </w:tc>
        <w:tc>
          <w:tcPr>
            <w:tcW w:w="2490" w:type="dxa"/>
            <w:shd w:val="clear" w:color="auto" w:fill="auto"/>
          </w:tcPr>
          <w:p w:rsidR="00C16CCA" w:rsidRPr="00206D41" w:rsidRDefault="00C16CCA" w:rsidP="001D0D9A">
            <w:pPr>
              <w:spacing w:after="0" w:line="240" w:lineRule="auto"/>
              <w:rPr>
                <w:bCs/>
                <w:iCs/>
              </w:rPr>
            </w:pPr>
            <w:r w:rsidRPr="00206D41">
              <w:rPr>
                <w:bCs/>
                <w:iCs/>
              </w:rPr>
              <w:t>N/A</w:t>
            </w:r>
          </w:p>
        </w:tc>
        <w:tc>
          <w:tcPr>
            <w:tcW w:w="2490" w:type="dxa"/>
            <w:shd w:val="clear" w:color="auto" w:fill="auto"/>
          </w:tcPr>
          <w:p w:rsidR="00C16CCA" w:rsidRPr="00206D41" w:rsidRDefault="00C16CCA" w:rsidP="001D0D9A">
            <w:pPr>
              <w:spacing w:after="0" w:line="240" w:lineRule="auto"/>
              <w:rPr>
                <w:bCs/>
                <w:iCs/>
              </w:rPr>
            </w:pPr>
            <w:r>
              <w:rPr>
                <w:bCs/>
                <w:iCs/>
              </w:rPr>
              <w:t>SC Heads of Business</w:t>
            </w:r>
          </w:p>
        </w:tc>
      </w:tr>
      <w:tr w:rsidR="00C16CCA" w:rsidRPr="00206D41" w:rsidTr="001D0D9A">
        <w:trPr>
          <w:cantSplit/>
          <w:trHeight w:val="360"/>
        </w:trPr>
        <w:tc>
          <w:tcPr>
            <w:tcW w:w="1728" w:type="dxa"/>
            <w:shd w:val="clear" w:color="auto" w:fill="auto"/>
          </w:tcPr>
          <w:p w:rsidR="00C16CCA" w:rsidRPr="00206D41" w:rsidRDefault="00C16CCA" w:rsidP="001D0D9A">
            <w:pPr>
              <w:ind w:left="-60"/>
              <w:rPr>
                <w:b/>
                <w:bCs/>
                <w:iCs/>
              </w:rPr>
            </w:pPr>
            <w:r>
              <w:rPr>
                <w:b/>
                <w:bCs/>
                <w:iCs/>
              </w:rPr>
              <w:t>TRIGGER AND LIMIT SETTING</w:t>
            </w:r>
          </w:p>
        </w:tc>
        <w:tc>
          <w:tcPr>
            <w:tcW w:w="7470" w:type="dxa"/>
            <w:gridSpan w:val="3"/>
            <w:shd w:val="clear" w:color="auto" w:fill="auto"/>
          </w:tcPr>
          <w:p w:rsidR="00C16CCA" w:rsidRDefault="00C16CCA" w:rsidP="001D0D9A">
            <w:pPr>
              <w:spacing w:after="0" w:line="240" w:lineRule="auto"/>
              <w:rPr>
                <w:bCs/>
                <w:iCs/>
              </w:rPr>
            </w:pPr>
            <w:r w:rsidRPr="002911D0">
              <w:rPr>
                <w:bCs/>
                <w:iCs/>
              </w:rPr>
              <w:t>Due to the large sub-prime exposure at SC, SHUSA’s management chose to set a limit for the maximum amount of sub-prime exposure on the SHUSA balance sheet, as nearly all of SHUSA’s sub-prime exposure is in SC</w:t>
            </w:r>
            <w:r>
              <w:rPr>
                <w:bCs/>
                <w:iCs/>
              </w:rPr>
              <w:t>.</w:t>
            </w:r>
          </w:p>
          <w:p w:rsidR="00C16CCA" w:rsidRPr="002911D0" w:rsidRDefault="00C16CCA" w:rsidP="001D0D9A">
            <w:pPr>
              <w:spacing w:after="0" w:line="240" w:lineRule="auto"/>
              <w:rPr>
                <w:bCs/>
                <w:iCs/>
              </w:rPr>
            </w:pPr>
          </w:p>
          <w:p w:rsidR="00C16CCA" w:rsidRDefault="00C16CCA" w:rsidP="00C16CCA">
            <w:pPr>
              <w:pStyle w:val="ListParagraph"/>
              <w:numPr>
                <w:ilvl w:val="0"/>
                <w:numId w:val="9"/>
              </w:numPr>
              <w:spacing w:after="0" w:line="240" w:lineRule="auto"/>
              <w:rPr>
                <w:bCs/>
                <w:iCs/>
              </w:rPr>
            </w:pPr>
            <w:r w:rsidRPr="002911D0">
              <w:rPr>
                <w:bCs/>
                <w:iCs/>
              </w:rPr>
              <w:t>The amber trigger of 23% establishes an early warning indicator that</w:t>
            </w:r>
            <w:r>
              <w:rPr>
                <w:bCs/>
                <w:iCs/>
              </w:rPr>
              <w:t xml:space="preserve"> allows for management actions to control the sub-prime exposure growth;</w:t>
            </w:r>
          </w:p>
          <w:p w:rsidR="00C16CCA" w:rsidRPr="00E2205B" w:rsidRDefault="00C16CCA" w:rsidP="00C16CCA">
            <w:pPr>
              <w:pStyle w:val="ListParagraph"/>
              <w:numPr>
                <w:ilvl w:val="0"/>
                <w:numId w:val="9"/>
              </w:numPr>
              <w:spacing w:after="0" w:line="240" w:lineRule="auto"/>
              <w:rPr>
                <w:bCs/>
                <w:iCs/>
              </w:rPr>
            </w:pPr>
            <w:r w:rsidRPr="002911D0">
              <w:rPr>
                <w:bCs/>
                <w:iCs/>
              </w:rPr>
              <w:t>A red limit of 25% was set by management as it aligns with Rating Agencies’ expectations and is benchmarked against competitors’ positions</w:t>
            </w:r>
            <w:r>
              <w:rPr>
                <w:bCs/>
                <w:iCs/>
              </w:rPr>
              <w:t>.</w:t>
            </w:r>
          </w:p>
        </w:tc>
      </w:tr>
      <w:tr w:rsidR="00C16CCA" w:rsidRPr="00206D41" w:rsidTr="001D0D9A">
        <w:trPr>
          <w:trHeight w:val="306"/>
        </w:trPr>
        <w:tc>
          <w:tcPr>
            <w:tcW w:w="1728" w:type="dxa"/>
            <w:shd w:val="clear" w:color="auto" w:fill="auto"/>
          </w:tcPr>
          <w:p w:rsidR="00C16CCA" w:rsidRPr="00206D41" w:rsidRDefault="00C16CCA" w:rsidP="001D0D9A">
            <w:pPr>
              <w:ind w:left="-60"/>
              <w:rPr>
                <w:b/>
                <w:bCs/>
                <w:iCs/>
              </w:rPr>
            </w:pPr>
            <w:r>
              <w:rPr>
                <w:b/>
                <w:bCs/>
                <w:iCs/>
              </w:rPr>
              <w:t xml:space="preserve">TESTING </w:t>
            </w:r>
            <w:r w:rsidRPr="00206D41">
              <w:rPr>
                <w:b/>
                <w:bCs/>
                <w:iCs/>
              </w:rPr>
              <w:t>FREQUENCY</w:t>
            </w:r>
          </w:p>
        </w:tc>
        <w:tc>
          <w:tcPr>
            <w:tcW w:w="7470" w:type="dxa"/>
            <w:gridSpan w:val="3"/>
            <w:shd w:val="clear" w:color="auto" w:fill="auto"/>
          </w:tcPr>
          <w:p w:rsidR="00C16CCA" w:rsidRDefault="00C16CCA" w:rsidP="001D0D9A">
            <w:pPr>
              <w:spacing w:after="0" w:line="240" w:lineRule="auto"/>
            </w:pPr>
            <w:r w:rsidRPr="00206D41">
              <w:t>Monthly</w:t>
            </w:r>
          </w:p>
          <w:p w:rsidR="00C16CCA" w:rsidRDefault="00C16CCA" w:rsidP="001D0D9A">
            <w:pPr>
              <w:spacing w:after="0" w:line="240" w:lineRule="auto"/>
              <w:rPr>
                <w:bCs/>
                <w:iCs/>
              </w:rPr>
            </w:pPr>
            <w:r>
              <w:rPr>
                <w:bCs/>
                <w:iCs/>
              </w:rPr>
              <w:t>The percentage of SC’s sub-prime assets to SHUSA’s total credit exposure:</w:t>
            </w:r>
          </w:p>
          <w:p w:rsidR="00C16CCA" w:rsidRPr="00E10943" w:rsidRDefault="00C16CCA" w:rsidP="001D0D9A">
            <w:pPr>
              <w:spacing w:after="0" w:line="240" w:lineRule="auto"/>
              <w:rPr>
                <w:bCs/>
                <w:iCs/>
              </w:rPr>
            </w:pPr>
          </w:p>
          <w:p w:rsidR="00C16CCA" w:rsidRPr="00E10943" w:rsidRDefault="00ED1FF6" w:rsidP="001D0D9A">
            <w:pPr>
              <w:spacing w:after="0" w:line="240" w:lineRule="auto"/>
              <w:rPr>
                <w:bCs/>
                <w:iCs/>
              </w:rPr>
            </w:pPr>
            <m:oMathPara>
              <m:oMath>
                <m:f>
                  <m:fPr>
                    <m:ctrlPr>
                      <w:rPr>
                        <w:rFonts w:ascii="Cambria Math" w:hAnsi="Cambria Math"/>
                        <w:bCs/>
                        <w:iCs/>
                      </w:rPr>
                    </m:ctrlPr>
                  </m:fPr>
                  <m:num>
                    <m:r>
                      <m:rPr>
                        <m:sty m:val="p"/>
                      </m:rPr>
                      <w:rPr>
                        <w:rFonts w:ascii="Cambria Math" w:hAnsi="Cambria Math"/>
                      </w:rPr>
                      <m:t>SC non-lease subprime assets</m:t>
                    </m:r>
                  </m:num>
                  <m:den>
                    <m:r>
                      <m:rPr>
                        <m:sty m:val="p"/>
                      </m:rPr>
                      <w:rPr>
                        <w:rFonts w:ascii="Cambria Math" w:hAnsi="Cambria Math"/>
                      </w:rPr>
                      <m:t>Total SHUSA credit exposure, excluding leases</m:t>
                    </m:r>
                  </m:den>
                </m:f>
              </m:oMath>
            </m:oMathPara>
          </w:p>
          <w:p w:rsidR="00C16CCA" w:rsidRDefault="00C16CCA" w:rsidP="001D0D9A">
            <w:pPr>
              <w:spacing w:after="0" w:line="240" w:lineRule="auto"/>
              <w:rPr>
                <w:bCs/>
                <w:iCs/>
              </w:rPr>
            </w:pPr>
          </w:p>
          <w:p w:rsidR="00C16CCA" w:rsidRDefault="00C16CCA" w:rsidP="001D0D9A">
            <w:pPr>
              <w:spacing w:after="0" w:line="240" w:lineRule="auto"/>
              <w:rPr>
                <w:bCs/>
                <w:iCs/>
              </w:rPr>
            </w:pPr>
            <w:r w:rsidRPr="00E10943">
              <w:rPr>
                <w:bCs/>
                <w:iCs/>
              </w:rPr>
              <w:t>Sub-prime assets are defined as having either a FICO score below 630 or no FICO score – excluding assets without a FICO score but classified as Commercial Fleet Retail and Chrysler Commercial Fleet Lease</w:t>
            </w:r>
            <w:r>
              <w:rPr>
                <w:bCs/>
                <w:iCs/>
              </w:rPr>
              <w:t>, Chrysler Lease, UBER Lease, wholesale and dealer lending and revolving facility – “Drive time”.</w:t>
            </w:r>
          </w:p>
          <w:p w:rsidR="00C16CCA" w:rsidRDefault="00C16CCA" w:rsidP="001D0D9A">
            <w:pPr>
              <w:spacing w:after="0" w:line="240" w:lineRule="auto"/>
              <w:rPr>
                <w:bCs/>
                <w:iCs/>
              </w:rPr>
            </w:pPr>
          </w:p>
          <w:p w:rsidR="00C16CCA" w:rsidRPr="002911D0" w:rsidRDefault="00C16CCA" w:rsidP="001D0D9A">
            <w:pPr>
              <w:spacing w:after="0" w:line="240" w:lineRule="auto"/>
              <w:rPr>
                <w:bCs/>
                <w:iCs/>
              </w:rPr>
            </w:pPr>
            <w:r w:rsidRPr="002911D0">
              <w:rPr>
                <w:bCs/>
                <w:iCs/>
              </w:rPr>
              <w:t xml:space="preserve">Total SHUSA Credit Exposure  (excludes leases) is defined as the sum of: </w:t>
            </w:r>
          </w:p>
          <w:p w:rsidR="00C16CCA" w:rsidRPr="002911D0" w:rsidRDefault="00C16CCA" w:rsidP="00C16CCA">
            <w:pPr>
              <w:pStyle w:val="ListParagraph"/>
              <w:numPr>
                <w:ilvl w:val="0"/>
                <w:numId w:val="9"/>
              </w:numPr>
              <w:spacing w:after="0" w:line="240" w:lineRule="auto"/>
              <w:rPr>
                <w:bCs/>
                <w:iCs/>
              </w:rPr>
            </w:pPr>
            <w:r w:rsidRPr="002911D0">
              <w:rPr>
                <w:bCs/>
                <w:iCs/>
              </w:rPr>
              <w:t xml:space="preserve">Committed facilities (drawn and undrawn)  </w:t>
            </w:r>
          </w:p>
          <w:p w:rsidR="00C16CCA" w:rsidRPr="002911D0" w:rsidRDefault="00C16CCA" w:rsidP="00C16CCA">
            <w:pPr>
              <w:pStyle w:val="ListParagraph"/>
              <w:numPr>
                <w:ilvl w:val="0"/>
                <w:numId w:val="9"/>
              </w:numPr>
              <w:spacing w:after="0" w:line="240" w:lineRule="auto"/>
              <w:rPr>
                <w:bCs/>
                <w:iCs/>
              </w:rPr>
            </w:pPr>
            <w:r w:rsidRPr="002911D0">
              <w:rPr>
                <w:bCs/>
                <w:iCs/>
              </w:rPr>
              <w:t xml:space="preserve">Drawn balances under uncommitted facilities  </w:t>
            </w:r>
          </w:p>
          <w:p w:rsidR="00C16CCA" w:rsidRPr="002911D0" w:rsidRDefault="00C16CCA" w:rsidP="00C16CCA">
            <w:pPr>
              <w:pStyle w:val="ListParagraph"/>
              <w:numPr>
                <w:ilvl w:val="0"/>
                <w:numId w:val="9"/>
              </w:numPr>
              <w:spacing w:after="0" w:line="240" w:lineRule="auto"/>
              <w:rPr>
                <w:bCs/>
                <w:iCs/>
              </w:rPr>
            </w:pPr>
            <w:r w:rsidRPr="002911D0">
              <w:rPr>
                <w:bCs/>
                <w:iCs/>
              </w:rPr>
              <w:t xml:space="preserve">Off balance sheet items (e.g. Letters of Credit)  </w:t>
            </w:r>
          </w:p>
          <w:p w:rsidR="00C16CCA" w:rsidRPr="00E2205B" w:rsidRDefault="00C16CCA" w:rsidP="00C16CCA">
            <w:pPr>
              <w:pStyle w:val="ListParagraph"/>
              <w:numPr>
                <w:ilvl w:val="0"/>
                <w:numId w:val="9"/>
              </w:numPr>
              <w:spacing w:after="0" w:line="240" w:lineRule="auto"/>
              <w:rPr>
                <w:bCs/>
                <w:iCs/>
              </w:rPr>
            </w:pPr>
            <w:proofErr w:type="gramStart"/>
            <w:r w:rsidRPr="002911D0">
              <w:rPr>
                <w:bCs/>
                <w:iCs/>
              </w:rPr>
              <w:t>PFE  (</w:t>
            </w:r>
            <w:proofErr w:type="gramEnd"/>
            <w:r w:rsidRPr="002911D0">
              <w:rPr>
                <w:bCs/>
                <w:iCs/>
              </w:rPr>
              <w:t xml:space="preserve">“REC”) for derivatives. </w:t>
            </w:r>
          </w:p>
        </w:tc>
      </w:tr>
      <w:tr w:rsidR="00C16CCA" w:rsidRPr="00206D41" w:rsidTr="001D0D9A">
        <w:trPr>
          <w:trHeight w:val="525"/>
        </w:trPr>
        <w:tc>
          <w:tcPr>
            <w:tcW w:w="1728" w:type="dxa"/>
            <w:shd w:val="clear" w:color="auto" w:fill="auto"/>
          </w:tcPr>
          <w:p w:rsidR="00C16CCA" w:rsidRPr="00206D41" w:rsidRDefault="00C16CCA" w:rsidP="001D0D9A">
            <w:pPr>
              <w:rPr>
                <w:b/>
                <w:bCs/>
                <w:iCs/>
              </w:rPr>
            </w:pPr>
            <w:r w:rsidRPr="00206D41">
              <w:rPr>
                <w:b/>
                <w:bCs/>
                <w:iCs/>
              </w:rPr>
              <w:lastRenderedPageBreak/>
              <w:t>SOURCE OF INFORMATION</w:t>
            </w:r>
          </w:p>
        </w:tc>
        <w:tc>
          <w:tcPr>
            <w:tcW w:w="7470" w:type="dxa"/>
            <w:gridSpan w:val="3"/>
            <w:shd w:val="clear" w:color="auto" w:fill="auto"/>
          </w:tcPr>
          <w:p w:rsidR="00C16CCA" w:rsidRDefault="00C16CCA" w:rsidP="001D0D9A">
            <w:pPr>
              <w:spacing w:after="0" w:line="240" w:lineRule="auto"/>
              <w:rPr>
                <w:bCs/>
                <w:iCs/>
              </w:rPr>
            </w:pPr>
            <w:r>
              <w:rPr>
                <w:bCs/>
                <w:iCs/>
              </w:rPr>
              <w:t xml:space="preserve">SC Subprime exposure: </w:t>
            </w:r>
            <w:r>
              <w:rPr>
                <w:iCs/>
              </w:rPr>
              <w:t xml:space="preserve">Director of Liquidity Risk is responsible for production of metric. </w:t>
            </w:r>
            <w:r>
              <w:rPr>
                <w:bCs/>
                <w:iCs/>
              </w:rPr>
              <w:t>SC Subprime Asset details are collected from the Credit MIS team and then sent to SHUSA for completion of this metric.</w:t>
            </w:r>
          </w:p>
          <w:p w:rsidR="00C16CCA" w:rsidRDefault="00C16CCA" w:rsidP="001D0D9A">
            <w:pPr>
              <w:spacing w:after="0" w:line="240" w:lineRule="auto"/>
              <w:rPr>
                <w:bCs/>
                <w:iCs/>
              </w:rPr>
            </w:pPr>
          </w:p>
          <w:p w:rsidR="00C16CCA" w:rsidRPr="00206D41" w:rsidRDefault="00C16CCA" w:rsidP="001D0D9A">
            <w:pPr>
              <w:spacing w:after="0" w:line="240" w:lineRule="auto"/>
              <w:rPr>
                <w:bCs/>
                <w:iCs/>
              </w:rPr>
            </w:pPr>
            <w:r>
              <w:rPr>
                <w:bCs/>
                <w:iCs/>
              </w:rPr>
              <w:t xml:space="preserve">SHUSA Total Exposure: </w:t>
            </w:r>
            <w:r w:rsidRPr="00B8692E">
              <w:rPr>
                <w:bCs/>
                <w:iCs/>
              </w:rPr>
              <w:t xml:space="preserve">SBNA uses the GL + Unfunded exposure in CCMIS to generate Total Exposure and from there we receive the figure from the Solvency team in an Excel file titled “SBNA </w:t>
            </w:r>
            <w:proofErr w:type="spellStart"/>
            <w:r w:rsidRPr="00B8692E">
              <w:rPr>
                <w:bCs/>
                <w:iCs/>
              </w:rPr>
              <w:t>Credit_Template</w:t>
            </w:r>
            <w:proofErr w:type="spellEnd"/>
            <w:r w:rsidRPr="00B8692E">
              <w:rPr>
                <w:bCs/>
                <w:iCs/>
              </w:rPr>
              <w:t xml:space="preserve">” on a monthly </w:t>
            </w:r>
            <w:r w:rsidRPr="00602C3A">
              <w:rPr>
                <w:bCs/>
                <w:iCs/>
              </w:rPr>
              <w:t>basis. SC exposure: The sum of Current Legal Balance Amount, Total Letter of Credit Issued Amount and Credit Availability Amount, In deals participated with other financial institutions, this amount is based on the Santander only portion of the deal</w:t>
            </w:r>
            <w:r>
              <w:rPr>
                <w:bCs/>
                <w:iCs/>
              </w:rPr>
              <w:t xml:space="preserve"> sourced from </w:t>
            </w:r>
            <w:proofErr w:type="spellStart"/>
            <w:r w:rsidRPr="00602C3A">
              <w:rPr>
                <w:bCs/>
                <w:iCs/>
              </w:rPr>
              <w:t>SQLPrdDataWarehouse</w:t>
            </w:r>
            <w:proofErr w:type="spellEnd"/>
            <w:r>
              <w:rPr>
                <w:bCs/>
                <w:iCs/>
              </w:rPr>
              <w:t xml:space="preserve">, table: </w:t>
            </w:r>
            <w:proofErr w:type="spellStart"/>
            <w:r w:rsidRPr="00602C3A">
              <w:rPr>
                <w:bCs/>
                <w:iCs/>
              </w:rPr>
              <w:t>Vw_Loan_Finance_Month_Fact</w:t>
            </w:r>
            <w:proofErr w:type="spellEnd"/>
            <w:r>
              <w:rPr>
                <w:bCs/>
                <w:iCs/>
              </w:rPr>
              <w:t xml:space="preserve"> </w:t>
            </w:r>
          </w:p>
        </w:tc>
      </w:tr>
    </w:tbl>
    <w:p w:rsidR="00C16CCA" w:rsidRPr="00C16CCA" w:rsidRDefault="00C16CCA" w:rsidP="00C16CCA">
      <w:pPr>
        <w:pStyle w:val="ListParagraph"/>
        <w:spacing w:after="0" w:line="240" w:lineRule="auto"/>
        <w:ind w:left="680"/>
        <w:rPr>
          <w:color w:val="000000"/>
          <w:sz w:val="24"/>
        </w:rPr>
      </w:pPr>
    </w:p>
    <w:p w:rsidR="00C457F5" w:rsidRPr="003C7E77" w:rsidRDefault="00C457F5" w:rsidP="00C457F5">
      <w:pPr>
        <w:pStyle w:val="ListParagraph"/>
        <w:numPr>
          <w:ilvl w:val="1"/>
          <w:numId w:val="1"/>
        </w:numPr>
        <w:spacing w:after="0" w:line="240" w:lineRule="auto"/>
        <w:rPr>
          <w:b/>
          <w:color w:val="000000"/>
          <w:sz w:val="24"/>
        </w:rPr>
      </w:pPr>
      <w:r w:rsidRPr="003C7E77">
        <w:rPr>
          <w:b/>
          <w:color w:val="000000"/>
          <w:sz w:val="24"/>
        </w:rPr>
        <w:t>SCUSA RWAs/CET1 - 11% of CET1</w:t>
      </w:r>
    </w:p>
    <w:p w:rsidR="00C457F5" w:rsidRPr="00C457F5" w:rsidRDefault="00C457F5" w:rsidP="00C457F5">
      <w:pPr>
        <w:pStyle w:val="ListParagraph"/>
        <w:spacing w:after="0" w:line="240" w:lineRule="auto"/>
        <w:ind w:left="680"/>
        <w:rPr>
          <w:color w:val="000000"/>
          <w:sz w:val="24"/>
        </w:rPr>
      </w:pP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C16CCA" w:rsidRPr="00206D41" w:rsidTr="001D0D9A">
        <w:trPr>
          <w:trHeight w:val="261"/>
        </w:trPr>
        <w:tc>
          <w:tcPr>
            <w:tcW w:w="1728" w:type="dxa"/>
            <w:shd w:val="clear" w:color="auto" w:fill="auto"/>
          </w:tcPr>
          <w:p w:rsidR="00C16CCA" w:rsidRPr="00206D41" w:rsidRDefault="00C16CCA" w:rsidP="001D0D9A">
            <w:pPr>
              <w:rPr>
                <w:b/>
                <w:bCs/>
                <w:iCs/>
              </w:rPr>
            </w:pPr>
            <w:r>
              <w:rPr>
                <w:b/>
                <w:bCs/>
                <w:iCs/>
              </w:rPr>
              <w:t>DEFINITION</w:t>
            </w:r>
          </w:p>
        </w:tc>
        <w:tc>
          <w:tcPr>
            <w:tcW w:w="7470" w:type="dxa"/>
            <w:gridSpan w:val="3"/>
            <w:shd w:val="clear" w:color="auto" w:fill="auto"/>
          </w:tcPr>
          <w:p w:rsidR="00C16CCA" w:rsidRDefault="00C16CCA" w:rsidP="001D0D9A">
            <w:pPr>
              <w:spacing w:after="0" w:line="240" w:lineRule="auto"/>
              <w:rPr>
                <w:color w:val="000000" w:themeColor="text1"/>
              </w:rPr>
            </w:pPr>
            <w:r>
              <w:rPr>
                <w:color w:val="000000" w:themeColor="text1"/>
              </w:rPr>
              <w:t>The total value of SC Risk Weighted Assets (RWA).</w:t>
            </w:r>
          </w:p>
          <w:p w:rsidR="00C16CCA" w:rsidRPr="00206D41" w:rsidRDefault="00C16CCA" w:rsidP="001D0D9A">
            <w:pPr>
              <w:spacing w:after="0" w:line="240" w:lineRule="auto"/>
              <w:rPr>
                <w:bCs/>
                <w:iCs/>
              </w:rPr>
            </w:pPr>
            <w:r w:rsidRPr="006B4051">
              <w:rPr>
                <w:color w:val="000000" w:themeColor="text1"/>
              </w:rPr>
              <w:t>This metric is designed to link SC’s balance sheet size to capital via the CET1 ratio</w:t>
            </w:r>
            <w:r>
              <w:rPr>
                <w:color w:val="000000" w:themeColor="text1"/>
              </w:rPr>
              <w:t xml:space="preserve"> (Common Equity Tier 1).</w:t>
            </w:r>
          </w:p>
        </w:tc>
      </w:tr>
      <w:tr w:rsidR="00713D83" w:rsidRPr="00206D41" w:rsidTr="001D0D9A">
        <w:trPr>
          <w:cantSplit/>
          <w:trHeight w:val="279"/>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ENTITY</w:t>
            </w:r>
          </w:p>
        </w:tc>
        <w:tc>
          <w:tcPr>
            <w:tcW w:w="2490" w:type="dxa"/>
            <w:shd w:val="clear" w:color="auto" w:fill="auto"/>
          </w:tcPr>
          <w:p w:rsidR="00C16CCA" w:rsidRPr="00B10D1A" w:rsidRDefault="00C16CCA" w:rsidP="001D0D9A">
            <w:pPr>
              <w:spacing w:after="0" w:line="240" w:lineRule="auto"/>
              <w:rPr>
                <w:b/>
                <w:bCs/>
                <w:iCs/>
              </w:rPr>
            </w:pPr>
            <w:r w:rsidRPr="00B10D1A">
              <w:rPr>
                <w:b/>
                <w:bCs/>
                <w:iCs/>
              </w:rPr>
              <w:t>SHUSA</w:t>
            </w:r>
          </w:p>
        </w:tc>
        <w:tc>
          <w:tcPr>
            <w:tcW w:w="2490" w:type="dxa"/>
            <w:shd w:val="clear" w:color="auto" w:fill="auto"/>
          </w:tcPr>
          <w:p w:rsidR="00C16CCA" w:rsidRPr="00B10D1A" w:rsidRDefault="00C16CCA" w:rsidP="001D0D9A">
            <w:pPr>
              <w:spacing w:after="0" w:line="240" w:lineRule="auto"/>
              <w:rPr>
                <w:b/>
                <w:bCs/>
                <w:iCs/>
              </w:rPr>
            </w:pPr>
            <w:r w:rsidRPr="00B10D1A">
              <w:rPr>
                <w:b/>
                <w:bCs/>
                <w:iCs/>
              </w:rPr>
              <w:t xml:space="preserve">SBNA </w:t>
            </w:r>
          </w:p>
        </w:tc>
        <w:tc>
          <w:tcPr>
            <w:tcW w:w="2490" w:type="dxa"/>
            <w:shd w:val="clear" w:color="auto" w:fill="auto"/>
          </w:tcPr>
          <w:p w:rsidR="00C16CCA" w:rsidRPr="00B10D1A" w:rsidRDefault="00C16CCA" w:rsidP="001D0D9A">
            <w:pPr>
              <w:spacing w:after="0" w:line="240" w:lineRule="auto"/>
              <w:rPr>
                <w:b/>
                <w:bCs/>
                <w:iCs/>
              </w:rPr>
            </w:pPr>
            <w:r w:rsidRPr="00B10D1A">
              <w:rPr>
                <w:b/>
                <w:bCs/>
                <w:iCs/>
              </w:rPr>
              <w:t>SC</w:t>
            </w:r>
          </w:p>
        </w:tc>
      </w:tr>
      <w:tr w:rsidR="00C16CCA" w:rsidRPr="00206D41" w:rsidTr="001D0D9A">
        <w:trPr>
          <w:trHeight w:val="270"/>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Default="00C16CCA" w:rsidP="001D0D9A">
            <w:pPr>
              <w:spacing w:after="0" w:line="240" w:lineRule="auto"/>
              <w:rPr>
                <w:bCs/>
                <w:iCs/>
              </w:rPr>
            </w:pPr>
            <w:r>
              <w:rPr>
                <w:bCs/>
                <w:iCs/>
              </w:rPr>
              <w:t>Yes</w:t>
            </w:r>
          </w:p>
        </w:tc>
        <w:tc>
          <w:tcPr>
            <w:tcW w:w="2490" w:type="dxa"/>
            <w:shd w:val="clear" w:color="auto" w:fill="auto"/>
          </w:tcPr>
          <w:p w:rsidR="00C16CCA" w:rsidRDefault="00C16CCA" w:rsidP="001D0D9A">
            <w:pPr>
              <w:spacing w:after="0" w:line="240" w:lineRule="auto"/>
              <w:rPr>
                <w:bCs/>
                <w:iCs/>
              </w:rPr>
            </w:pPr>
            <w:r>
              <w:rPr>
                <w:bCs/>
                <w:iCs/>
              </w:rPr>
              <w:t>No</w:t>
            </w:r>
          </w:p>
        </w:tc>
        <w:tc>
          <w:tcPr>
            <w:tcW w:w="2490" w:type="dxa"/>
            <w:shd w:val="clear" w:color="auto" w:fill="auto"/>
          </w:tcPr>
          <w:p w:rsidR="00C16CCA" w:rsidRDefault="00C16CCA" w:rsidP="001D0D9A">
            <w:pPr>
              <w:spacing w:after="0" w:line="240" w:lineRule="auto"/>
              <w:rPr>
                <w:bCs/>
                <w:iCs/>
              </w:rPr>
            </w:pPr>
            <w:r>
              <w:rPr>
                <w:bCs/>
                <w:iCs/>
              </w:rPr>
              <w:t>Yes</w:t>
            </w:r>
          </w:p>
        </w:tc>
      </w:tr>
      <w:tr w:rsidR="00C16CCA" w:rsidRPr="00206D41" w:rsidTr="001D0D9A">
        <w:trPr>
          <w:trHeight w:val="270"/>
        </w:trPr>
        <w:tc>
          <w:tcPr>
            <w:tcW w:w="1728" w:type="dxa"/>
            <w:vMerge w:val="restart"/>
            <w:shd w:val="clear" w:color="auto" w:fill="auto"/>
          </w:tcPr>
          <w:p w:rsidR="00C16CCA" w:rsidRPr="00206D41" w:rsidRDefault="00C16CCA" w:rsidP="001D0D9A">
            <w:pPr>
              <w:rPr>
                <w:b/>
                <w:bCs/>
                <w:iCs/>
              </w:rPr>
            </w:pPr>
            <w:r>
              <w:rPr>
                <w:b/>
                <w:bCs/>
                <w:iCs/>
              </w:rPr>
              <w:t>METRIC OWNER</w:t>
            </w:r>
          </w:p>
        </w:tc>
        <w:tc>
          <w:tcPr>
            <w:tcW w:w="2490" w:type="dxa"/>
            <w:shd w:val="clear" w:color="auto" w:fill="auto"/>
          </w:tcPr>
          <w:p w:rsidR="00C16CCA" w:rsidRPr="00B10D1A" w:rsidRDefault="00C16CCA" w:rsidP="001D0D9A">
            <w:pPr>
              <w:spacing w:after="0" w:line="240" w:lineRule="auto"/>
              <w:rPr>
                <w:b/>
                <w:bCs/>
                <w:iCs/>
              </w:rPr>
            </w:pPr>
            <w:r w:rsidRPr="00B10D1A">
              <w:rPr>
                <w:b/>
                <w:bCs/>
                <w:iCs/>
              </w:rPr>
              <w:t>SHUSA</w:t>
            </w:r>
          </w:p>
        </w:tc>
        <w:tc>
          <w:tcPr>
            <w:tcW w:w="2490" w:type="dxa"/>
            <w:shd w:val="clear" w:color="auto" w:fill="auto"/>
          </w:tcPr>
          <w:p w:rsidR="00C16CCA" w:rsidRPr="00B10D1A" w:rsidRDefault="00C16CCA" w:rsidP="001D0D9A">
            <w:pPr>
              <w:spacing w:after="0" w:line="240" w:lineRule="auto"/>
              <w:rPr>
                <w:b/>
                <w:bCs/>
                <w:iCs/>
              </w:rPr>
            </w:pPr>
            <w:r w:rsidRPr="00B10D1A">
              <w:rPr>
                <w:b/>
                <w:bCs/>
                <w:iCs/>
              </w:rPr>
              <w:t>SBNA</w:t>
            </w:r>
          </w:p>
        </w:tc>
        <w:tc>
          <w:tcPr>
            <w:tcW w:w="2490" w:type="dxa"/>
            <w:shd w:val="clear" w:color="auto" w:fill="auto"/>
          </w:tcPr>
          <w:p w:rsidR="00C16CCA" w:rsidRPr="00B10D1A" w:rsidRDefault="00C16CCA" w:rsidP="001D0D9A">
            <w:pPr>
              <w:spacing w:after="0" w:line="240" w:lineRule="auto"/>
              <w:rPr>
                <w:b/>
                <w:bCs/>
                <w:iCs/>
              </w:rPr>
            </w:pPr>
            <w:r w:rsidRPr="00B10D1A">
              <w:rPr>
                <w:b/>
                <w:bCs/>
                <w:iCs/>
              </w:rPr>
              <w:t>SC</w:t>
            </w:r>
          </w:p>
        </w:tc>
      </w:tr>
      <w:tr w:rsidR="00C16CCA" w:rsidRPr="00206D41" w:rsidTr="001D0D9A">
        <w:trPr>
          <w:trHeight w:val="252"/>
        </w:trPr>
        <w:tc>
          <w:tcPr>
            <w:tcW w:w="1728" w:type="dxa"/>
            <w:vMerge/>
            <w:shd w:val="clear" w:color="auto" w:fill="auto"/>
          </w:tcPr>
          <w:p w:rsidR="00C16CCA" w:rsidRPr="00206D41" w:rsidRDefault="00C16CCA" w:rsidP="001D0D9A">
            <w:pPr>
              <w:rPr>
                <w:b/>
                <w:bCs/>
                <w:iCs/>
              </w:rPr>
            </w:pPr>
          </w:p>
        </w:tc>
        <w:tc>
          <w:tcPr>
            <w:tcW w:w="2490" w:type="dxa"/>
            <w:shd w:val="clear" w:color="auto" w:fill="auto"/>
          </w:tcPr>
          <w:p w:rsidR="00C16CCA" w:rsidRPr="00206D41" w:rsidRDefault="00C16CCA" w:rsidP="001D0D9A">
            <w:pPr>
              <w:spacing w:after="0" w:line="240" w:lineRule="auto"/>
              <w:rPr>
                <w:bCs/>
                <w:iCs/>
              </w:rPr>
            </w:pPr>
            <w:r>
              <w:rPr>
                <w:bCs/>
                <w:iCs/>
              </w:rPr>
              <w:t>SHUSA Finance</w:t>
            </w:r>
          </w:p>
        </w:tc>
        <w:tc>
          <w:tcPr>
            <w:tcW w:w="2490" w:type="dxa"/>
            <w:shd w:val="clear" w:color="auto" w:fill="auto"/>
          </w:tcPr>
          <w:p w:rsidR="00C16CCA" w:rsidRPr="00206D41" w:rsidRDefault="00C16CCA" w:rsidP="001D0D9A">
            <w:pPr>
              <w:spacing w:after="0" w:line="240" w:lineRule="auto"/>
              <w:rPr>
                <w:bCs/>
                <w:iCs/>
              </w:rPr>
            </w:pPr>
            <w:r w:rsidRPr="00206D41">
              <w:rPr>
                <w:bCs/>
                <w:iCs/>
              </w:rPr>
              <w:t>N/A</w:t>
            </w:r>
          </w:p>
        </w:tc>
        <w:tc>
          <w:tcPr>
            <w:tcW w:w="2490" w:type="dxa"/>
            <w:shd w:val="clear" w:color="auto" w:fill="auto"/>
          </w:tcPr>
          <w:p w:rsidR="00C16CCA" w:rsidRPr="00206D41" w:rsidRDefault="00C16CCA" w:rsidP="001D0D9A">
            <w:pPr>
              <w:spacing w:after="0" w:line="240" w:lineRule="auto"/>
              <w:rPr>
                <w:bCs/>
                <w:iCs/>
              </w:rPr>
            </w:pPr>
            <w:r>
              <w:rPr>
                <w:bCs/>
                <w:iCs/>
              </w:rPr>
              <w:t>SC Director of Capital Management</w:t>
            </w:r>
          </w:p>
        </w:tc>
      </w:tr>
      <w:tr w:rsidR="00C16CCA" w:rsidRPr="00206D41" w:rsidTr="001D0D9A">
        <w:trPr>
          <w:trHeight w:val="360"/>
        </w:trPr>
        <w:tc>
          <w:tcPr>
            <w:tcW w:w="1728" w:type="dxa"/>
            <w:shd w:val="clear" w:color="auto" w:fill="auto"/>
          </w:tcPr>
          <w:p w:rsidR="00C16CCA" w:rsidRPr="00206D41" w:rsidRDefault="00C16CCA" w:rsidP="001D0D9A">
            <w:pPr>
              <w:ind w:left="-60"/>
              <w:rPr>
                <w:b/>
                <w:bCs/>
                <w:iCs/>
              </w:rPr>
            </w:pPr>
            <w:r w:rsidRPr="006B4051">
              <w:rPr>
                <w:b/>
                <w:bCs/>
                <w:iCs/>
              </w:rPr>
              <w:t>TRIGGER AND LIMIT SETTING</w:t>
            </w:r>
          </w:p>
        </w:tc>
        <w:tc>
          <w:tcPr>
            <w:tcW w:w="7470" w:type="dxa"/>
            <w:gridSpan w:val="3"/>
            <w:shd w:val="clear" w:color="auto" w:fill="auto"/>
          </w:tcPr>
          <w:p w:rsidR="00C16CCA" w:rsidRDefault="00C16CCA" w:rsidP="00C16CCA">
            <w:pPr>
              <w:pStyle w:val="ListParagraph"/>
              <w:numPr>
                <w:ilvl w:val="0"/>
                <w:numId w:val="10"/>
              </w:numPr>
              <w:rPr>
                <w:iCs/>
              </w:rPr>
            </w:pPr>
            <w:r w:rsidRPr="004A0506">
              <w:rPr>
                <w:iCs/>
              </w:rPr>
              <w:t>The trigger is set at $2BN less than the</w:t>
            </w:r>
            <w:r>
              <w:rPr>
                <w:iCs/>
              </w:rPr>
              <w:t xml:space="preserve"> red</w:t>
            </w:r>
            <w:r w:rsidRPr="004A0506">
              <w:rPr>
                <w:iCs/>
              </w:rPr>
              <w:t xml:space="preserve"> limit</w:t>
            </w:r>
            <w:r>
              <w:rPr>
                <w:iCs/>
              </w:rPr>
              <w:t xml:space="preserve"> (see below)</w:t>
            </w:r>
            <w:r w:rsidRPr="004A0506">
              <w:rPr>
                <w:iCs/>
              </w:rPr>
              <w:t xml:space="preserve"> as it equates to approximately 2 months of net originations by SC</w:t>
            </w:r>
            <w:r>
              <w:rPr>
                <w:iCs/>
              </w:rPr>
              <w:t xml:space="preserve">. </w:t>
            </w:r>
            <w:r w:rsidRPr="004A0506">
              <w:rPr>
                <w:iCs/>
              </w:rPr>
              <w:t xml:space="preserve"> This buffer was deemed sufficient by management to enable management actions should the forecast CET1 ratio not be aligned with a level of 11</w:t>
            </w:r>
            <w:r>
              <w:rPr>
                <w:iCs/>
              </w:rPr>
              <w:t>%.</w:t>
            </w:r>
          </w:p>
          <w:p w:rsidR="00C16CCA" w:rsidRPr="004A0506" w:rsidRDefault="00C16CCA" w:rsidP="00C16CCA">
            <w:pPr>
              <w:pStyle w:val="ListParagraph"/>
              <w:numPr>
                <w:ilvl w:val="0"/>
                <w:numId w:val="10"/>
              </w:numPr>
              <w:rPr>
                <w:iCs/>
              </w:rPr>
            </w:pPr>
            <w:r w:rsidRPr="004A0506">
              <w:rPr>
                <w:iCs/>
              </w:rPr>
              <w:t xml:space="preserve">The absolute $ limit will be set monthly, and will reflect the total RWAs that SC should have in the following month in order to meet a CET1 ratio of 11% based on the previous month’s closing CET1 levels. </w:t>
            </w:r>
          </w:p>
        </w:tc>
      </w:tr>
      <w:tr w:rsidR="00C16CCA" w:rsidRPr="00206D41" w:rsidTr="001D0D9A">
        <w:trPr>
          <w:trHeight w:val="306"/>
        </w:trPr>
        <w:tc>
          <w:tcPr>
            <w:tcW w:w="1728" w:type="dxa"/>
            <w:shd w:val="clear" w:color="auto" w:fill="auto"/>
          </w:tcPr>
          <w:p w:rsidR="00C16CCA" w:rsidRPr="00206D41" w:rsidRDefault="00C16CCA" w:rsidP="001D0D9A">
            <w:pPr>
              <w:ind w:left="-60"/>
              <w:rPr>
                <w:b/>
                <w:bCs/>
                <w:iCs/>
              </w:rPr>
            </w:pPr>
            <w:r>
              <w:rPr>
                <w:b/>
                <w:bCs/>
                <w:iCs/>
              </w:rPr>
              <w:t xml:space="preserve">TESTING </w:t>
            </w:r>
            <w:r w:rsidRPr="00206D41">
              <w:rPr>
                <w:b/>
                <w:bCs/>
                <w:iCs/>
              </w:rPr>
              <w:t>FREQUENCY</w:t>
            </w:r>
          </w:p>
        </w:tc>
        <w:tc>
          <w:tcPr>
            <w:tcW w:w="7470" w:type="dxa"/>
            <w:gridSpan w:val="3"/>
            <w:shd w:val="clear" w:color="auto" w:fill="auto"/>
          </w:tcPr>
          <w:p w:rsidR="00C16CCA" w:rsidRDefault="00C16CCA" w:rsidP="001D0D9A">
            <w:pPr>
              <w:rPr>
                <w:iCs/>
              </w:rPr>
            </w:pPr>
            <w:r w:rsidRPr="00206D41">
              <w:t>Monthly</w:t>
            </w:r>
            <w:r>
              <w:rPr>
                <w:iCs/>
              </w:rPr>
              <w:t xml:space="preserve"> </w:t>
            </w:r>
          </w:p>
          <w:p w:rsidR="00C16CCA" w:rsidRPr="005F6399" w:rsidRDefault="00C16CCA" w:rsidP="001D0D9A">
            <w:pPr>
              <w:spacing w:after="0" w:line="240" w:lineRule="auto"/>
              <w:jc w:val="center"/>
              <w:rPr>
                <w:iCs/>
              </w:rPr>
            </w:pPr>
            <w:r>
              <w:rPr>
                <w:iCs/>
                <w:u w:val="single"/>
              </w:rPr>
              <w:t xml:space="preserve">    CET</w:t>
            </w:r>
            <w:r w:rsidRPr="005F6399">
              <w:rPr>
                <w:iCs/>
                <w:u w:val="single"/>
              </w:rPr>
              <w:t xml:space="preserve"> 1 (latest month close balance)</w:t>
            </w:r>
            <w:r>
              <w:rPr>
                <w:iCs/>
                <w:u w:val="single"/>
              </w:rPr>
              <w:t xml:space="preserve">    </w:t>
            </w:r>
            <w:r>
              <w:rPr>
                <w:iCs/>
              </w:rPr>
              <w:t xml:space="preserve"> = RWAs (next month balance)</w:t>
            </w:r>
          </w:p>
          <w:p w:rsidR="00C16CCA" w:rsidRDefault="00C16CCA" w:rsidP="001D0D9A">
            <w:pPr>
              <w:spacing w:after="0" w:line="240" w:lineRule="auto"/>
              <w:rPr>
                <w:iCs/>
              </w:rPr>
            </w:pPr>
            <w:r>
              <w:rPr>
                <w:iCs/>
              </w:rPr>
              <w:t xml:space="preserve">                                        11%</w:t>
            </w:r>
          </w:p>
          <w:p w:rsidR="00C16CCA" w:rsidRPr="00EE6BEE" w:rsidRDefault="00C16CCA" w:rsidP="001D0D9A">
            <w:pPr>
              <w:spacing w:after="0" w:line="240" w:lineRule="auto"/>
              <w:rPr>
                <w:bCs/>
                <w:iCs/>
              </w:rPr>
            </w:pPr>
          </w:p>
          <w:p w:rsidR="00C16CCA" w:rsidRPr="00EE6BEE" w:rsidRDefault="00C16CCA" w:rsidP="001D0D9A">
            <w:pPr>
              <w:spacing w:after="0" w:line="240" w:lineRule="auto"/>
              <w:rPr>
                <w:bCs/>
                <w:iCs/>
              </w:rPr>
            </w:pPr>
            <w:r w:rsidRPr="00EE6BEE">
              <w:rPr>
                <w:bCs/>
                <w:iCs/>
              </w:rPr>
              <w:t>Calculation:</w:t>
            </w:r>
          </w:p>
          <w:p w:rsidR="00C16CCA" w:rsidRPr="00EE6BEE" w:rsidRDefault="00C16CCA" w:rsidP="001D0D9A">
            <w:pPr>
              <w:spacing w:after="0" w:line="240" w:lineRule="auto"/>
              <w:rPr>
                <w:bCs/>
                <w:iCs/>
              </w:rPr>
            </w:pPr>
            <w:r w:rsidRPr="00EE6BEE">
              <w:rPr>
                <w:bCs/>
                <w:iCs/>
              </w:rPr>
              <w:t>Risk-weighted assets before deductions for excess allowance of loan and lease losses and allocated transfer risk reserve less Excess allowance for loan and lease losses less Allocated transfer risk reserve</w:t>
            </w:r>
          </w:p>
          <w:p w:rsidR="00C16CCA" w:rsidRPr="00EE6BEE" w:rsidRDefault="00C16CCA" w:rsidP="001D0D9A">
            <w:pPr>
              <w:spacing w:after="0" w:line="240" w:lineRule="auto"/>
              <w:rPr>
                <w:bCs/>
                <w:iCs/>
              </w:rPr>
            </w:pPr>
            <w:r w:rsidRPr="00EE6BEE">
              <w:rPr>
                <w:bCs/>
                <w:iCs/>
              </w:rPr>
              <w:t>Risk Weights Applicable to SC: 0% Cash, 20% cash in collection, 100% loans/ intangibles, 150% exposures past 90 days or on nonaccrual</w:t>
            </w:r>
          </w:p>
        </w:tc>
      </w:tr>
      <w:tr w:rsidR="00C16CCA" w:rsidRPr="00206D41" w:rsidTr="001D0D9A">
        <w:trPr>
          <w:trHeight w:val="525"/>
        </w:trPr>
        <w:tc>
          <w:tcPr>
            <w:tcW w:w="1728" w:type="dxa"/>
            <w:shd w:val="clear" w:color="auto" w:fill="auto"/>
          </w:tcPr>
          <w:p w:rsidR="00C16CCA" w:rsidRPr="00206D41" w:rsidRDefault="00C16CCA" w:rsidP="001D0D9A">
            <w:pPr>
              <w:rPr>
                <w:b/>
                <w:bCs/>
                <w:iCs/>
              </w:rPr>
            </w:pPr>
            <w:r w:rsidRPr="00206D41">
              <w:rPr>
                <w:b/>
                <w:bCs/>
                <w:iCs/>
              </w:rPr>
              <w:lastRenderedPageBreak/>
              <w:t>SOURCE OF INFORMATION</w:t>
            </w:r>
          </w:p>
        </w:tc>
        <w:tc>
          <w:tcPr>
            <w:tcW w:w="7470" w:type="dxa"/>
            <w:gridSpan w:val="3"/>
            <w:shd w:val="clear" w:color="auto" w:fill="auto"/>
          </w:tcPr>
          <w:p w:rsidR="00C16CCA" w:rsidRPr="00EE6BEE" w:rsidRDefault="00C16CCA" w:rsidP="001D0D9A">
            <w:pPr>
              <w:rPr>
                <w:iCs/>
              </w:rPr>
            </w:pPr>
            <w:r>
              <w:rPr>
                <w:bCs/>
                <w:iCs/>
              </w:rPr>
              <w:t>Director of</w:t>
            </w:r>
            <w:r w:rsidRPr="00525A9F">
              <w:rPr>
                <w:bCs/>
                <w:iCs/>
              </w:rPr>
              <w:t xml:space="preserve"> Liquidity Risk</w:t>
            </w:r>
            <w:r>
              <w:rPr>
                <w:iCs/>
              </w:rPr>
              <w:t xml:space="preserve"> is responsible for production of metric. </w:t>
            </w:r>
            <w:r w:rsidRPr="00525A9F">
              <w:rPr>
                <w:bCs/>
                <w:iCs/>
              </w:rPr>
              <w:t>External Reporting publishes the RWA in the regulatory file Schedule H-C Report.</w:t>
            </w:r>
          </w:p>
        </w:tc>
      </w:tr>
    </w:tbl>
    <w:p w:rsidR="00C457F5" w:rsidRPr="00C16CCA" w:rsidRDefault="00C457F5" w:rsidP="00C16CCA">
      <w:pPr>
        <w:spacing w:after="0" w:line="240" w:lineRule="auto"/>
        <w:rPr>
          <w:color w:val="000000" w:themeColor="text1"/>
        </w:rPr>
      </w:pPr>
    </w:p>
    <w:p w:rsidR="005F7235" w:rsidRPr="00717B77" w:rsidRDefault="005F7235" w:rsidP="00717B77"/>
    <w:p w:rsidR="006A7F5C" w:rsidRDefault="006A7F5C" w:rsidP="006A7F5C">
      <w:pPr>
        <w:pStyle w:val="SANUS1"/>
        <w:numPr>
          <w:ilvl w:val="0"/>
          <w:numId w:val="1"/>
        </w:numPr>
      </w:pPr>
      <w:r>
        <w:t>Qualitative elements</w:t>
      </w:r>
    </w:p>
    <w:p w:rsidR="00717B77" w:rsidRPr="00717B77" w:rsidRDefault="00717B77" w:rsidP="00717B77"/>
    <w:p w:rsidR="00CD0B77" w:rsidRPr="00A5439B" w:rsidRDefault="006A7F5C" w:rsidP="006A7F5C">
      <w:pPr>
        <w:pStyle w:val="ListParagraph"/>
        <w:numPr>
          <w:ilvl w:val="1"/>
          <w:numId w:val="1"/>
        </w:numPr>
        <w:rPr>
          <w:b/>
          <w:color w:val="000000"/>
          <w:sz w:val="24"/>
        </w:rPr>
      </w:pPr>
      <w:r w:rsidRPr="00A5439B">
        <w:rPr>
          <w:b/>
          <w:color w:val="000000"/>
          <w:sz w:val="24"/>
        </w:rPr>
        <w:t>SHUSA - Frequency of material Operational events &gt;$200k in potential losses</w:t>
      </w:r>
    </w:p>
    <w:tbl>
      <w:tblPr>
        <w:tblpPr w:leftFromText="180" w:rightFromText="180" w:vertAnchor="text" w:tblpX="168" w:tblpY="1"/>
        <w:tblOverlap w:val="never"/>
        <w:tblW w:w="919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728"/>
        <w:gridCol w:w="2490"/>
        <w:gridCol w:w="2490"/>
        <w:gridCol w:w="2490"/>
      </w:tblGrid>
      <w:tr w:rsidR="004E41BD" w:rsidRPr="00206D41" w:rsidTr="001D0D9A">
        <w:trPr>
          <w:trHeight w:val="390"/>
        </w:trPr>
        <w:tc>
          <w:tcPr>
            <w:tcW w:w="1728" w:type="dxa"/>
            <w:shd w:val="clear" w:color="auto" w:fill="auto"/>
          </w:tcPr>
          <w:p w:rsidR="004E41BD" w:rsidRPr="00206D41" w:rsidRDefault="004E41BD" w:rsidP="001D0D9A">
            <w:pPr>
              <w:rPr>
                <w:b/>
                <w:bCs/>
                <w:iCs/>
              </w:rPr>
            </w:pPr>
            <w:r w:rsidRPr="00206D41">
              <w:rPr>
                <w:b/>
                <w:bCs/>
                <w:iCs/>
              </w:rPr>
              <w:t>METRIC</w:t>
            </w:r>
          </w:p>
        </w:tc>
        <w:tc>
          <w:tcPr>
            <w:tcW w:w="7470" w:type="dxa"/>
            <w:gridSpan w:val="3"/>
            <w:shd w:val="clear" w:color="auto" w:fill="auto"/>
          </w:tcPr>
          <w:p w:rsidR="004E41BD" w:rsidRPr="00F41CA8" w:rsidRDefault="004E41BD" w:rsidP="001D0D9A">
            <w:pPr>
              <w:tabs>
                <w:tab w:val="left" w:pos="4378"/>
              </w:tabs>
              <w:spacing w:after="0"/>
              <w:rPr>
                <w:rFonts w:asciiTheme="minorHAnsi" w:eastAsiaTheme="minorHAnsi" w:hAnsiTheme="minorHAnsi" w:cstheme="minorBidi"/>
                <w:iCs/>
              </w:rPr>
            </w:pPr>
            <w:r>
              <w:rPr>
                <w:rFonts w:asciiTheme="minorHAnsi" w:eastAsiaTheme="minorHAnsi" w:hAnsiTheme="minorHAnsi" w:cstheme="minorBidi"/>
                <w:iCs/>
              </w:rPr>
              <w:t>Number of operational risk events &gt; $200K in losses, within a given quarter</w:t>
            </w:r>
          </w:p>
        </w:tc>
      </w:tr>
      <w:tr w:rsidR="00713D83" w:rsidRPr="00206D41" w:rsidTr="001D0D9A">
        <w:trPr>
          <w:trHeight w:val="690"/>
        </w:trPr>
        <w:tc>
          <w:tcPr>
            <w:tcW w:w="1728" w:type="dxa"/>
            <w:shd w:val="clear" w:color="auto" w:fill="auto"/>
          </w:tcPr>
          <w:p w:rsidR="00713D83" w:rsidRDefault="00713D83" w:rsidP="00713D83">
            <w:pPr>
              <w:rPr>
                <w:b/>
                <w:bCs/>
                <w:iCs/>
              </w:rPr>
            </w:pPr>
            <w:r>
              <w:rPr>
                <w:b/>
                <w:bCs/>
                <w:iCs/>
              </w:rPr>
              <w:t>DIFFERENT FROM SHUSA</w:t>
            </w:r>
          </w:p>
        </w:tc>
        <w:tc>
          <w:tcPr>
            <w:tcW w:w="7470" w:type="dxa"/>
            <w:gridSpan w:val="3"/>
            <w:shd w:val="clear" w:color="auto" w:fill="auto"/>
          </w:tcPr>
          <w:p w:rsidR="00713D83" w:rsidRDefault="00713D83" w:rsidP="00713D83">
            <w:pPr>
              <w:spacing w:after="0" w:line="240" w:lineRule="auto"/>
              <w:rPr>
                <w:bCs/>
                <w:iCs/>
              </w:rPr>
            </w:pPr>
            <w:r>
              <w:rPr>
                <w:bCs/>
                <w:iCs/>
              </w:rPr>
              <w:t>SAME</w:t>
            </w:r>
          </w:p>
        </w:tc>
      </w:tr>
      <w:tr w:rsidR="004E41BD" w:rsidRPr="00206D41" w:rsidTr="001D0D9A">
        <w:trPr>
          <w:trHeight w:val="270"/>
        </w:trPr>
        <w:tc>
          <w:tcPr>
            <w:tcW w:w="1728" w:type="dxa"/>
            <w:vMerge w:val="restart"/>
            <w:shd w:val="clear" w:color="auto" w:fill="auto"/>
          </w:tcPr>
          <w:p w:rsidR="004E41BD" w:rsidRPr="00206D41" w:rsidRDefault="004E41BD" w:rsidP="001D0D9A">
            <w:pPr>
              <w:rPr>
                <w:b/>
                <w:bCs/>
                <w:iCs/>
              </w:rPr>
            </w:pPr>
            <w:r>
              <w:rPr>
                <w:b/>
                <w:bCs/>
                <w:iCs/>
              </w:rPr>
              <w:t>ENTITY</w:t>
            </w:r>
          </w:p>
        </w:tc>
        <w:tc>
          <w:tcPr>
            <w:tcW w:w="2490" w:type="dxa"/>
            <w:shd w:val="clear" w:color="auto" w:fill="auto"/>
          </w:tcPr>
          <w:p w:rsidR="004E41BD" w:rsidRPr="00CF009C" w:rsidRDefault="004E41BD" w:rsidP="001D0D9A">
            <w:pPr>
              <w:spacing w:after="0" w:line="240" w:lineRule="auto"/>
              <w:rPr>
                <w:b/>
                <w:bCs/>
                <w:iCs/>
              </w:rPr>
            </w:pPr>
            <w:r w:rsidRPr="00CF009C">
              <w:rPr>
                <w:b/>
                <w:bCs/>
                <w:iCs/>
              </w:rPr>
              <w:t>SHUSA</w:t>
            </w:r>
          </w:p>
        </w:tc>
        <w:tc>
          <w:tcPr>
            <w:tcW w:w="2490" w:type="dxa"/>
            <w:shd w:val="clear" w:color="auto" w:fill="auto"/>
          </w:tcPr>
          <w:p w:rsidR="004E41BD" w:rsidRPr="00CF009C" w:rsidRDefault="004E41BD" w:rsidP="001D0D9A">
            <w:pPr>
              <w:spacing w:after="0" w:line="240" w:lineRule="auto"/>
              <w:rPr>
                <w:b/>
                <w:bCs/>
                <w:iCs/>
              </w:rPr>
            </w:pPr>
            <w:r w:rsidRPr="00CF009C">
              <w:rPr>
                <w:b/>
                <w:bCs/>
                <w:iCs/>
              </w:rPr>
              <w:t>SBNA</w:t>
            </w:r>
          </w:p>
        </w:tc>
        <w:tc>
          <w:tcPr>
            <w:tcW w:w="2490" w:type="dxa"/>
            <w:shd w:val="clear" w:color="auto" w:fill="auto"/>
          </w:tcPr>
          <w:p w:rsidR="004E41BD" w:rsidRPr="00CF009C" w:rsidRDefault="004E41BD" w:rsidP="001D0D9A">
            <w:pPr>
              <w:spacing w:after="0" w:line="240" w:lineRule="auto"/>
              <w:rPr>
                <w:b/>
                <w:bCs/>
                <w:iCs/>
              </w:rPr>
            </w:pPr>
            <w:r w:rsidRPr="00CF009C">
              <w:rPr>
                <w:b/>
                <w:bCs/>
                <w:iCs/>
              </w:rPr>
              <w:t>SC</w:t>
            </w:r>
          </w:p>
        </w:tc>
      </w:tr>
      <w:tr w:rsidR="004E41BD" w:rsidRPr="00206D41" w:rsidTr="001D0D9A">
        <w:trPr>
          <w:cantSplit/>
          <w:trHeight w:val="270"/>
        </w:trPr>
        <w:tc>
          <w:tcPr>
            <w:tcW w:w="1728" w:type="dxa"/>
            <w:vMerge/>
            <w:shd w:val="clear" w:color="auto" w:fill="auto"/>
          </w:tcPr>
          <w:p w:rsidR="004E41BD" w:rsidRDefault="004E41BD" w:rsidP="001D0D9A">
            <w:pPr>
              <w:rPr>
                <w:b/>
                <w:bCs/>
                <w:iCs/>
              </w:rPr>
            </w:pPr>
          </w:p>
        </w:tc>
        <w:tc>
          <w:tcPr>
            <w:tcW w:w="2490" w:type="dxa"/>
            <w:shd w:val="clear" w:color="auto" w:fill="auto"/>
          </w:tcPr>
          <w:p w:rsidR="004E41BD" w:rsidRPr="00206D41" w:rsidRDefault="004E41BD" w:rsidP="001D0D9A">
            <w:pPr>
              <w:spacing w:after="0" w:line="240" w:lineRule="auto"/>
              <w:rPr>
                <w:bCs/>
                <w:iCs/>
              </w:rPr>
            </w:pPr>
            <w:r>
              <w:rPr>
                <w:bCs/>
                <w:iCs/>
              </w:rPr>
              <w:t>Yes</w:t>
            </w:r>
          </w:p>
        </w:tc>
        <w:tc>
          <w:tcPr>
            <w:tcW w:w="2490" w:type="dxa"/>
            <w:shd w:val="clear" w:color="auto" w:fill="auto"/>
          </w:tcPr>
          <w:p w:rsidR="004E41BD" w:rsidRPr="00206D41" w:rsidRDefault="004E41BD" w:rsidP="001D0D9A">
            <w:pPr>
              <w:spacing w:after="0" w:line="240" w:lineRule="auto"/>
              <w:rPr>
                <w:bCs/>
                <w:iCs/>
              </w:rPr>
            </w:pPr>
            <w:r>
              <w:rPr>
                <w:bCs/>
                <w:iCs/>
              </w:rPr>
              <w:t>Yes</w:t>
            </w:r>
          </w:p>
        </w:tc>
        <w:tc>
          <w:tcPr>
            <w:tcW w:w="2490" w:type="dxa"/>
            <w:shd w:val="clear" w:color="auto" w:fill="auto"/>
          </w:tcPr>
          <w:p w:rsidR="004E41BD" w:rsidRPr="00206D41" w:rsidRDefault="004E41BD" w:rsidP="001D0D9A">
            <w:pPr>
              <w:spacing w:after="0" w:line="240" w:lineRule="auto"/>
              <w:rPr>
                <w:bCs/>
                <w:iCs/>
              </w:rPr>
            </w:pPr>
            <w:r>
              <w:rPr>
                <w:bCs/>
                <w:iCs/>
              </w:rPr>
              <w:t>Yes</w:t>
            </w:r>
          </w:p>
        </w:tc>
      </w:tr>
      <w:tr w:rsidR="004E41BD" w:rsidRPr="00206D41" w:rsidTr="001D0D9A">
        <w:trPr>
          <w:trHeight w:val="270"/>
        </w:trPr>
        <w:tc>
          <w:tcPr>
            <w:tcW w:w="1728" w:type="dxa"/>
            <w:vMerge w:val="restart"/>
            <w:shd w:val="clear" w:color="auto" w:fill="auto"/>
          </w:tcPr>
          <w:p w:rsidR="004E41BD" w:rsidRPr="00206D41" w:rsidRDefault="004E41BD" w:rsidP="001D0D9A">
            <w:pPr>
              <w:rPr>
                <w:b/>
                <w:bCs/>
                <w:iCs/>
              </w:rPr>
            </w:pPr>
            <w:r>
              <w:rPr>
                <w:b/>
                <w:bCs/>
                <w:iCs/>
              </w:rPr>
              <w:t>METRIC OWNER</w:t>
            </w:r>
          </w:p>
        </w:tc>
        <w:tc>
          <w:tcPr>
            <w:tcW w:w="2490" w:type="dxa"/>
            <w:shd w:val="clear" w:color="auto" w:fill="auto"/>
          </w:tcPr>
          <w:p w:rsidR="004E41BD" w:rsidRPr="00CF009C" w:rsidRDefault="004E41BD" w:rsidP="001D0D9A">
            <w:pPr>
              <w:spacing w:after="0" w:line="240" w:lineRule="auto"/>
              <w:rPr>
                <w:b/>
                <w:bCs/>
                <w:iCs/>
              </w:rPr>
            </w:pPr>
            <w:r w:rsidRPr="00CF009C">
              <w:rPr>
                <w:b/>
                <w:bCs/>
                <w:iCs/>
              </w:rPr>
              <w:t>SHUSA</w:t>
            </w:r>
          </w:p>
        </w:tc>
        <w:tc>
          <w:tcPr>
            <w:tcW w:w="2490" w:type="dxa"/>
            <w:shd w:val="clear" w:color="auto" w:fill="auto"/>
          </w:tcPr>
          <w:p w:rsidR="004E41BD" w:rsidRPr="00CF009C" w:rsidRDefault="004E41BD" w:rsidP="001D0D9A">
            <w:pPr>
              <w:spacing w:after="0" w:line="240" w:lineRule="auto"/>
              <w:rPr>
                <w:b/>
                <w:bCs/>
                <w:iCs/>
              </w:rPr>
            </w:pPr>
            <w:r w:rsidRPr="00CF009C">
              <w:rPr>
                <w:b/>
                <w:bCs/>
                <w:iCs/>
              </w:rPr>
              <w:t>SBNA</w:t>
            </w:r>
          </w:p>
        </w:tc>
        <w:tc>
          <w:tcPr>
            <w:tcW w:w="2490" w:type="dxa"/>
            <w:shd w:val="clear" w:color="auto" w:fill="auto"/>
          </w:tcPr>
          <w:p w:rsidR="004E41BD" w:rsidRPr="00CF009C" w:rsidRDefault="004E41BD" w:rsidP="001D0D9A">
            <w:pPr>
              <w:spacing w:after="0" w:line="240" w:lineRule="auto"/>
              <w:rPr>
                <w:b/>
                <w:bCs/>
                <w:iCs/>
              </w:rPr>
            </w:pPr>
            <w:r w:rsidRPr="00CF009C">
              <w:rPr>
                <w:b/>
                <w:bCs/>
                <w:iCs/>
              </w:rPr>
              <w:t>SC</w:t>
            </w:r>
          </w:p>
        </w:tc>
      </w:tr>
      <w:tr w:rsidR="004E41BD" w:rsidRPr="00206D41" w:rsidTr="001D0D9A">
        <w:trPr>
          <w:trHeight w:val="252"/>
        </w:trPr>
        <w:tc>
          <w:tcPr>
            <w:tcW w:w="1728" w:type="dxa"/>
            <w:vMerge/>
            <w:shd w:val="clear" w:color="auto" w:fill="auto"/>
          </w:tcPr>
          <w:p w:rsidR="004E41BD" w:rsidRPr="00206D41" w:rsidRDefault="004E41BD" w:rsidP="001D0D9A">
            <w:pPr>
              <w:rPr>
                <w:b/>
                <w:bCs/>
                <w:iCs/>
              </w:rPr>
            </w:pPr>
          </w:p>
        </w:tc>
        <w:tc>
          <w:tcPr>
            <w:tcW w:w="2490" w:type="dxa"/>
            <w:shd w:val="clear" w:color="auto" w:fill="auto"/>
          </w:tcPr>
          <w:p w:rsidR="004E41BD" w:rsidRPr="00206D41" w:rsidRDefault="004E41BD" w:rsidP="001D0D9A">
            <w:pPr>
              <w:spacing w:after="0" w:line="240" w:lineRule="auto"/>
              <w:rPr>
                <w:bCs/>
                <w:iCs/>
              </w:rPr>
            </w:pPr>
            <w:r>
              <w:rPr>
                <w:bCs/>
                <w:iCs/>
              </w:rPr>
              <w:t>SHUSA Director of Operational Risk</w:t>
            </w:r>
          </w:p>
        </w:tc>
        <w:tc>
          <w:tcPr>
            <w:tcW w:w="2490" w:type="dxa"/>
            <w:shd w:val="clear" w:color="auto" w:fill="auto"/>
          </w:tcPr>
          <w:p w:rsidR="004E41BD" w:rsidRPr="00206D41" w:rsidRDefault="004E41BD" w:rsidP="001D0D9A">
            <w:pPr>
              <w:spacing w:after="0" w:line="240" w:lineRule="auto"/>
              <w:rPr>
                <w:bCs/>
                <w:iCs/>
              </w:rPr>
            </w:pPr>
            <w:r>
              <w:rPr>
                <w:bCs/>
                <w:iCs/>
              </w:rPr>
              <w:t>SBNA Director of Operational Risk</w:t>
            </w:r>
          </w:p>
        </w:tc>
        <w:tc>
          <w:tcPr>
            <w:tcW w:w="2490" w:type="dxa"/>
            <w:shd w:val="clear" w:color="auto" w:fill="auto"/>
          </w:tcPr>
          <w:p w:rsidR="004E41BD" w:rsidRPr="00206D41" w:rsidRDefault="004E41BD" w:rsidP="001D0D9A">
            <w:pPr>
              <w:spacing w:after="0" w:line="240" w:lineRule="auto"/>
              <w:rPr>
                <w:bCs/>
                <w:iCs/>
              </w:rPr>
            </w:pPr>
            <w:r>
              <w:rPr>
                <w:bCs/>
                <w:iCs/>
              </w:rPr>
              <w:t>SC Director of Operational Risk</w:t>
            </w:r>
          </w:p>
        </w:tc>
      </w:tr>
      <w:tr w:rsidR="004E41BD" w:rsidRPr="00206D41" w:rsidTr="001D0D9A">
        <w:trPr>
          <w:trHeight w:val="360"/>
        </w:trPr>
        <w:tc>
          <w:tcPr>
            <w:tcW w:w="1728" w:type="dxa"/>
            <w:shd w:val="clear" w:color="auto" w:fill="auto"/>
          </w:tcPr>
          <w:p w:rsidR="004E41BD" w:rsidRPr="00206D41" w:rsidRDefault="004E41BD" w:rsidP="001D0D9A">
            <w:pPr>
              <w:ind w:left="-60"/>
              <w:rPr>
                <w:b/>
                <w:bCs/>
                <w:iCs/>
              </w:rPr>
            </w:pPr>
            <w:r w:rsidRPr="00062285">
              <w:rPr>
                <w:b/>
                <w:bCs/>
                <w:iCs/>
              </w:rPr>
              <w:t>TRIGGER AND LIMIT SETTING</w:t>
            </w:r>
          </w:p>
        </w:tc>
        <w:tc>
          <w:tcPr>
            <w:tcW w:w="7470" w:type="dxa"/>
            <w:gridSpan w:val="3"/>
            <w:shd w:val="clear" w:color="auto" w:fill="auto"/>
          </w:tcPr>
          <w:p w:rsidR="004E41BD" w:rsidRPr="00062285" w:rsidRDefault="004E41BD"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 xml:space="preserve">The following calibration methodology is applied on an annual basis, and ensures that the amber trigger and red limit remain consistent with the levels defined (above) </w:t>
            </w:r>
            <w:r w:rsidRPr="00062285">
              <w:rPr>
                <w:rFonts w:asciiTheme="minorHAnsi" w:eastAsiaTheme="minorHAnsi" w:hAnsiTheme="minorHAnsi" w:cstheme="minorBidi"/>
                <w:iCs/>
              </w:rPr>
              <w:t>for gross losses/gross margin</w:t>
            </w:r>
          </w:p>
          <w:p w:rsidR="004E41BD" w:rsidRPr="00062285" w:rsidRDefault="004E41BD" w:rsidP="001D0D9A">
            <w:pPr>
              <w:spacing w:after="0" w:line="240" w:lineRule="auto"/>
              <w:rPr>
                <w:rFonts w:asciiTheme="minorHAnsi" w:eastAsiaTheme="minorHAnsi" w:hAnsiTheme="minorHAnsi" w:cstheme="minorBidi"/>
                <w:iCs/>
              </w:rPr>
            </w:pPr>
          </w:p>
          <w:p w:rsidR="004E41BD" w:rsidRDefault="004E41BD" w:rsidP="004E41BD">
            <w:pPr>
              <w:pStyle w:val="ListParagraph"/>
              <w:numPr>
                <w:ilvl w:val="0"/>
                <w:numId w:val="11"/>
              </w:numPr>
              <w:spacing w:after="0" w:line="240" w:lineRule="auto"/>
              <w:rPr>
                <w:iCs/>
              </w:rPr>
            </w:pPr>
            <w:r>
              <w:rPr>
                <w:iCs/>
              </w:rPr>
              <w:t xml:space="preserve">Based on the historical series of operational risk events with losses &gt; $200K, </w:t>
            </w:r>
            <w:r w:rsidRPr="00062285">
              <w:rPr>
                <w:iCs/>
              </w:rPr>
              <w:t>the average loss associated with each event</w:t>
            </w:r>
            <w:r>
              <w:rPr>
                <w:iCs/>
              </w:rPr>
              <w:t xml:space="preserve"> is calculated </w:t>
            </w:r>
          </w:p>
          <w:p w:rsidR="004E41BD" w:rsidRDefault="004E41BD" w:rsidP="004E41BD">
            <w:pPr>
              <w:pStyle w:val="ListParagraph"/>
              <w:numPr>
                <w:ilvl w:val="0"/>
                <w:numId w:val="11"/>
              </w:numPr>
              <w:spacing w:after="0" w:line="240" w:lineRule="auto"/>
              <w:rPr>
                <w:iCs/>
              </w:rPr>
            </w:pPr>
            <w:r>
              <w:rPr>
                <w:iCs/>
              </w:rPr>
              <w:t xml:space="preserve">This average value is compared to the </w:t>
            </w:r>
            <w:r>
              <w:t xml:space="preserve"> </w:t>
            </w:r>
            <w:r w:rsidRPr="00E93AD5">
              <w:rPr>
                <w:iCs/>
              </w:rPr>
              <w:t xml:space="preserve">Aggregated Gross Operational Risk Losses </w:t>
            </w:r>
            <w:r>
              <w:rPr>
                <w:iCs/>
              </w:rPr>
              <w:t>(amber and red $ values) used for the setting of the Gross Op. Losses / Gross Margin RAS metric (above)</w:t>
            </w:r>
          </w:p>
          <w:p w:rsidR="004E41BD" w:rsidRDefault="004E41BD" w:rsidP="004E41BD">
            <w:pPr>
              <w:pStyle w:val="ListParagraph"/>
              <w:numPr>
                <w:ilvl w:val="0"/>
                <w:numId w:val="11"/>
              </w:numPr>
              <w:spacing w:after="0" w:line="240" w:lineRule="auto"/>
              <w:rPr>
                <w:iCs/>
              </w:rPr>
            </w:pPr>
            <w:r>
              <w:rPr>
                <w:iCs/>
              </w:rPr>
              <w:t xml:space="preserve">This comparison determines the number of </w:t>
            </w:r>
            <w:r w:rsidRPr="00062285">
              <w:rPr>
                <w:iCs/>
              </w:rPr>
              <w:t>material risk events that could occur before SHUSA breaches the gross losses implied by the red and amber thresholds of the gross losses/gross margin metric for SHUSA</w:t>
            </w:r>
          </w:p>
          <w:p w:rsidR="004E41BD" w:rsidRDefault="004E41BD" w:rsidP="001D0D9A">
            <w:pPr>
              <w:spacing w:after="0" w:line="240" w:lineRule="auto"/>
              <w:rPr>
                <w:iCs/>
              </w:rPr>
            </w:pPr>
          </w:p>
          <w:p w:rsidR="004E41BD" w:rsidRPr="00E93AD5" w:rsidRDefault="004E41BD" w:rsidP="001D0D9A">
            <w:pPr>
              <w:spacing w:after="0" w:line="240" w:lineRule="auto"/>
              <w:rPr>
                <w:iCs/>
              </w:rPr>
            </w:pPr>
            <w:r w:rsidRPr="00E93AD5">
              <w:rPr>
                <w:iCs/>
              </w:rPr>
              <w:t xml:space="preserve">The </w:t>
            </w:r>
            <w:r>
              <w:rPr>
                <w:iCs/>
              </w:rPr>
              <w:t>number of events</w:t>
            </w:r>
            <w:r w:rsidRPr="00E93AD5">
              <w:rPr>
                <w:iCs/>
              </w:rPr>
              <w:t xml:space="preserve"> obtained above for the trigger and the limit are reviewed and a management adjustment may be applied for RAS purposes.</w:t>
            </w:r>
          </w:p>
          <w:p w:rsidR="004E41BD" w:rsidRPr="00E93AD5" w:rsidRDefault="004E41BD" w:rsidP="001D0D9A">
            <w:pPr>
              <w:spacing w:after="0" w:line="240" w:lineRule="auto"/>
              <w:rPr>
                <w:iCs/>
              </w:rPr>
            </w:pPr>
          </w:p>
          <w:p w:rsidR="004E41BD" w:rsidRDefault="004E41BD" w:rsidP="001D0D9A">
            <w:pPr>
              <w:spacing w:after="0" w:line="240" w:lineRule="auto"/>
              <w:rPr>
                <w:iCs/>
              </w:rPr>
            </w:pPr>
            <w:r w:rsidRPr="00E93AD5">
              <w:rPr>
                <w:iCs/>
              </w:rPr>
              <w:t xml:space="preserve">For SHUSA the calibration also takes into account the relative weight of the </w:t>
            </w:r>
            <w:r>
              <w:rPr>
                <w:iCs/>
              </w:rPr>
              <w:t xml:space="preserve">number of events at </w:t>
            </w:r>
            <w:r w:rsidRPr="00E93AD5">
              <w:rPr>
                <w:iCs/>
              </w:rPr>
              <w:t xml:space="preserve">each entity </w:t>
            </w:r>
            <w:r>
              <w:rPr>
                <w:iCs/>
              </w:rPr>
              <w:t>as a total of the consolidated group</w:t>
            </w:r>
            <w:r w:rsidRPr="00E93AD5">
              <w:rPr>
                <w:iCs/>
              </w:rPr>
              <w:t>, thus providing an additional anchor for the final determination of individual and consolidated RAS triggers and limits.</w:t>
            </w:r>
          </w:p>
          <w:p w:rsidR="004E41BD" w:rsidRDefault="004E41BD" w:rsidP="001D0D9A">
            <w:pPr>
              <w:spacing w:after="0" w:line="240" w:lineRule="auto"/>
              <w:rPr>
                <w:iCs/>
              </w:rPr>
            </w:pPr>
          </w:p>
          <w:p w:rsidR="004E41BD" w:rsidRPr="00E93AD5" w:rsidRDefault="004E41BD" w:rsidP="001D0D9A">
            <w:pPr>
              <w:spacing w:after="0" w:line="240" w:lineRule="auto"/>
              <w:rPr>
                <w:iCs/>
              </w:rPr>
            </w:pPr>
            <w:r w:rsidRPr="00E93AD5">
              <w:rPr>
                <w:iCs/>
              </w:rPr>
              <w:t xml:space="preserve">Operational Risk Event is defined as a singular event that may have one or more loss impacts. </w:t>
            </w:r>
          </w:p>
          <w:p w:rsidR="004E41BD" w:rsidRPr="00E93AD5" w:rsidRDefault="004E41BD" w:rsidP="004E41BD">
            <w:pPr>
              <w:pStyle w:val="ListParagraph"/>
              <w:numPr>
                <w:ilvl w:val="0"/>
                <w:numId w:val="12"/>
              </w:numPr>
              <w:spacing w:after="0" w:line="240" w:lineRule="auto"/>
              <w:rPr>
                <w:iCs/>
              </w:rPr>
            </w:pPr>
            <w:r w:rsidRPr="00E93AD5">
              <w:rPr>
                <w:iCs/>
              </w:rPr>
              <w:t xml:space="preserve">Events &gt; $200K in Losses are defined as Operational Risk Events Reported in the Period with a Gross Operational Losses (excluding recoveries – direct or </w:t>
            </w:r>
            <w:r w:rsidRPr="00E93AD5">
              <w:rPr>
                <w:iCs/>
              </w:rPr>
              <w:lastRenderedPageBreak/>
              <w:t xml:space="preserve">indirect, including legal settlements) </w:t>
            </w:r>
            <w:r>
              <w:rPr>
                <w:iCs/>
              </w:rPr>
              <w:t>g</w:t>
            </w:r>
            <w:r w:rsidRPr="00E93AD5">
              <w:rPr>
                <w:iCs/>
              </w:rPr>
              <w:t>reater than $200K.</w:t>
            </w:r>
          </w:p>
          <w:p w:rsidR="004E41BD" w:rsidRPr="00E93AD5" w:rsidRDefault="004E41BD" w:rsidP="004E41BD">
            <w:pPr>
              <w:pStyle w:val="ListParagraph"/>
              <w:numPr>
                <w:ilvl w:val="0"/>
                <w:numId w:val="12"/>
              </w:numPr>
              <w:spacing w:after="0" w:line="240" w:lineRule="auto"/>
              <w:rPr>
                <w:iCs/>
              </w:rPr>
            </w:pPr>
            <w:r w:rsidRPr="00E93AD5">
              <w:rPr>
                <w:iCs/>
              </w:rPr>
              <w:t>Operational Risk Events that have one or more gross operational loss impacts greater than $200K that have been reported in a prior period will not be reported again in subsequent periods if the aggregated gross operational loss increases.</w:t>
            </w:r>
          </w:p>
          <w:p w:rsidR="004E41BD" w:rsidRDefault="004E41BD" w:rsidP="004E41BD">
            <w:pPr>
              <w:pStyle w:val="ListParagraph"/>
              <w:numPr>
                <w:ilvl w:val="0"/>
                <w:numId w:val="12"/>
              </w:numPr>
              <w:spacing w:after="0" w:line="240" w:lineRule="auto"/>
              <w:rPr>
                <w:iCs/>
              </w:rPr>
            </w:pPr>
            <w:r w:rsidRPr="00E93AD5">
              <w:rPr>
                <w:iCs/>
              </w:rPr>
              <w:t>Prior period Operational Risk Events, with impacts less than $200K, that have additional operational risk loss impacts reported in the current period are only included if the aggregate gross loss is greater than $200K.</w:t>
            </w:r>
          </w:p>
          <w:p w:rsidR="004E41BD" w:rsidRPr="00E93AD5" w:rsidRDefault="004E41BD" w:rsidP="001D0D9A">
            <w:pPr>
              <w:spacing w:after="0" w:line="240" w:lineRule="auto"/>
              <w:rPr>
                <w:iCs/>
              </w:rPr>
            </w:pPr>
          </w:p>
        </w:tc>
      </w:tr>
      <w:tr w:rsidR="004E41BD" w:rsidRPr="00206D41" w:rsidTr="001D0D9A">
        <w:trPr>
          <w:trHeight w:val="360"/>
        </w:trPr>
        <w:tc>
          <w:tcPr>
            <w:tcW w:w="1728" w:type="dxa"/>
            <w:shd w:val="clear" w:color="auto" w:fill="auto"/>
          </w:tcPr>
          <w:p w:rsidR="004E41BD" w:rsidRPr="00206D41" w:rsidRDefault="004E41BD" w:rsidP="001D0D9A">
            <w:pPr>
              <w:ind w:left="-60"/>
              <w:rPr>
                <w:b/>
                <w:bCs/>
                <w:iCs/>
              </w:rPr>
            </w:pPr>
            <w:r>
              <w:rPr>
                <w:b/>
                <w:bCs/>
                <w:iCs/>
              </w:rPr>
              <w:lastRenderedPageBreak/>
              <w:t>TESTING FREQUENCY</w:t>
            </w:r>
          </w:p>
        </w:tc>
        <w:tc>
          <w:tcPr>
            <w:tcW w:w="7470" w:type="dxa"/>
            <w:gridSpan w:val="3"/>
            <w:shd w:val="clear" w:color="auto" w:fill="auto"/>
          </w:tcPr>
          <w:p w:rsidR="004E41BD" w:rsidRDefault="004E41BD"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Quarterly.</w:t>
            </w:r>
          </w:p>
          <w:p w:rsidR="004E41BD" w:rsidRDefault="004E41BD" w:rsidP="001D0D9A">
            <w:pPr>
              <w:spacing w:after="0" w:line="240" w:lineRule="auto"/>
              <w:rPr>
                <w:rFonts w:asciiTheme="minorHAnsi" w:eastAsiaTheme="minorHAnsi" w:hAnsiTheme="minorHAnsi" w:cstheme="minorBidi"/>
                <w:iCs/>
              </w:rPr>
            </w:pPr>
            <w:r>
              <w:rPr>
                <w:rFonts w:asciiTheme="minorHAnsi" w:eastAsiaTheme="minorHAnsi" w:hAnsiTheme="minorHAnsi" w:cstheme="minorBidi"/>
                <w:iCs/>
              </w:rPr>
              <w:t>No calculation necessary. Data extraction of</w:t>
            </w:r>
            <w:r w:rsidRPr="00CF009C">
              <w:rPr>
                <w:rFonts w:asciiTheme="minorHAnsi" w:eastAsiaTheme="minorHAnsi" w:hAnsiTheme="minorHAnsi" w:cstheme="minorBidi"/>
                <w:iCs/>
              </w:rPr>
              <w:t xml:space="preserve"> Operational Risk Events with a Gross Operational Risk Loss Greater than $200K</w:t>
            </w:r>
            <w:r>
              <w:rPr>
                <w:rFonts w:asciiTheme="minorHAnsi" w:eastAsiaTheme="minorHAnsi" w:hAnsiTheme="minorHAnsi" w:cstheme="minorBidi"/>
                <w:iCs/>
              </w:rPr>
              <w:t>.</w:t>
            </w:r>
          </w:p>
          <w:p w:rsidR="004E41BD" w:rsidRDefault="004E41BD" w:rsidP="001D0D9A">
            <w:pPr>
              <w:spacing w:after="0" w:line="240" w:lineRule="auto"/>
              <w:rPr>
                <w:rFonts w:asciiTheme="minorHAnsi" w:eastAsiaTheme="minorHAnsi" w:hAnsiTheme="minorHAnsi" w:cstheme="minorBidi"/>
                <w:iCs/>
              </w:rPr>
            </w:pPr>
          </w:p>
          <w:p w:rsidR="004E41BD" w:rsidRPr="00F41CA8" w:rsidRDefault="004E41BD" w:rsidP="001D0D9A">
            <w:pPr>
              <w:spacing w:after="0" w:line="240" w:lineRule="auto"/>
              <w:rPr>
                <w:rFonts w:asciiTheme="minorHAnsi" w:eastAsiaTheme="minorHAnsi" w:hAnsiTheme="minorHAnsi" w:cstheme="minorBidi"/>
                <w:iCs/>
              </w:rPr>
            </w:pPr>
          </w:p>
        </w:tc>
      </w:tr>
      <w:tr w:rsidR="004E41BD" w:rsidRPr="00206D41" w:rsidTr="001D0D9A">
        <w:trPr>
          <w:trHeight w:val="525"/>
        </w:trPr>
        <w:tc>
          <w:tcPr>
            <w:tcW w:w="1728" w:type="dxa"/>
            <w:shd w:val="clear" w:color="auto" w:fill="auto"/>
          </w:tcPr>
          <w:p w:rsidR="004E41BD" w:rsidRPr="00206D41" w:rsidRDefault="004E41BD" w:rsidP="001D0D9A">
            <w:pPr>
              <w:rPr>
                <w:b/>
                <w:bCs/>
                <w:iCs/>
              </w:rPr>
            </w:pPr>
            <w:r w:rsidRPr="00206D41">
              <w:rPr>
                <w:b/>
                <w:bCs/>
                <w:iCs/>
              </w:rPr>
              <w:t>SOURCE OF INFORMATION</w:t>
            </w:r>
          </w:p>
        </w:tc>
        <w:tc>
          <w:tcPr>
            <w:tcW w:w="7470" w:type="dxa"/>
            <w:gridSpan w:val="3"/>
            <w:shd w:val="clear" w:color="auto" w:fill="auto"/>
          </w:tcPr>
          <w:p w:rsidR="004E41BD" w:rsidRPr="004B12A4" w:rsidRDefault="004E41BD" w:rsidP="004E41BD">
            <w:pPr>
              <w:numPr>
                <w:ilvl w:val="0"/>
                <w:numId w:val="15"/>
              </w:numPr>
              <w:spacing w:after="0" w:line="240" w:lineRule="auto"/>
              <w:ind w:left="252" w:hanging="252"/>
              <w:contextualSpacing/>
              <w:rPr>
                <w:rFonts w:eastAsiaTheme="minorHAnsi" w:cstheme="minorBidi"/>
                <w:bCs/>
                <w:iCs/>
                <w:szCs w:val="24"/>
                <w:lang w:val="en-GB"/>
              </w:rPr>
            </w:pPr>
            <w:r w:rsidRPr="004B12A4">
              <w:rPr>
                <w:rFonts w:eastAsiaTheme="minorHAnsi" w:cstheme="minorBidi"/>
                <w:bCs/>
                <w:iCs/>
                <w:szCs w:val="24"/>
                <w:lang w:val="en-GB"/>
              </w:rPr>
              <w:t>Data provided by : Internal Loss Data Team</w:t>
            </w:r>
          </w:p>
          <w:p w:rsidR="004E41BD" w:rsidRPr="004B12A4" w:rsidRDefault="004E41BD" w:rsidP="004E41BD">
            <w:pPr>
              <w:numPr>
                <w:ilvl w:val="0"/>
                <w:numId w:val="16"/>
              </w:numPr>
              <w:spacing w:after="0" w:line="240" w:lineRule="auto"/>
              <w:contextualSpacing/>
              <w:rPr>
                <w:rFonts w:eastAsiaTheme="minorHAnsi" w:cstheme="minorBidi"/>
                <w:bCs/>
                <w:iCs/>
                <w:szCs w:val="24"/>
                <w:lang w:val="en-GB"/>
              </w:rPr>
            </w:pPr>
            <w:r w:rsidRPr="004B12A4">
              <w:rPr>
                <w:rFonts w:eastAsiaTheme="minorHAnsi" w:cstheme="minorBidi"/>
                <w:bCs/>
                <w:iCs/>
                <w:szCs w:val="24"/>
                <w:lang w:val="en-GB"/>
              </w:rPr>
              <w:t>Source System : Internal Loss Database</w:t>
            </w:r>
          </w:p>
          <w:p w:rsidR="004E41BD" w:rsidRPr="00C05360" w:rsidRDefault="004E41BD" w:rsidP="004E41BD">
            <w:pPr>
              <w:pStyle w:val="ListParagraph"/>
              <w:numPr>
                <w:ilvl w:val="0"/>
                <w:numId w:val="19"/>
              </w:numPr>
              <w:tabs>
                <w:tab w:val="left" w:pos="1152"/>
              </w:tabs>
              <w:spacing w:after="0" w:line="240" w:lineRule="auto"/>
              <w:ind w:hanging="18"/>
              <w:rPr>
                <w:bCs/>
                <w:iCs/>
                <w:color w:val="FF0000"/>
              </w:rPr>
            </w:pPr>
            <w:r w:rsidRPr="008E2152">
              <w:rPr>
                <w:rFonts w:ascii="Calibri" w:hAnsi="Calibri"/>
                <w:bCs/>
                <w:iCs/>
              </w:rPr>
              <w:t>Data Provided : Gross Operational Risk Loss Number</w:t>
            </w:r>
          </w:p>
          <w:p w:rsidR="004E41BD" w:rsidRDefault="004E41BD" w:rsidP="001D0D9A">
            <w:pPr>
              <w:tabs>
                <w:tab w:val="left" w:pos="1152"/>
              </w:tabs>
              <w:spacing w:after="0" w:line="240" w:lineRule="auto"/>
              <w:rPr>
                <w:bCs/>
                <w:iCs/>
              </w:rPr>
            </w:pPr>
          </w:p>
          <w:p w:rsidR="004E41BD" w:rsidRPr="00C05360" w:rsidRDefault="004E41BD" w:rsidP="001D0D9A">
            <w:pPr>
              <w:tabs>
                <w:tab w:val="left" w:pos="1152"/>
              </w:tabs>
              <w:spacing w:after="0" w:line="240" w:lineRule="auto"/>
              <w:rPr>
                <w:bCs/>
                <w:iCs/>
                <w:color w:val="FF0000"/>
              </w:rPr>
            </w:pPr>
            <w:r>
              <w:rPr>
                <w:bCs/>
                <w:iCs/>
              </w:rPr>
              <w:t>SC - The data is collected in Archer and reported from Archer.</w:t>
            </w:r>
          </w:p>
        </w:tc>
      </w:tr>
    </w:tbl>
    <w:p w:rsidR="006A7F5C" w:rsidRPr="00717B77" w:rsidRDefault="006A7F5C" w:rsidP="006A7F5C"/>
    <w:sectPr w:rsidR="006A7F5C" w:rsidRPr="00717B7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FF6" w:rsidRDefault="00ED1FF6" w:rsidP="002653E7">
      <w:pPr>
        <w:spacing w:after="0" w:line="240" w:lineRule="auto"/>
      </w:pPr>
      <w:r>
        <w:separator/>
      </w:r>
    </w:p>
  </w:endnote>
  <w:endnote w:type="continuationSeparator" w:id="0">
    <w:p w:rsidR="00ED1FF6" w:rsidRDefault="00ED1FF6" w:rsidP="00265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FF6" w:rsidRDefault="00ED1FF6" w:rsidP="002653E7">
      <w:pPr>
        <w:spacing w:after="0" w:line="240" w:lineRule="auto"/>
      </w:pPr>
      <w:r>
        <w:separator/>
      </w:r>
    </w:p>
  </w:footnote>
  <w:footnote w:type="continuationSeparator" w:id="0">
    <w:p w:rsidR="00ED1FF6" w:rsidRDefault="00ED1FF6" w:rsidP="002653E7">
      <w:pPr>
        <w:spacing w:after="0" w:line="240" w:lineRule="auto"/>
      </w:pPr>
      <w:r>
        <w:continuationSeparator/>
      </w:r>
    </w:p>
  </w:footnote>
  <w:footnote w:id="1">
    <w:p w:rsidR="00ED1FF6" w:rsidRDefault="00ED1FF6" w:rsidP="00F92D0F">
      <w:pPr>
        <w:spacing w:after="0" w:line="240" w:lineRule="auto"/>
      </w:pPr>
      <w:r>
        <w:rPr>
          <w:rStyle w:val="FootnoteReference"/>
        </w:rPr>
        <w:footnoteRef/>
      </w:r>
      <w:r>
        <w:t xml:space="preserve"> </w:t>
      </w:r>
      <w:r w:rsidRPr="002E30C5">
        <w:rPr>
          <w:b/>
          <w:bCs/>
          <w:iCs/>
          <w:sz w:val="20"/>
          <w:szCs w:val="20"/>
        </w:rPr>
        <w:t>SC. Structural Needs.</w:t>
      </w:r>
      <w:r w:rsidRPr="002E30C5">
        <w:rPr>
          <w:bCs/>
          <w:iCs/>
          <w:sz w:val="20"/>
          <w:szCs w:val="20"/>
        </w:rPr>
        <w:t xml:space="preserve"> Loan portfolio, netted by the allowance for loan losses; Total amount of restricted cash; Lease balance; </w:t>
      </w:r>
      <w:proofErr w:type="gramStart"/>
      <w:r w:rsidRPr="002E30C5">
        <w:rPr>
          <w:bCs/>
          <w:iCs/>
          <w:sz w:val="20"/>
          <w:szCs w:val="20"/>
        </w:rPr>
        <w:t>Other</w:t>
      </w:r>
      <w:proofErr w:type="gramEnd"/>
      <w:r w:rsidRPr="002E30C5">
        <w:rPr>
          <w:bCs/>
          <w:iCs/>
          <w:sz w:val="20"/>
          <w:szCs w:val="20"/>
        </w:rPr>
        <w:t xml:space="preserve"> assets: other assets considered as structural are Goodwill, intangibles and Furniture and Fixtures. </w:t>
      </w:r>
      <w:proofErr w:type="gramStart"/>
      <w:r w:rsidRPr="002E30C5">
        <w:rPr>
          <w:b/>
          <w:bCs/>
          <w:iCs/>
          <w:sz w:val="20"/>
          <w:szCs w:val="20"/>
        </w:rPr>
        <w:t>SC. Structural Funding.</w:t>
      </w:r>
      <w:proofErr w:type="gramEnd"/>
      <w:r w:rsidRPr="002E30C5">
        <w:rPr>
          <w:bCs/>
          <w:iCs/>
          <w:sz w:val="20"/>
          <w:szCs w:val="20"/>
        </w:rPr>
        <w:t xml:space="preserve"> Warehouses: intragroup and third party warehouses; Outstanding Securitizations; Equity. </w:t>
      </w:r>
      <w:proofErr w:type="gramStart"/>
      <w:r w:rsidRPr="002E30C5">
        <w:rPr>
          <w:b/>
          <w:bCs/>
          <w:iCs/>
          <w:sz w:val="20"/>
          <w:szCs w:val="20"/>
        </w:rPr>
        <w:t>SBNA.</w:t>
      </w:r>
      <w:proofErr w:type="gramEnd"/>
      <w:r w:rsidRPr="002E30C5">
        <w:rPr>
          <w:b/>
          <w:bCs/>
          <w:iCs/>
          <w:sz w:val="20"/>
          <w:szCs w:val="20"/>
        </w:rPr>
        <w:t xml:space="preserve"> </w:t>
      </w:r>
      <w:proofErr w:type="gramStart"/>
      <w:r w:rsidRPr="002E30C5">
        <w:rPr>
          <w:b/>
          <w:bCs/>
          <w:iCs/>
          <w:sz w:val="20"/>
          <w:szCs w:val="20"/>
        </w:rPr>
        <w:t>Structural Needs.</w:t>
      </w:r>
      <w:proofErr w:type="gramEnd"/>
      <w:r w:rsidRPr="002E30C5">
        <w:rPr>
          <w:bCs/>
          <w:iCs/>
          <w:sz w:val="20"/>
          <w:szCs w:val="20"/>
        </w:rPr>
        <w:t xml:space="preserve"> Complete Loan portfolio (Retail and Commercial); investments that have been clearly identified as structural (stock for FHLB and FRB membership); </w:t>
      </w:r>
      <w:proofErr w:type="gramStart"/>
      <w:r w:rsidRPr="002E30C5">
        <w:rPr>
          <w:bCs/>
          <w:iCs/>
          <w:sz w:val="20"/>
          <w:szCs w:val="20"/>
        </w:rPr>
        <w:t>Other</w:t>
      </w:r>
      <w:proofErr w:type="gramEnd"/>
      <w:r w:rsidRPr="002E30C5">
        <w:rPr>
          <w:bCs/>
          <w:iCs/>
          <w:sz w:val="20"/>
          <w:szCs w:val="20"/>
        </w:rPr>
        <w:t xml:space="preserve"> assets: Allowance for Loan Losses, Real estate assets, Fixed assets and BOLI</w:t>
      </w:r>
      <w:r>
        <w:rPr>
          <w:bCs/>
          <w:iCs/>
          <w:sz w:val="20"/>
          <w:szCs w:val="20"/>
        </w:rPr>
        <w:t>.</w:t>
      </w:r>
      <w:r w:rsidRPr="002E30C5">
        <w:rPr>
          <w:b/>
          <w:bCs/>
          <w:iCs/>
          <w:sz w:val="20"/>
          <w:szCs w:val="20"/>
        </w:rPr>
        <w:t xml:space="preserve">SBNA. </w:t>
      </w:r>
      <w:proofErr w:type="gramStart"/>
      <w:r w:rsidRPr="002E30C5">
        <w:rPr>
          <w:b/>
          <w:bCs/>
          <w:iCs/>
          <w:sz w:val="20"/>
          <w:szCs w:val="20"/>
        </w:rPr>
        <w:t>Structural Funding.</w:t>
      </w:r>
      <w:proofErr w:type="gramEnd"/>
      <w:r w:rsidRPr="002E30C5">
        <w:rPr>
          <w:bCs/>
          <w:iCs/>
          <w:sz w:val="20"/>
          <w:szCs w:val="20"/>
        </w:rPr>
        <w:t xml:space="preserve"> DDA, Savings and Money Market Deposits </w:t>
      </w:r>
      <w:proofErr w:type="gramStart"/>
      <w:r w:rsidRPr="002E30C5">
        <w:rPr>
          <w:bCs/>
          <w:iCs/>
          <w:sz w:val="20"/>
          <w:szCs w:val="20"/>
        </w:rPr>
        <w:t>( Retail</w:t>
      </w:r>
      <w:proofErr w:type="gramEnd"/>
      <w:r w:rsidRPr="002E30C5">
        <w:rPr>
          <w:bCs/>
          <w:iCs/>
          <w:sz w:val="20"/>
          <w:szCs w:val="20"/>
        </w:rPr>
        <w:t xml:space="preserve"> + SME); CDs and Jumbo CDs; Wholesale Borrowing identified as structural (FHLB Borrowings); Total amount of debt; Equity (Brokered Deposits are excluded). </w:t>
      </w:r>
      <w:proofErr w:type="gramStart"/>
      <w:r w:rsidRPr="002E30C5">
        <w:rPr>
          <w:b/>
          <w:sz w:val="20"/>
          <w:szCs w:val="20"/>
        </w:rPr>
        <w:t>SHUSA.</w:t>
      </w:r>
      <w:proofErr w:type="gramEnd"/>
      <w:r w:rsidRPr="002E30C5">
        <w:rPr>
          <w:b/>
          <w:sz w:val="20"/>
          <w:szCs w:val="20"/>
        </w:rPr>
        <w:t xml:space="preserve"> </w:t>
      </w:r>
      <w:proofErr w:type="gramStart"/>
      <w:r w:rsidRPr="002E30C5">
        <w:rPr>
          <w:b/>
          <w:sz w:val="20"/>
          <w:szCs w:val="20"/>
        </w:rPr>
        <w:t>Structural Needs.</w:t>
      </w:r>
      <w:proofErr w:type="gramEnd"/>
      <w:r w:rsidRPr="002E30C5">
        <w:rPr>
          <w:sz w:val="20"/>
          <w:szCs w:val="20"/>
        </w:rPr>
        <w:t xml:space="preserve"> </w:t>
      </w:r>
      <w:proofErr w:type="gramStart"/>
      <w:r w:rsidRPr="002E30C5">
        <w:rPr>
          <w:sz w:val="20"/>
          <w:szCs w:val="20"/>
        </w:rPr>
        <w:t>SBNA Structural Needs + SC Structural Needs.</w:t>
      </w:r>
      <w:proofErr w:type="gramEnd"/>
      <w:r w:rsidRPr="002E30C5">
        <w:rPr>
          <w:sz w:val="20"/>
          <w:szCs w:val="20"/>
        </w:rPr>
        <w:t xml:space="preserve"> </w:t>
      </w:r>
      <w:proofErr w:type="gramStart"/>
      <w:r w:rsidRPr="002E30C5">
        <w:rPr>
          <w:b/>
          <w:sz w:val="20"/>
          <w:szCs w:val="20"/>
        </w:rPr>
        <w:t>SHUSA.</w:t>
      </w:r>
      <w:proofErr w:type="gramEnd"/>
      <w:r w:rsidRPr="002E30C5">
        <w:rPr>
          <w:b/>
          <w:sz w:val="20"/>
          <w:szCs w:val="20"/>
        </w:rPr>
        <w:t xml:space="preserve"> </w:t>
      </w:r>
      <w:proofErr w:type="gramStart"/>
      <w:r w:rsidRPr="002E30C5">
        <w:rPr>
          <w:b/>
          <w:sz w:val="20"/>
          <w:szCs w:val="20"/>
        </w:rPr>
        <w:t>Structural Funding.</w:t>
      </w:r>
      <w:proofErr w:type="gramEnd"/>
      <w:r w:rsidRPr="002E30C5">
        <w:rPr>
          <w:sz w:val="20"/>
          <w:szCs w:val="20"/>
        </w:rPr>
        <w:t xml:space="preserve"> </w:t>
      </w:r>
      <w:proofErr w:type="gramStart"/>
      <w:r w:rsidRPr="002E30C5">
        <w:rPr>
          <w:sz w:val="20"/>
          <w:szCs w:val="20"/>
        </w:rPr>
        <w:t>SHUSA Debt issuances; SBNA Structural Funding; SC Structural Funding</w:t>
      </w:r>
      <w:r>
        <w:t>.</w:t>
      </w:r>
      <w:proofErr w:type="gramEnd"/>
    </w:p>
  </w:footnote>
  <w:footnote w:id="2">
    <w:p w:rsidR="00ED1FF6" w:rsidRDefault="00ED1FF6" w:rsidP="00F92D0F">
      <w:pPr>
        <w:pStyle w:val="FootnoteText"/>
      </w:pPr>
      <w:r>
        <w:rPr>
          <w:rStyle w:val="FootnoteReference"/>
        </w:rPr>
        <w:footnoteRef/>
      </w:r>
      <w:r>
        <w:t xml:space="preserve"> October 2014: T</w:t>
      </w:r>
      <w:r w:rsidRPr="00950957">
        <w:t>he Office of the Comptroller of the Currency (OCC), the Board of Governors of the Federal Reserve System (Federal Reserve Board), and the Federal Deposit Insurance Corporation (collectively, the agencies) issued a final rule that implements a quantitative liquidity requirement consistent with the liquidity coverage ratio (LCR) established by the Basel Committee on Banking Supervision (BCBS).</w:t>
      </w:r>
    </w:p>
  </w:footnote>
  <w:footnote w:id="3">
    <w:p w:rsidR="00ED1FF6" w:rsidRDefault="00ED1FF6" w:rsidP="00F92D0F">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4">
    <w:p w:rsidR="00ED1FF6" w:rsidRDefault="00ED1FF6" w:rsidP="00C16CCA">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5">
    <w:p w:rsidR="00ED1FF6" w:rsidRDefault="00ED1FF6" w:rsidP="00C16CCA">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6">
    <w:p w:rsidR="00ED1FF6" w:rsidRDefault="00ED1FF6" w:rsidP="00C16CCA">
      <w:pPr>
        <w:pStyle w:val="FootnoteText"/>
      </w:pPr>
      <w:r>
        <w:rPr>
          <w:rStyle w:val="FootnoteReference"/>
        </w:rPr>
        <w:footnoteRef/>
      </w:r>
      <w:r>
        <w:t xml:space="preserve"> Specific limits are set for CRE and Multifamily which are based on internal definitions for CRE and Multifamily. Those exposures will also feed into the relevant OCC industry classification. </w:t>
      </w:r>
    </w:p>
  </w:footnote>
  <w:footnote w:id="7">
    <w:p w:rsidR="00ED1FF6" w:rsidRDefault="00ED1FF6" w:rsidP="00C16CCA">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8">
    <w:p w:rsidR="00ED1FF6" w:rsidRDefault="00ED1FF6" w:rsidP="00C16CCA">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 w:id="9">
    <w:p w:rsidR="00ED1FF6" w:rsidRDefault="00ED1FF6" w:rsidP="00C16CCA">
      <w:pPr>
        <w:pStyle w:val="FootnoteText"/>
      </w:pPr>
      <w:r>
        <w:rPr>
          <w:rStyle w:val="FootnoteReference"/>
        </w:rPr>
        <w:footnoteRef/>
      </w:r>
      <w:r>
        <w:t xml:space="preserve"> “PFE”: “potential future exposure” for derivatives. “REC”: Spanish acronym for “</w:t>
      </w:r>
      <w:proofErr w:type="spellStart"/>
      <w:r>
        <w:t>Riesgo</w:t>
      </w:r>
      <w:proofErr w:type="spellEnd"/>
      <w:r>
        <w:t xml:space="preserve"> </w:t>
      </w:r>
      <w:proofErr w:type="spellStart"/>
      <w:r>
        <w:t>en</w:t>
      </w:r>
      <w:proofErr w:type="spellEnd"/>
      <w:r>
        <w:t xml:space="preserve"> </w:t>
      </w:r>
      <w:proofErr w:type="spellStart"/>
      <w:r>
        <w:t>Crédito</w:t>
      </w:r>
      <w:proofErr w:type="spellEnd"/>
      <w:r>
        <w:t>”, equivalent to PFE in the context of derivative exposures.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FF6" w:rsidRDefault="00ED1FF6">
    <w:pPr>
      <w:pStyle w:val="Header"/>
    </w:pPr>
  </w:p>
  <w:p w:rsidR="00ED1FF6" w:rsidRDefault="00ED1FF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6F09"/>
    <w:multiLevelType w:val="hybridMultilevel"/>
    <w:tmpl w:val="0BF882B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C5D45"/>
    <w:multiLevelType w:val="hybridMultilevel"/>
    <w:tmpl w:val="E962DD1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082364"/>
    <w:multiLevelType w:val="hybridMultilevel"/>
    <w:tmpl w:val="D7F8C95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9715ED"/>
    <w:multiLevelType w:val="hybridMultilevel"/>
    <w:tmpl w:val="BDF0249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B0979EF"/>
    <w:multiLevelType w:val="hybridMultilevel"/>
    <w:tmpl w:val="18249ADA"/>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BE7AA2"/>
    <w:multiLevelType w:val="hybridMultilevel"/>
    <w:tmpl w:val="E51E5C9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18258F5"/>
    <w:multiLevelType w:val="hybridMultilevel"/>
    <w:tmpl w:val="F788C3D4"/>
    <w:lvl w:ilvl="0" w:tplc="04090003">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74368"/>
    <w:multiLevelType w:val="hybridMultilevel"/>
    <w:tmpl w:val="6E5C40BA"/>
    <w:lvl w:ilvl="0" w:tplc="0409000B">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B96D2A"/>
    <w:multiLevelType w:val="hybridMultilevel"/>
    <w:tmpl w:val="6D98D88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4E2A0A"/>
    <w:multiLevelType w:val="hybridMultilevel"/>
    <w:tmpl w:val="C4FEE984"/>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A7E5740"/>
    <w:multiLevelType w:val="hybridMultilevel"/>
    <w:tmpl w:val="E59296F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DAB2905"/>
    <w:multiLevelType w:val="hybridMultilevel"/>
    <w:tmpl w:val="46C42C38"/>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FDB19D0"/>
    <w:multiLevelType w:val="hybridMultilevel"/>
    <w:tmpl w:val="D76E42F4"/>
    <w:lvl w:ilvl="0" w:tplc="38429C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2134F1C"/>
    <w:multiLevelType w:val="hybridMultilevel"/>
    <w:tmpl w:val="5F5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AC0EB1"/>
    <w:multiLevelType w:val="hybridMultilevel"/>
    <w:tmpl w:val="5BF2D26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FB2A8C"/>
    <w:multiLevelType w:val="hybridMultilevel"/>
    <w:tmpl w:val="5AE67B3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465154D"/>
    <w:multiLevelType w:val="hybridMultilevel"/>
    <w:tmpl w:val="9EC8FADC"/>
    <w:lvl w:ilvl="0" w:tplc="04090003">
      <w:start w:val="1"/>
      <w:numFmt w:val="bullet"/>
      <w:lvlText w:val="o"/>
      <w:lvlJc w:val="left"/>
      <w:pPr>
        <w:ind w:left="720" w:hanging="360"/>
      </w:pPr>
      <w:rPr>
        <w:rFonts w:ascii="Courier New" w:hAnsi="Courier New"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BC2F72"/>
    <w:multiLevelType w:val="hybridMultilevel"/>
    <w:tmpl w:val="A93A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1D2563"/>
    <w:multiLevelType w:val="hybridMultilevel"/>
    <w:tmpl w:val="FF2A7100"/>
    <w:lvl w:ilvl="0" w:tplc="4350E1C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6458F7"/>
    <w:multiLevelType w:val="hybridMultilevel"/>
    <w:tmpl w:val="A2E4795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1200FE4"/>
    <w:multiLevelType w:val="hybridMultilevel"/>
    <w:tmpl w:val="8A5ED526"/>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0962AF5"/>
    <w:multiLevelType w:val="multilevel"/>
    <w:tmpl w:val="67D83364"/>
    <w:lvl w:ilvl="0">
      <w:start w:val="1"/>
      <w:numFmt w:val="decimal"/>
      <w:lvlText w:val="%1."/>
      <w:lvlJc w:val="left"/>
      <w:pPr>
        <w:tabs>
          <w:tab w:val="num" w:pos="567"/>
        </w:tabs>
        <w:ind w:left="680" w:hanging="680"/>
      </w:pPr>
      <w:rPr>
        <w:rFonts w:hint="default"/>
      </w:rPr>
    </w:lvl>
    <w:lvl w:ilvl="1">
      <w:start w:val="1"/>
      <w:numFmt w:val="decimal"/>
      <w:lvlText w:val="%1.%2"/>
      <w:lvlJc w:val="left"/>
      <w:pPr>
        <w:tabs>
          <w:tab w:val="num" w:pos="567"/>
        </w:tabs>
        <w:ind w:left="680" w:hanging="680"/>
      </w:pPr>
      <w:rPr>
        <w:rFonts w:ascii="Calibri" w:hAnsi="Calibri" w:cs="Calibri" w:hint="default"/>
        <w:b/>
        <w:bCs w:val="0"/>
        <w:i w:val="0"/>
        <w:iCs w:val="0"/>
        <w:caps w:val="0"/>
        <w:smallCaps w:val="0"/>
        <w:strike w:val="0"/>
        <w:dstrike w:val="0"/>
        <w:noProof w:val="0"/>
        <w:snapToGrid w:val="0"/>
        <w:vanish w:val="0"/>
        <w:color w:val="000000"/>
        <w:spacing w:val="0"/>
        <w:kern w:val="0"/>
        <w:position w:val="0"/>
        <w:sz w:val="24"/>
        <w:szCs w:val="22"/>
        <w:u w:val="none"/>
        <w:effect w:val="none"/>
        <w:vertAlign w:val="baseline"/>
        <w:em w:val="none"/>
        <w:specVanish w:val="0"/>
      </w:rPr>
    </w:lvl>
    <w:lvl w:ilvl="2">
      <w:start w:val="1"/>
      <w:numFmt w:val="decimal"/>
      <w:lvlText w:val="%1.%2.%3"/>
      <w:lvlJc w:val="left"/>
      <w:pPr>
        <w:tabs>
          <w:tab w:val="num" w:pos="1917"/>
        </w:tabs>
        <w:ind w:left="2030" w:hanging="680"/>
      </w:pPr>
      <w:rPr>
        <w:rFonts w:hint="default"/>
      </w:rPr>
    </w:lvl>
    <w:lvl w:ilvl="3">
      <w:start w:val="1"/>
      <w:numFmt w:val="decimal"/>
      <w:lvlText w:val="%1.%2.%3.%4"/>
      <w:lvlJc w:val="left"/>
      <w:pPr>
        <w:tabs>
          <w:tab w:val="num" w:pos="837"/>
        </w:tabs>
        <w:ind w:left="950" w:hanging="680"/>
      </w:pPr>
      <w:rPr>
        <w:rFonts w:hint="default"/>
      </w:rPr>
    </w:lvl>
    <w:lvl w:ilvl="4">
      <w:numFmt w:val="none"/>
      <w:lvlText w:val=""/>
      <w:lvlJc w:val="left"/>
      <w:pPr>
        <w:tabs>
          <w:tab w:val="num" w:pos="360"/>
        </w:tabs>
        <w:ind w:left="0" w:firstLine="0"/>
      </w:pPr>
      <w:rPr>
        <w:rFonts w:hint="default"/>
      </w:rPr>
    </w:lvl>
    <w:lvl w:ilvl="5">
      <w:numFmt w:val="none"/>
      <w:lvlText w:val=""/>
      <w:lvlJc w:val="left"/>
      <w:pPr>
        <w:tabs>
          <w:tab w:val="num" w:pos="360"/>
        </w:tabs>
        <w:ind w:left="0" w:firstLine="0"/>
      </w:pPr>
      <w:rPr>
        <w:rFonts w:hint="default"/>
      </w:rPr>
    </w:lvl>
    <w:lvl w:ilvl="6">
      <w:numFmt w:val="none"/>
      <w:lvlText w:val=""/>
      <w:lvlJc w:val="left"/>
      <w:pPr>
        <w:tabs>
          <w:tab w:val="num" w:pos="360"/>
        </w:tabs>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2">
    <w:nsid w:val="60E57EA6"/>
    <w:multiLevelType w:val="hybridMultilevel"/>
    <w:tmpl w:val="D9341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C067F7"/>
    <w:multiLevelType w:val="hybridMultilevel"/>
    <w:tmpl w:val="68BC5B62"/>
    <w:lvl w:ilvl="0" w:tplc="5186EA58">
      <w:start w:val="1"/>
      <w:numFmt w:val="bullet"/>
      <w:lvlText w:val="-"/>
      <w:lvlJc w:val="left"/>
      <w:pPr>
        <w:tabs>
          <w:tab w:val="num" w:pos="720"/>
        </w:tabs>
        <w:ind w:left="720" w:hanging="360"/>
      </w:pPr>
      <w:rPr>
        <w:rFonts w:ascii="Times New Roman" w:hAnsi="Times New Roman" w:hint="default"/>
      </w:rPr>
    </w:lvl>
    <w:lvl w:ilvl="1" w:tplc="C2360680" w:tentative="1">
      <w:start w:val="1"/>
      <w:numFmt w:val="bullet"/>
      <w:lvlText w:val="-"/>
      <w:lvlJc w:val="left"/>
      <w:pPr>
        <w:tabs>
          <w:tab w:val="num" w:pos="1440"/>
        </w:tabs>
        <w:ind w:left="1440" w:hanging="360"/>
      </w:pPr>
      <w:rPr>
        <w:rFonts w:ascii="Times New Roman" w:hAnsi="Times New Roman" w:hint="default"/>
      </w:rPr>
    </w:lvl>
    <w:lvl w:ilvl="2" w:tplc="C5C21BD6" w:tentative="1">
      <w:start w:val="1"/>
      <w:numFmt w:val="bullet"/>
      <w:lvlText w:val="-"/>
      <w:lvlJc w:val="left"/>
      <w:pPr>
        <w:tabs>
          <w:tab w:val="num" w:pos="2160"/>
        </w:tabs>
        <w:ind w:left="2160" w:hanging="360"/>
      </w:pPr>
      <w:rPr>
        <w:rFonts w:ascii="Times New Roman" w:hAnsi="Times New Roman" w:hint="default"/>
      </w:rPr>
    </w:lvl>
    <w:lvl w:ilvl="3" w:tplc="37D4463C" w:tentative="1">
      <w:start w:val="1"/>
      <w:numFmt w:val="bullet"/>
      <w:lvlText w:val="-"/>
      <w:lvlJc w:val="left"/>
      <w:pPr>
        <w:tabs>
          <w:tab w:val="num" w:pos="2880"/>
        </w:tabs>
        <w:ind w:left="2880" w:hanging="360"/>
      </w:pPr>
      <w:rPr>
        <w:rFonts w:ascii="Times New Roman" w:hAnsi="Times New Roman" w:hint="default"/>
      </w:rPr>
    </w:lvl>
    <w:lvl w:ilvl="4" w:tplc="FAC04CF8" w:tentative="1">
      <w:start w:val="1"/>
      <w:numFmt w:val="bullet"/>
      <w:lvlText w:val="-"/>
      <w:lvlJc w:val="left"/>
      <w:pPr>
        <w:tabs>
          <w:tab w:val="num" w:pos="3600"/>
        </w:tabs>
        <w:ind w:left="3600" w:hanging="360"/>
      </w:pPr>
      <w:rPr>
        <w:rFonts w:ascii="Times New Roman" w:hAnsi="Times New Roman" w:hint="default"/>
      </w:rPr>
    </w:lvl>
    <w:lvl w:ilvl="5" w:tplc="5CBE4CB2" w:tentative="1">
      <w:start w:val="1"/>
      <w:numFmt w:val="bullet"/>
      <w:lvlText w:val="-"/>
      <w:lvlJc w:val="left"/>
      <w:pPr>
        <w:tabs>
          <w:tab w:val="num" w:pos="4320"/>
        </w:tabs>
        <w:ind w:left="4320" w:hanging="360"/>
      </w:pPr>
      <w:rPr>
        <w:rFonts w:ascii="Times New Roman" w:hAnsi="Times New Roman" w:hint="default"/>
      </w:rPr>
    </w:lvl>
    <w:lvl w:ilvl="6" w:tplc="B0706FAE" w:tentative="1">
      <w:start w:val="1"/>
      <w:numFmt w:val="bullet"/>
      <w:lvlText w:val="-"/>
      <w:lvlJc w:val="left"/>
      <w:pPr>
        <w:tabs>
          <w:tab w:val="num" w:pos="5040"/>
        </w:tabs>
        <w:ind w:left="5040" w:hanging="360"/>
      </w:pPr>
      <w:rPr>
        <w:rFonts w:ascii="Times New Roman" w:hAnsi="Times New Roman" w:hint="default"/>
      </w:rPr>
    </w:lvl>
    <w:lvl w:ilvl="7" w:tplc="C9322CE8" w:tentative="1">
      <w:start w:val="1"/>
      <w:numFmt w:val="bullet"/>
      <w:lvlText w:val="-"/>
      <w:lvlJc w:val="left"/>
      <w:pPr>
        <w:tabs>
          <w:tab w:val="num" w:pos="5760"/>
        </w:tabs>
        <w:ind w:left="5760" w:hanging="360"/>
      </w:pPr>
      <w:rPr>
        <w:rFonts w:ascii="Times New Roman" w:hAnsi="Times New Roman" w:hint="default"/>
      </w:rPr>
    </w:lvl>
    <w:lvl w:ilvl="8" w:tplc="29A866F4"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C3503E0"/>
    <w:multiLevelType w:val="hybridMultilevel"/>
    <w:tmpl w:val="A964E69E"/>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E6723F7"/>
    <w:multiLevelType w:val="hybridMultilevel"/>
    <w:tmpl w:val="ED22D256"/>
    <w:lvl w:ilvl="0" w:tplc="38429C00">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F5B34E4"/>
    <w:multiLevelType w:val="hybridMultilevel"/>
    <w:tmpl w:val="AF969E22"/>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6068DB"/>
    <w:multiLevelType w:val="hybridMultilevel"/>
    <w:tmpl w:val="ADE267D0"/>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630874"/>
    <w:multiLevelType w:val="hybridMultilevel"/>
    <w:tmpl w:val="D024760C"/>
    <w:lvl w:ilvl="0" w:tplc="38429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5"/>
  </w:num>
  <w:num w:numId="4">
    <w:abstractNumId w:val="24"/>
  </w:num>
  <w:num w:numId="5">
    <w:abstractNumId w:val="9"/>
  </w:num>
  <w:num w:numId="6">
    <w:abstractNumId w:val="26"/>
  </w:num>
  <w:num w:numId="7">
    <w:abstractNumId w:val="10"/>
  </w:num>
  <w:num w:numId="8">
    <w:abstractNumId w:val="12"/>
  </w:num>
  <w:num w:numId="9">
    <w:abstractNumId w:val="1"/>
  </w:num>
  <w:num w:numId="10">
    <w:abstractNumId w:val="2"/>
  </w:num>
  <w:num w:numId="11">
    <w:abstractNumId w:val="8"/>
  </w:num>
  <w:num w:numId="12">
    <w:abstractNumId w:val="27"/>
  </w:num>
  <w:num w:numId="13">
    <w:abstractNumId w:val="3"/>
  </w:num>
  <w:num w:numId="14">
    <w:abstractNumId w:val="25"/>
  </w:num>
  <w:num w:numId="15">
    <w:abstractNumId w:val="18"/>
  </w:num>
  <w:num w:numId="16">
    <w:abstractNumId w:val="7"/>
  </w:num>
  <w:num w:numId="17">
    <w:abstractNumId w:val="6"/>
  </w:num>
  <w:num w:numId="18">
    <w:abstractNumId w:val="4"/>
  </w:num>
  <w:num w:numId="19">
    <w:abstractNumId w:val="16"/>
  </w:num>
  <w:num w:numId="20">
    <w:abstractNumId w:val="0"/>
  </w:num>
  <w:num w:numId="21">
    <w:abstractNumId w:val="19"/>
  </w:num>
  <w:num w:numId="22">
    <w:abstractNumId w:val="20"/>
  </w:num>
  <w:num w:numId="23">
    <w:abstractNumId w:val="28"/>
  </w:num>
  <w:num w:numId="24">
    <w:abstractNumId w:val="11"/>
  </w:num>
  <w:num w:numId="25">
    <w:abstractNumId w:val="13"/>
  </w:num>
  <w:num w:numId="26">
    <w:abstractNumId w:val="17"/>
  </w:num>
  <w:num w:numId="27">
    <w:abstractNumId w:val="14"/>
  </w:num>
  <w:num w:numId="28">
    <w:abstractNumId w:val="22"/>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3E7"/>
    <w:rsid w:val="000A71D3"/>
    <w:rsid w:val="000C1543"/>
    <w:rsid w:val="000C32A5"/>
    <w:rsid w:val="001203D3"/>
    <w:rsid w:val="001351F5"/>
    <w:rsid w:val="00156855"/>
    <w:rsid w:val="00195817"/>
    <w:rsid w:val="001D0D9A"/>
    <w:rsid w:val="002066E0"/>
    <w:rsid w:val="002653E7"/>
    <w:rsid w:val="00340FBF"/>
    <w:rsid w:val="003B6A89"/>
    <w:rsid w:val="003C1E8B"/>
    <w:rsid w:val="003C43D5"/>
    <w:rsid w:val="003C7E77"/>
    <w:rsid w:val="004145FC"/>
    <w:rsid w:val="00433511"/>
    <w:rsid w:val="004E41BD"/>
    <w:rsid w:val="00500881"/>
    <w:rsid w:val="00531B7B"/>
    <w:rsid w:val="00551663"/>
    <w:rsid w:val="0057138C"/>
    <w:rsid w:val="00582115"/>
    <w:rsid w:val="00587D8A"/>
    <w:rsid w:val="005D392B"/>
    <w:rsid w:val="005F7235"/>
    <w:rsid w:val="00622FC2"/>
    <w:rsid w:val="006232E9"/>
    <w:rsid w:val="00680657"/>
    <w:rsid w:val="006A3B48"/>
    <w:rsid w:val="006A7F5C"/>
    <w:rsid w:val="00713D83"/>
    <w:rsid w:val="00717B77"/>
    <w:rsid w:val="00750F36"/>
    <w:rsid w:val="007C38BA"/>
    <w:rsid w:val="008270C8"/>
    <w:rsid w:val="008C4B22"/>
    <w:rsid w:val="00907DCD"/>
    <w:rsid w:val="009A1A42"/>
    <w:rsid w:val="009E1AF5"/>
    <w:rsid w:val="00A5439B"/>
    <w:rsid w:val="00A763AE"/>
    <w:rsid w:val="00AF64B0"/>
    <w:rsid w:val="00B36372"/>
    <w:rsid w:val="00BB7BDA"/>
    <w:rsid w:val="00C16CCA"/>
    <w:rsid w:val="00C45649"/>
    <w:rsid w:val="00C457F5"/>
    <w:rsid w:val="00C71F96"/>
    <w:rsid w:val="00C73752"/>
    <w:rsid w:val="00C85E5E"/>
    <w:rsid w:val="00CD0B77"/>
    <w:rsid w:val="00CF6760"/>
    <w:rsid w:val="00D16AB2"/>
    <w:rsid w:val="00D24877"/>
    <w:rsid w:val="00DB3460"/>
    <w:rsid w:val="00DD0365"/>
    <w:rsid w:val="00DF4CEA"/>
    <w:rsid w:val="00E703F4"/>
    <w:rsid w:val="00ED1FF6"/>
    <w:rsid w:val="00F27004"/>
    <w:rsid w:val="00F9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3E7"/>
    <w:rPr>
      <w:rFonts w:ascii="Calibri" w:eastAsia="Calibri" w:hAnsi="Calibri" w:cs="Times New Roman"/>
    </w:rPr>
  </w:style>
  <w:style w:type="paragraph" w:styleId="Heading1">
    <w:name w:val="heading 1"/>
    <w:basedOn w:val="Normal"/>
    <w:next w:val="Normal"/>
    <w:link w:val="Heading1Char"/>
    <w:uiPriority w:val="9"/>
    <w:qFormat/>
    <w:rsid w:val="00265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53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E7"/>
    <w:rPr>
      <w:rFonts w:ascii="Tahoma" w:eastAsia="Calibri" w:hAnsi="Tahoma" w:cs="Tahoma"/>
      <w:sz w:val="16"/>
      <w:szCs w:val="16"/>
    </w:rPr>
  </w:style>
  <w:style w:type="paragraph" w:styleId="TOC1">
    <w:name w:val="toc 1"/>
    <w:basedOn w:val="Normal"/>
    <w:next w:val="Normal"/>
    <w:autoRedefine/>
    <w:uiPriority w:val="39"/>
    <w:unhideWhenUsed/>
    <w:qFormat/>
    <w:rsid w:val="002653E7"/>
    <w:pPr>
      <w:spacing w:before="120" w:after="120"/>
    </w:pPr>
    <w:rPr>
      <w:b/>
      <w:caps/>
      <w:color w:val="FF0000"/>
      <w:sz w:val="20"/>
    </w:rPr>
  </w:style>
  <w:style w:type="paragraph" w:styleId="TOC2">
    <w:name w:val="toc 2"/>
    <w:basedOn w:val="Normal"/>
    <w:next w:val="Normal"/>
    <w:autoRedefine/>
    <w:uiPriority w:val="39"/>
    <w:unhideWhenUsed/>
    <w:qFormat/>
    <w:rsid w:val="008270C8"/>
    <w:pPr>
      <w:tabs>
        <w:tab w:val="left" w:pos="880"/>
        <w:tab w:val="right" w:leader="dot" w:pos="9350"/>
      </w:tabs>
      <w:spacing w:after="0"/>
      <w:ind w:left="216"/>
    </w:pPr>
    <w:rPr>
      <w:rFonts w:cs="Calibri"/>
      <w:b/>
      <w:smallCaps/>
      <w:noProof/>
      <w:snapToGrid w:val="0"/>
      <w:sz w:val="20"/>
      <w:szCs w:val="20"/>
      <w:lang w:bidi="en-US"/>
    </w:rPr>
  </w:style>
  <w:style w:type="character" w:styleId="Hyperlink">
    <w:name w:val="Hyperlink"/>
    <w:aliases w:val="Indice 1º nivel"/>
    <w:basedOn w:val="DefaultParagraphFont"/>
    <w:uiPriority w:val="99"/>
    <w:unhideWhenUsed/>
    <w:rsid w:val="002653E7"/>
    <w:rPr>
      <w:color w:val="0000FF" w:themeColor="hyperlink"/>
      <w:u w:val="single"/>
    </w:rPr>
  </w:style>
  <w:style w:type="paragraph" w:styleId="Header">
    <w:name w:val="header"/>
    <w:basedOn w:val="Normal"/>
    <w:link w:val="HeaderChar"/>
    <w:uiPriority w:val="99"/>
    <w:unhideWhenUsed/>
    <w:rsid w:val="00265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3E7"/>
    <w:rPr>
      <w:rFonts w:ascii="Calibri" w:eastAsia="Calibri" w:hAnsi="Calibri" w:cs="Times New Roman"/>
    </w:rPr>
  </w:style>
  <w:style w:type="paragraph" w:styleId="Footer">
    <w:name w:val="footer"/>
    <w:basedOn w:val="Normal"/>
    <w:link w:val="FooterChar"/>
    <w:uiPriority w:val="99"/>
    <w:unhideWhenUsed/>
    <w:rsid w:val="00265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3E7"/>
    <w:rPr>
      <w:rFonts w:ascii="Calibri" w:eastAsia="Calibri" w:hAnsi="Calibri" w:cs="Times New Roman"/>
    </w:rPr>
  </w:style>
  <w:style w:type="paragraph" w:customStyle="1" w:styleId="SANUS1">
    <w:name w:val="SANUS 1"/>
    <w:basedOn w:val="Heading1"/>
    <w:link w:val="SANUS1Char"/>
    <w:qFormat/>
    <w:rsid w:val="002653E7"/>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2653E7"/>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2653E7"/>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2653E7"/>
    <w:rPr>
      <w:rFonts w:ascii="Calibri" w:eastAsia="Calibri" w:hAnsi="Calibri" w:cs="Times New Roman"/>
      <w:b/>
      <w:bCs/>
      <w:sz w:val="24"/>
      <w:szCs w:val="24"/>
      <w:lang w:bidi="en-US"/>
    </w:rPr>
  </w:style>
  <w:style w:type="paragraph" w:customStyle="1" w:styleId="Normal1">
    <w:name w:val="Normal1"/>
    <w:basedOn w:val="Normal"/>
    <w:link w:val="Normal1Char"/>
    <w:qFormat/>
    <w:rsid w:val="002653E7"/>
    <w:pPr>
      <w:spacing w:before="120"/>
    </w:pPr>
    <w:rPr>
      <w:rFonts w:eastAsia="Times New Roman"/>
    </w:rPr>
  </w:style>
  <w:style w:type="character" w:customStyle="1" w:styleId="Normal1Char">
    <w:name w:val="Normal1 Char"/>
    <w:link w:val="Normal1"/>
    <w:rsid w:val="002653E7"/>
    <w:rPr>
      <w:rFonts w:ascii="Calibri" w:eastAsia="Times New Roman" w:hAnsi="Calibri" w:cs="Times New Roman"/>
    </w:rPr>
  </w:style>
  <w:style w:type="paragraph" w:styleId="FootnoteText">
    <w:name w:val="footnote text"/>
    <w:basedOn w:val="Normal"/>
    <w:link w:val="FootnoteTextChar"/>
    <w:uiPriority w:val="99"/>
    <w:unhideWhenUsed/>
    <w:rsid w:val="002653E7"/>
    <w:pPr>
      <w:spacing w:after="0" w:line="240" w:lineRule="auto"/>
    </w:pPr>
    <w:rPr>
      <w:sz w:val="20"/>
      <w:szCs w:val="20"/>
    </w:rPr>
  </w:style>
  <w:style w:type="character" w:customStyle="1" w:styleId="FootnoteTextChar">
    <w:name w:val="Footnote Text Char"/>
    <w:basedOn w:val="DefaultParagraphFont"/>
    <w:link w:val="FootnoteText"/>
    <w:uiPriority w:val="99"/>
    <w:rsid w:val="002653E7"/>
    <w:rPr>
      <w:rFonts w:ascii="Calibri" w:eastAsia="Calibri" w:hAnsi="Calibri" w:cs="Times New Roman"/>
      <w:sz w:val="20"/>
      <w:szCs w:val="20"/>
    </w:rPr>
  </w:style>
  <w:style w:type="character" w:styleId="FootnoteReference">
    <w:name w:val="footnote reference"/>
    <w:basedOn w:val="DefaultParagraphFont"/>
    <w:uiPriority w:val="99"/>
    <w:unhideWhenUsed/>
    <w:rsid w:val="002653E7"/>
    <w:rPr>
      <w:vertAlign w:val="superscript"/>
    </w:rPr>
  </w:style>
  <w:style w:type="character" w:customStyle="1" w:styleId="Heading1Char">
    <w:name w:val="Heading 1 Char"/>
    <w:basedOn w:val="DefaultParagraphFont"/>
    <w:link w:val="Heading1"/>
    <w:uiPriority w:val="9"/>
    <w:rsid w:val="002653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53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3C1E8B"/>
    <w:rPr>
      <w:szCs w:val="24"/>
      <w:lang w:val="en-GB"/>
    </w:rPr>
  </w:style>
  <w:style w:type="paragraph" w:styleId="ListParagraph">
    <w:name w:val="List Paragraph"/>
    <w:basedOn w:val="Normal"/>
    <w:link w:val="ListParagraphChar"/>
    <w:uiPriority w:val="34"/>
    <w:qFormat/>
    <w:rsid w:val="003C1E8B"/>
    <w:pPr>
      <w:ind w:left="720"/>
      <w:contextualSpacing/>
    </w:pPr>
    <w:rPr>
      <w:rFonts w:asciiTheme="minorHAnsi" w:eastAsiaTheme="minorHAnsi" w:hAnsiTheme="minorHAnsi" w:cstheme="minorBidi"/>
      <w:szCs w:val="24"/>
      <w:lang w:val="en-GB"/>
    </w:rPr>
  </w:style>
  <w:style w:type="paragraph" w:styleId="NormalWeb">
    <w:name w:val="Normal (Web)"/>
    <w:basedOn w:val="Normal"/>
    <w:uiPriority w:val="99"/>
    <w:semiHidden/>
    <w:unhideWhenUsed/>
    <w:rsid w:val="00DB346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5D392B"/>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3E7"/>
    <w:rPr>
      <w:rFonts w:ascii="Calibri" w:eastAsia="Calibri" w:hAnsi="Calibri" w:cs="Times New Roman"/>
    </w:rPr>
  </w:style>
  <w:style w:type="paragraph" w:styleId="Heading1">
    <w:name w:val="heading 1"/>
    <w:basedOn w:val="Normal"/>
    <w:next w:val="Normal"/>
    <w:link w:val="Heading1Char"/>
    <w:uiPriority w:val="9"/>
    <w:qFormat/>
    <w:rsid w:val="002653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653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53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53E7"/>
    <w:rPr>
      <w:rFonts w:ascii="Tahoma" w:eastAsia="Calibri" w:hAnsi="Tahoma" w:cs="Tahoma"/>
      <w:sz w:val="16"/>
      <w:szCs w:val="16"/>
    </w:rPr>
  </w:style>
  <w:style w:type="paragraph" w:styleId="TOC1">
    <w:name w:val="toc 1"/>
    <w:basedOn w:val="Normal"/>
    <w:next w:val="Normal"/>
    <w:autoRedefine/>
    <w:uiPriority w:val="39"/>
    <w:unhideWhenUsed/>
    <w:qFormat/>
    <w:rsid w:val="002653E7"/>
    <w:pPr>
      <w:spacing w:before="120" w:after="120"/>
    </w:pPr>
    <w:rPr>
      <w:b/>
      <w:caps/>
      <w:color w:val="FF0000"/>
      <w:sz w:val="20"/>
    </w:rPr>
  </w:style>
  <w:style w:type="paragraph" w:styleId="TOC2">
    <w:name w:val="toc 2"/>
    <w:basedOn w:val="Normal"/>
    <w:next w:val="Normal"/>
    <w:autoRedefine/>
    <w:uiPriority w:val="39"/>
    <w:unhideWhenUsed/>
    <w:qFormat/>
    <w:rsid w:val="008270C8"/>
    <w:pPr>
      <w:tabs>
        <w:tab w:val="left" w:pos="880"/>
        <w:tab w:val="right" w:leader="dot" w:pos="9350"/>
      </w:tabs>
      <w:spacing w:after="0"/>
      <w:ind w:left="216"/>
    </w:pPr>
    <w:rPr>
      <w:rFonts w:cs="Calibri"/>
      <w:b/>
      <w:smallCaps/>
      <w:noProof/>
      <w:snapToGrid w:val="0"/>
      <w:sz w:val="20"/>
      <w:szCs w:val="20"/>
      <w:lang w:bidi="en-US"/>
    </w:rPr>
  </w:style>
  <w:style w:type="character" w:styleId="Hyperlink">
    <w:name w:val="Hyperlink"/>
    <w:aliases w:val="Indice 1º nivel"/>
    <w:basedOn w:val="DefaultParagraphFont"/>
    <w:uiPriority w:val="99"/>
    <w:unhideWhenUsed/>
    <w:rsid w:val="002653E7"/>
    <w:rPr>
      <w:color w:val="0000FF" w:themeColor="hyperlink"/>
      <w:u w:val="single"/>
    </w:rPr>
  </w:style>
  <w:style w:type="paragraph" w:styleId="Header">
    <w:name w:val="header"/>
    <w:basedOn w:val="Normal"/>
    <w:link w:val="HeaderChar"/>
    <w:uiPriority w:val="99"/>
    <w:unhideWhenUsed/>
    <w:rsid w:val="002653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3E7"/>
    <w:rPr>
      <w:rFonts w:ascii="Calibri" w:eastAsia="Calibri" w:hAnsi="Calibri" w:cs="Times New Roman"/>
    </w:rPr>
  </w:style>
  <w:style w:type="paragraph" w:styleId="Footer">
    <w:name w:val="footer"/>
    <w:basedOn w:val="Normal"/>
    <w:link w:val="FooterChar"/>
    <w:uiPriority w:val="99"/>
    <w:unhideWhenUsed/>
    <w:rsid w:val="002653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3E7"/>
    <w:rPr>
      <w:rFonts w:ascii="Calibri" w:eastAsia="Calibri" w:hAnsi="Calibri" w:cs="Times New Roman"/>
    </w:rPr>
  </w:style>
  <w:style w:type="paragraph" w:customStyle="1" w:styleId="SANUS1">
    <w:name w:val="SANUS 1"/>
    <w:basedOn w:val="Heading1"/>
    <w:link w:val="SANUS1Char"/>
    <w:qFormat/>
    <w:rsid w:val="002653E7"/>
    <w:pPr>
      <w:keepNext w:val="0"/>
      <w:keepLines w:val="0"/>
      <w:pBdr>
        <w:bottom w:val="single" w:sz="4" w:space="1" w:color="FF0000"/>
      </w:pBdr>
      <w:spacing w:before="120" w:after="120"/>
      <w:contextualSpacing/>
    </w:pPr>
    <w:rPr>
      <w:rFonts w:ascii="Calibri" w:eastAsia="Calibri" w:hAnsi="Calibri" w:cs="Times New Roman"/>
      <w:color w:val="FF0000"/>
      <w:lang w:bidi="en-US"/>
    </w:rPr>
  </w:style>
  <w:style w:type="character" w:customStyle="1" w:styleId="SANUS1Char">
    <w:name w:val="SANUS 1 Char"/>
    <w:link w:val="SANUS1"/>
    <w:rsid w:val="002653E7"/>
    <w:rPr>
      <w:rFonts w:ascii="Calibri" w:eastAsia="Calibri" w:hAnsi="Calibri" w:cs="Times New Roman"/>
      <w:b/>
      <w:bCs/>
      <w:color w:val="FF0000"/>
      <w:sz w:val="28"/>
      <w:szCs w:val="28"/>
      <w:lang w:bidi="en-US"/>
    </w:rPr>
  </w:style>
  <w:style w:type="paragraph" w:customStyle="1" w:styleId="SANUS2">
    <w:name w:val="SAN US 2"/>
    <w:basedOn w:val="Heading2"/>
    <w:link w:val="SANUS2Char"/>
    <w:qFormat/>
    <w:rsid w:val="002653E7"/>
    <w:pPr>
      <w:keepNext w:val="0"/>
      <w:keepLines w:val="0"/>
      <w:spacing w:before="120" w:after="120"/>
    </w:pPr>
    <w:rPr>
      <w:rFonts w:ascii="Calibri" w:eastAsia="Calibri" w:hAnsi="Calibri" w:cs="Times New Roman"/>
      <w:color w:val="auto"/>
      <w:sz w:val="24"/>
      <w:szCs w:val="24"/>
      <w:lang w:bidi="en-US"/>
    </w:rPr>
  </w:style>
  <w:style w:type="character" w:customStyle="1" w:styleId="SANUS2Char">
    <w:name w:val="SAN US 2 Char"/>
    <w:link w:val="SANUS2"/>
    <w:rsid w:val="002653E7"/>
    <w:rPr>
      <w:rFonts w:ascii="Calibri" w:eastAsia="Calibri" w:hAnsi="Calibri" w:cs="Times New Roman"/>
      <w:b/>
      <w:bCs/>
      <w:sz w:val="24"/>
      <w:szCs w:val="24"/>
      <w:lang w:bidi="en-US"/>
    </w:rPr>
  </w:style>
  <w:style w:type="paragraph" w:customStyle="1" w:styleId="Normal1">
    <w:name w:val="Normal1"/>
    <w:basedOn w:val="Normal"/>
    <w:link w:val="Normal1Char"/>
    <w:qFormat/>
    <w:rsid w:val="002653E7"/>
    <w:pPr>
      <w:spacing w:before="120"/>
    </w:pPr>
    <w:rPr>
      <w:rFonts w:eastAsia="Times New Roman"/>
    </w:rPr>
  </w:style>
  <w:style w:type="character" w:customStyle="1" w:styleId="Normal1Char">
    <w:name w:val="Normal1 Char"/>
    <w:link w:val="Normal1"/>
    <w:rsid w:val="002653E7"/>
    <w:rPr>
      <w:rFonts w:ascii="Calibri" w:eastAsia="Times New Roman" w:hAnsi="Calibri" w:cs="Times New Roman"/>
    </w:rPr>
  </w:style>
  <w:style w:type="paragraph" w:styleId="FootnoteText">
    <w:name w:val="footnote text"/>
    <w:basedOn w:val="Normal"/>
    <w:link w:val="FootnoteTextChar"/>
    <w:uiPriority w:val="99"/>
    <w:unhideWhenUsed/>
    <w:rsid w:val="002653E7"/>
    <w:pPr>
      <w:spacing w:after="0" w:line="240" w:lineRule="auto"/>
    </w:pPr>
    <w:rPr>
      <w:sz w:val="20"/>
      <w:szCs w:val="20"/>
    </w:rPr>
  </w:style>
  <w:style w:type="character" w:customStyle="1" w:styleId="FootnoteTextChar">
    <w:name w:val="Footnote Text Char"/>
    <w:basedOn w:val="DefaultParagraphFont"/>
    <w:link w:val="FootnoteText"/>
    <w:uiPriority w:val="99"/>
    <w:rsid w:val="002653E7"/>
    <w:rPr>
      <w:rFonts w:ascii="Calibri" w:eastAsia="Calibri" w:hAnsi="Calibri" w:cs="Times New Roman"/>
      <w:sz w:val="20"/>
      <w:szCs w:val="20"/>
    </w:rPr>
  </w:style>
  <w:style w:type="character" w:styleId="FootnoteReference">
    <w:name w:val="footnote reference"/>
    <w:basedOn w:val="DefaultParagraphFont"/>
    <w:uiPriority w:val="99"/>
    <w:unhideWhenUsed/>
    <w:rsid w:val="002653E7"/>
    <w:rPr>
      <w:vertAlign w:val="superscript"/>
    </w:rPr>
  </w:style>
  <w:style w:type="character" w:customStyle="1" w:styleId="Heading1Char">
    <w:name w:val="Heading 1 Char"/>
    <w:basedOn w:val="DefaultParagraphFont"/>
    <w:link w:val="Heading1"/>
    <w:uiPriority w:val="9"/>
    <w:rsid w:val="002653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653E7"/>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3C1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3C1E8B"/>
    <w:rPr>
      <w:szCs w:val="24"/>
      <w:lang w:val="en-GB"/>
    </w:rPr>
  </w:style>
  <w:style w:type="paragraph" w:styleId="ListParagraph">
    <w:name w:val="List Paragraph"/>
    <w:basedOn w:val="Normal"/>
    <w:link w:val="ListParagraphChar"/>
    <w:uiPriority w:val="34"/>
    <w:qFormat/>
    <w:rsid w:val="003C1E8B"/>
    <w:pPr>
      <w:ind w:left="720"/>
      <w:contextualSpacing/>
    </w:pPr>
    <w:rPr>
      <w:rFonts w:asciiTheme="minorHAnsi" w:eastAsiaTheme="minorHAnsi" w:hAnsiTheme="minorHAnsi" w:cstheme="minorBidi"/>
      <w:szCs w:val="24"/>
      <w:lang w:val="en-GB"/>
    </w:rPr>
  </w:style>
  <w:style w:type="paragraph" w:styleId="NormalWeb">
    <w:name w:val="Normal (Web)"/>
    <w:basedOn w:val="Normal"/>
    <w:uiPriority w:val="99"/>
    <w:semiHidden/>
    <w:unhideWhenUsed/>
    <w:rsid w:val="00DB3460"/>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5D392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91702">
      <w:bodyDiv w:val="1"/>
      <w:marLeft w:val="0"/>
      <w:marRight w:val="0"/>
      <w:marTop w:val="0"/>
      <w:marBottom w:val="0"/>
      <w:divBdr>
        <w:top w:val="none" w:sz="0" w:space="0" w:color="auto"/>
        <w:left w:val="none" w:sz="0" w:space="0" w:color="auto"/>
        <w:bottom w:val="none" w:sz="0" w:space="0" w:color="auto"/>
        <w:right w:val="none" w:sz="0" w:space="0" w:color="auto"/>
      </w:divBdr>
    </w:div>
    <w:div w:id="526721794">
      <w:bodyDiv w:val="1"/>
      <w:marLeft w:val="0"/>
      <w:marRight w:val="0"/>
      <w:marTop w:val="0"/>
      <w:marBottom w:val="0"/>
      <w:divBdr>
        <w:top w:val="none" w:sz="0" w:space="0" w:color="auto"/>
        <w:left w:val="none" w:sz="0" w:space="0" w:color="auto"/>
        <w:bottom w:val="none" w:sz="0" w:space="0" w:color="auto"/>
        <w:right w:val="none" w:sz="0" w:space="0" w:color="auto"/>
      </w:divBdr>
      <w:divsChild>
        <w:div w:id="1267814013">
          <w:marLeft w:val="576"/>
          <w:marRight w:val="0"/>
          <w:marTop w:val="120"/>
          <w:marBottom w:val="0"/>
          <w:divBdr>
            <w:top w:val="none" w:sz="0" w:space="0" w:color="auto"/>
            <w:left w:val="none" w:sz="0" w:space="0" w:color="auto"/>
            <w:bottom w:val="none" w:sz="0" w:space="0" w:color="auto"/>
            <w:right w:val="none" w:sz="0" w:space="0" w:color="auto"/>
          </w:divBdr>
        </w:div>
        <w:div w:id="29032481">
          <w:marLeft w:val="576"/>
          <w:marRight w:val="0"/>
          <w:marTop w:val="120"/>
          <w:marBottom w:val="0"/>
          <w:divBdr>
            <w:top w:val="none" w:sz="0" w:space="0" w:color="auto"/>
            <w:left w:val="none" w:sz="0" w:space="0" w:color="auto"/>
            <w:bottom w:val="none" w:sz="0" w:space="0" w:color="auto"/>
            <w:right w:val="none" w:sz="0" w:space="0" w:color="auto"/>
          </w:divBdr>
        </w:div>
        <w:div w:id="1839423148">
          <w:marLeft w:val="576"/>
          <w:marRight w:val="0"/>
          <w:marTop w:val="120"/>
          <w:marBottom w:val="0"/>
          <w:divBdr>
            <w:top w:val="none" w:sz="0" w:space="0" w:color="auto"/>
            <w:left w:val="none" w:sz="0" w:space="0" w:color="auto"/>
            <w:bottom w:val="none" w:sz="0" w:space="0" w:color="auto"/>
            <w:right w:val="none" w:sz="0" w:space="0" w:color="auto"/>
          </w:divBdr>
        </w:div>
      </w:divsChild>
    </w:div>
    <w:div w:id="956374487">
      <w:bodyDiv w:val="1"/>
      <w:marLeft w:val="0"/>
      <w:marRight w:val="0"/>
      <w:marTop w:val="0"/>
      <w:marBottom w:val="0"/>
      <w:divBdr>
        <w:top w:val="none" w:sz="0" w:space="0" w:color="auto"/>
        <w:left w:val="none" w:sz="0" w:space="0" w:color="auto"/>
        <w:bottom w:val="none" w:sz="0" w:space="0" w:color="auto"/>
        <w:right w:val="none" w:sz="0" w:space="0" w:color="auto"/>
      </w:divBdr>
    </w:div>
    <w:div w:id="146253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EBF84A-DE67-46BC-9E7D-F04C79DF9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26</Pages>
  <Words>6057</Words>
  <Characters>34530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Sovereign Bank</Company>
  <LinksUpToDate>false</LinksUpToDate>
  <CharactersWithSpaces>40506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Jaume Martorell</dc:creator>
  <cp:lastModifiedBy>Jaume Martorell</cp:lastModifiedBy>
  <cp:revision>35</cp:revision>
  <cp:lastPrinted>2016-01-29T18:28:00Z</cp:lastPrinted>
  <dcterms:created xsi:type="dcterms:W3CDTF">2015-11-20T18:52:00Z</dcterms:created>
  <dcterms:modified xsi:type="dcterms:W3CDTF">2016-02-22T22:22:00Z</dcterms:modified>
</cp:coreProperties>
</file>