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3BF030" w14:textId="77777777" w:rsidR="00E74288" w:rsidRPr="00157994" w:rsidRDefault="00E74288" w:rsidP="00967B2B">
      <w:pPr>
        <w:ind w:left="720" w:hanging="720"/>
        <w:jc w:val="center"/>
        <w:rPr>
          <w:rFonts w:ascii="Cambria" w:hAnsi="Cambria"/>
          <w:b/>
          <w:color w:val="FF0000"/>
          <w:sz w:val="56"/>
          <w:szCs w:val="56"/>
        </w:rPr>
      </w:pPr>
      <w:r w:rsidRPr="00157994">
        <w:rPr>
          <w:rFonts w:ascii="Cambria" w:hAnsi="Cambria"/>
          <w:b/>
          <w:color w:val="FF0000"/>
          <w:sz w:val="56"/>
          <w:szCs w:val="56"/>
        </w:rPr>
        <w:t>Santander Holdings USA</w:t>
      </w:r>
      <w:r>
        <w:rPr>
          <w:rFonts w:ascii="Cambria" w:hAnsi="Cambria"/>
          <w:b/>
          <w:color w:val="FF0000"/>
          <w:sz w:val="56"/>
          <w:szCs w:val="56"/>
        </w:rPr>
        <w:t>, Inc.</w:t>
      </w:r>
    </w:p>
    <w:p w14:paraId="5B7A1403" w14:textId="77777777" w:rsidR="00E74288" w:rsidRDefault="00E74288" w:rsidP="00E74288">
      <w:pPr>
        <w:ind w:left="-108"/>
        <w:jc w:val="center"/>
        <w:rPr>
          <w:color w:val="FF0000"/>
          <w:sz w:val="56"/>
          <w:szCs w:val="56"/>
        </w:rPr>
      </w:pPr>
    </w:p>
    <w:p w14:paraId="755EA83B" w14:textId="77777777" w:rsidR="00E74288" w:rsidRDefault="00E74288" w:rsidP="00E74288">
      <w:pPr>
        <w:ind w:left="-108"/>
        <w:jc w:val="center"/>
        <w:rPr>
          <w:color w:val="FF0000"/>
          <w:sz w:val="56"/>
          <w:szCs w:val="56"/>
        </w:rPr>
      </w:pPr>
    </w:p>
    <w:p w14:paraId="4B68C3E9" w14:textId="77777777" w:rsidR="00E74288" w:rsidRPr="00BD5A3E" w:rsidRDefault="00E74288" w:rsidP="00E74288">
      <w:pPr>
        <w:ind w:left="-108"/>
        <w:jc w:val="center"/>
        <w:rPr>
          <w:color w:val="FF0000"/>
          <w:sz w:val="56"/>
          <w:szCs w:val="56"/>
        </w:rPr>
      </w:pPr>
    </w:p>
    <w:p w14:paraId="0D30B1D1" w14:textId="77777777" w:rsidR="00E74288" w:rsidRPr="00BD5A3E" w:rsidRDefault="00E74288" w:rsidP="00E74288">
      <w:pPr>
        <w:ind w:left="-108"/>
        <w:jc w:val="center"/>
        <w:rPr>
          <w:color w:val="FF0000"/>
          <w:sz w:val="56"/>
          <w:szCs w:val="56"/>
        </w:rPr>
      </w:pPr>
      <w:r>
        <w:rPr>
          <w:noProof/>
          <w:color w:val="FF0000"/>
          <w:sz w:val="56"/>
          <w:szCs w:val="56"/>
        </w:rPr>
        <w:drawing>
          <wp:inline distT="0" distB="0" distL="0" distR="0" wp14:anchorId="6C7555DE" wp14:editId="6C6C0E19">
            <wp:extent cx="2197100" cy="783590"/>
            <wp:effectExtent l="0" t="0" r="0" b="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l="50322"/>
                    <a:stretch>
                      <a:fillRect/>
                    </a:stretch>
                  </pic:blipFill>
                  <pic:spPr bwMode="auto">
                    <a:xfrm>
                      <a:off x="0" y="0"/>
                      <a:ext cx="2197100" cy="783590"/>
                    </a:xfrm>
                    <a:prstGeom prst="rect">
                      <a:avLst/>
                    </a:prstGeom>
                    <a:noFill/>
                    <a:ln>
                      <a:noFill/>
                    </a:ln>
                  </pic:spPr>
                </pic:pic>
              </a:graphicData>
            </a:graphic>
          </wp:inline>
        </w:drawing>
      </w:r>
    </w:p>
    <w:p w14:paraId="20224F2F" w14:textId="77777777" w:rsidR="00E74288" w:rsidRDefault="00E74288" w:rsidP="00E74288">
      <w:pPr>
        <w:ind w:left="-108"/>
        <w:jc w:val="center"/>
        <w:rPr>
          <w:color w:val="FF0000"/>
          <w:sz w:val="56"/>
          <w:szCs w:val="56"/>
        </w:rPr>
      </w:pPr>
    </w:p>
    <w:p w14:paraId="5F4470A6" w14:textId="77777777" w:rsidR="00E74288" w:rsidRDefault="00E74288" w:rsidP="00E74288">
      <w:pPr>
        <w:ind w:left="-108"/>
        <w:jc w:val="center"/>
        <w:rPr>
          <w:color w:val="FF0000"/>
          <w:sz w:val="56"/>
          <w:szCs w:val="56"/>
        </w:rPr>
      </w:pPr>
    </w:p>
    <w:p w14:paraId="5FA28172" w14:textId="77777777" w:rsidR="00E74288" w:rsidRDefault="00E74288" w:rsidP="00E74288">
      <w:pPr>
        <w:ind w:left="-108"/>
        <w:jc w:val="center"/>
        <w:rPr>
          <w:b/>
          <w:caps/>
          <w:color w:val="FF0000"/>
          <w:sz w:val="52"/>
          <w:szCs w:val="52"/>
        </w:rPr>
      </w:pPr>
      <w:r>
        <w:rPr>
          <w:b/>
          <w:caps/>
          <w:color w:val="FF0000"/>
          <w:sz w:val="52"/>
          <w:szCs w:val="52"/>
        </w:rPr>
        <w:t>Risk Appetite metrics</w:t>
      </w:r>
    </w:p>
    <w:p w14:paraId="784CD6E4" w14:textId="77777777" w:rsidR="00E74288" w:rsidRDefault="00E74288" w:rsidP="00E74288">
      <w:pPr>
        <w:ind w:left="-108"/>
        <w:jc w:val="center"/>
        <w:rPr>
          <w:b/>
          <w:caps/>
          <w:color w:val="FF0000"/>
          <w:sz w:val="52"/>
          <w:szCs w:val="52"/>
        </w:rPr>
      </w:pPr>
      <w:r>
        <w:rPr>
          <w:b/>
          <w:caps/>
          <w:color w:val="FF0000"/>
          <w:sz w:val="52"/>
          <w:szCs w:val="52"/>
        </w:rPr>
        <w:t>glossary</w:t>
      </w:r>
    </w:p>
    <w:p w14:paraId="36DCD8EC" w14:textId="77777777" w:rsidR="003A14A1" w:rsidRDefault="003A14A1"/>
    <w:p w14:paraId="517AA562" w14:textId="77777777" w:rsidR="00E74288" w:rsidRDefault="00E74288"/>
    <w:p w14:paraId="69277DA9" w14:textId="77777777" w:rsidR="00E74288" w:rsidRDefault="00E74288"/>
    <w:p w14:paraId="2B0CAD2A" w14:textId="77777777" w:rsidR="00E74288" w:rsidRDefault="00E74288"/>
    <w:p w14:paraId="205BE5E6" w14:textId="77777777" w:rsidR="00E74288" w:rsidRDefault="00E74288"/>
    <w:p w14:paraId="008F6088" w14:textId="77777777" w:rsidR="00E74288" w:rsidRDefault="00E74288"/>
    <w:p w14:paraId="1776E8D2" w14:textId="77777777" w:rsidR="00E74288" w:rsidRDefault="00E74288"/>
    <w:bookmarkStart w:id="0" w:name="_Toc453849268" w:displacedByCustomXml="next"/>
    <w:sdt>
      <w:sdtPr>
        <w:rPr>
          <w:b w:val="0"/>
          <w:bCs w:val="0"/>
          <w:color w:val="auto"/>
          <w:sz w:val="22"/>
          <w:szCs w:val="22"/>
          <w:lang w:bidi="ar-SA"/>
        </w:rPr>
        <w:id w:val="-1632232439"/>
        <w:docPartObj>
          <w:docPartGallery w:val="Table of Contents"/>
          <w:docPartUnique/>
        </w:docPartObj>
      </w:sdtPr>
      <w:sdtEndPr>
        <w:rPr>
          <w:noProof/>
        </w:rPr>
      </w:sdtEndPr>
      <w:sdtContent>
        <w:p w14:paraId="47CE8899" w14:textId="77777777" w:rsidR="00431E9F" w:rsidRDefault="00431E9F" w:rsidP="00FC6780">
          <w:pPr>
            <w:pStyle w:val="SANUS1"/>
          </w:pPr>
          <w:r>
            <w:t>Table of Contents</w:t>
          </w:r>
          <w:bookmarkEnd w:id="0"/>
        </w:p>
        <w:p w14:paraId="73F4372C" w14:textId="77777777" w:rsidR="00AE429D" w:rsidRDefault="00431E9F">
          <w:pPr>
            <w:pStyle w:val="TOC1"/>
            <w:tabs>
              <w:tab w:val="right" w:leader="dot" w:pos="9350"/>
            </w:tabs>
            <w:rPr>
              <w:rFonts w:asciiTheme="minorHAnsi" w:eastAsiaTheme="minorEastAsia" w:hAnsiTheme="minorHAnsi" w:cstheme="minorBidi"/>
              <w:b w:val="0"/>
              <w:caps w:val="0"/>
              <w:noProof/>
              <w:color w:val="auto"/>
              <w:sz w:val="22"/>
            </w:rPr>
          </w:pPr>
          <w:r>
            <w:fldChar w:fldCharType="begin"/>
          </w:r>
          <w:r>
            <w:instrText xml:space="preserve"> TOC \o "1-3" \h \z \u </w:instrText>
          </w:r>
          <w:r>
            <w:fldChar w:fldCharType="separate"/>
          </w:r>
          <w:hyperlink w:anchor="_Toc453849268" w:history="1">
            <w:r w:rsidR="00AE429D" w:rsidRPr="00B10F25">
              <w:rPr>
                <w:rStyle w:val="Hyperlink"/>
                <w:noProof/>
                <w:lang w:bidi="en-US"/>
              </w:rPr>
              <w:t>Table of Contents</w:t>
            </w:r>
            <w:r w:rsidR="00AE429D">
              <w:rPr>
                <w:noProof/>
                <w:webHidden/>
              </w:rPr>
              <w:tab/>
            </w:r>
            <w:r w:rsidR="00AE429D">
              <w:rPr>
                <w:noProof/>
                <w:webHidden/>
              </w:rPr>
              <w:fldChar w:fldCharType="begin"/>
            </w:r>
            <w:r w:rsidR="00AE429D">
              <w:rPr>
                <w:noProof/>
                <w:webHidden/>
              </w:rPr>
              <w:instrText xml:space="preserve"> PAGEREF _Toc453849268 \h </w:instrText>
            </w:r>
            <w:r w:rsidR="00AE429D">
              <w:rPr>
                <w:noProof/>
                <w:webHidden/>
              </w:rPr>
            </w:r>
            <w:r w:rsidR="00AE429D">
              <w:rPr>
                <w:noProof/>
                <w:webHidden/>
              </w:rPr>
              <w:fldChar w:fldCharType="separate"/>
            </w:r>
            <w:r w:rsidR="00AE429D">
              <w:rPr>
                <w:noProof/>
                <w:webHidden/>
              </w:rPr>
              <w:t>2</w:t>
            </w:r>
            <w:r w:rsidR="00AE429D">
              <w:rPr>
                <w:noProof/>
                <w:webHidden/>
              </w:rPr>
              <w:fldChar w:fldCharType="end"/>
            </w:r>
          </w:hyperlink>
        </w:p>
        <w:p w14:paraId="7AF59A74" w14:textId="77777777" w:rsidR="00AE429D" w:rsidRDefault="00DB2B0B">
          <w:pPr>
            <w:pStyle w:val="TOC1"/>
            <w:tabs>
              <w:tab w:val="left" w:pos="440"/>
              <w:tab w:val="right" w:leader="dot" w:pos="9350"/>
            </w:tabs>
            <w:rPr>
              <w:rFonts w:asciiTheme="minorHAnsi" w:eastAsiaTheme="minorEastAsia" w:hAnsiTheme="minorHAnsi" w:cstheme="minorBidi"/>
              <w:b w:val="0"/>
              <w:caps w:val="0"/>
              <w:noProof/>
              <w:color w:val="auto"/>
              <w:sz w:val="22"/>
            </w:rPr>
          </w:pPr>
          <w:hyperlink w:anchor="_Toc453849269" w:history="1">
            <w:r w:rsidR="00AE429D" w:rsidRPr="00B10F25">
              <w:rPr>
                <w:rStyle w:val="Hyperlink"/>
                <w:noProof/>
                <w:lang w:bidi="en-US"/>
              </w:rPr>
              <w:t>1.</w:t>
            </w:r>
            <w:r w:rsidR="00AE429D">
              <w:rPr>
                <w:rFonts w:asciiTheme="minorHAnsi" w:eastAsiaTheme="minorEastAsia" w:hAnsiTheme="minorHAnsi" w:cstheme="minorBidi"/>
                <w:b w:val="0"/>
                <w:caps w:val="0"/>
                <w:noProof/>
                <w:color w:val="auto"/>
                <w:sz w:val="22"/>
              </w:rPr>
              <w:tab/>
            </w:r>
            <w:r w:rsidR="00AE429D" w:rsidRPr="00B10F25">
              <w:rPr>
                <w:rStyle w:val="Hyperlink"/>
                <w:noProof/>
                <w:lang w:bidi="en-US"/>
              </w:rPr>
              <w:t>Introduction</w:t>
            </w:r>
            <w:r w:rsidR="00AE429D">
              <w:rPr>
                <w:noProof/>
                <w:webHidden/>
              </w:rPr>
              <w:tab/>
            </w:r>
            <w:r w:rsidR="00AE429D">
              <w:rPr>
                <w:noProof/>
                <w:webHidden/>
              </w:rPr>
              <w:fldChar w:fldCharType="begin"/>
            </w:r>
            <w:r w:rsidR="00AE429D">
              <w:rPr>
                <w:noProof/>
                <w:webHidden/>
              </w:rPr>
              <w:instrText xml:space="preserve"> PAGEREF _Toc453849269 \h </w:instrText>
            </w:r>
            <w:r w:rsidR="00AE429D">
              <w:rPr>
                <w:noProof/>
                <w:webHidden/>
              </w:rPr>
            </w:r>
            <w:r w:rsidR="00AE429D">
              <w:rPr>
                <w:noProof/>
                <w:webHidden/>
              </w:rPr>
              <w:fldChar w:fldCharType="separate"/>
            </w:r>
            <w:r w:rsidR="00AE429D">
              <w:rPr>
                <w:noProof/>
                <w:webHidden/>
              </w:rPr>
              <w:t>4</w:t>
            </w:r>
            <w:r w:rsidR="00AE429D">
              <w:rPr>
                <w:noProof/>
                <w:webHidden/>
              </w:rPr>
              <w:fldChar w:fldCharType="end"/>
            </w:r>
          </w:hyperlink>
        </w:p>
        <w:p w14:paraId="3B333D91" w14:textId="77777777" w:rsidR="00AE429D" w:rsidRDefault="00DB2B0B">
          <w:pPr>
            <w:pStyle w:val="TOC2"/>
            <w:rPr>
              <w:rFonts w:asciiTheme="minorHAnsi" w:eastAsiaTheme="minorEastAsia" w:hAnsiTheme="minorHAnsi" w:cstheme="minorBidi"/>
              <w:b w:val="0"/>
              <w:smallCaps w:val="0"/>
              <w:noProof/>
              <w:sz w:val="22"/>
              <w:szCs w:val="22"/>
            </w:rPr>
          </w:pPr>
          <w:hyperlink w:anchor="_Toc453849270" w:history="1">
            <w:r w:rsidR="00AE429D" w:rsidRPr="00B10F25">
              <w:rPr>
                <w:rStyle w:val="Hyperlink"/>
                <w:rFonts w:cs="Calibri"/>
                <w:noProof/>
                <w:snapToGrid w:val="0"/>
                <w:lang w:bidi="en-US"/>
              </w:rPr>
              <w:t>1.1</w:t>
            </w:r>
            <w:r w:rsidR="00AE429D">
              <w:rPr>
                <w:rFonts w:asciiTheme="minorHAnsi" w:eastAsiaTheme="minorEastAsia" w:hAnsiTheme="minorHAnsi" w:cstheme="minorBidi"/>
                <w:b w:val="0"/>
                <w:smallCaps w:val="0"/>
                <w:noProof/>
                <w:sz w:val="22"/>
                <w:szCs w:val="22"/>
              </w:rPr>
              <w:tab/>
            </w:r>
            <w:r w:rsidR="00AE429D" w:rsidRPr="00B10F25">
              <w:rPr>
                <w:rStyle w:val="Hyperlink"/>
                <w:noProof/>
                <w:lang w:bidi="en-US"/>
              </w:rPr>
              <w:t>Purpose of the document</w:t>
            </w:r>
            <w:r w:rsidR="00AE429D">
              <w:rPr>
                <w:noProof/>
                <w:webHidden/>
              </w:rPr>
              <w:tab/>
            </w:r>
            <w:r w:rsidR="00AE429D">
              <w:rPr>
                <w:noProof/>
                <w:webHidden/>
              </w:rPr>
              <w:fldChar w:fldCharType="begin"/>
            </w:r>
            <w:r w:rsidR="00AE429D">
              <w:rPr>
                <w:noProof/>
                <w:webHidden/>
              </w:rPr>
              <w:instrText xml:space="preserve"> PAGEREF _Toc453849270 \h </w:instrText>
            </w:r>
            <w:r w:rsidR="00AE429D">
              <w:rPr>
                <w:noProof/>
                <w:webHidden/>
              </w:rPr>
            </w:r>
            <w:r w:rsidR="00AE429D">
              <w:rPr>
                <w:noProof/>
                <w:webHidden/>
              </w:rPr>
              <w:fldChar w:fldCharType="separate"/>
            </w:r>
            <w:r w:rsidR="00AE429D">
              <w:rPr>
                <w:noProof/>
                <w:webHidden/>
              </w:rPr>
              <w:t>4</w:t>
            </w:r>
            <w:r w:rsidR="00AE429D">
              <w:rPr>
                <w:noProof/>
                <w:webHidden/>
              </w:rPr>
              <w:fldChar w:fldCharType="end"/>
            </w:r>
          </w:hyperlink>
        </w:p>
        <w:p w14:paraId="37CDAD08" w14:textId="77777777" w:rsidR="00AE429D" w:rsidRDefault="00DB2B0B">
          <w:pPr>
            <w:pStyle w:val="TOC2"/>
            <w:rPr>
              <w:rFonts w:asciiTheme="minorHAnsi" w:eastAsiaTheme="minorEastAsia" w:hAnsiTheme="minorHAnsi" w:cstheme="minorBidi"/>
              <w:b w:val="0"/>
              <w:smallCaps w:val="0"/>
              <w:noProof/>
              <w:sz w:val="22"/>
              <w:szCs w:val="22"/>
            </w:rPr>
          </w:pPr>
          <w:hyperlink w:anchor="_Toc453849271" w:history="1">
            <w:r w:rsidR="00AE429D" w:rsidRPr="00B10F25">
              <w:rPr>
                <w:rStyle w:val="Hyperlink"/>
                <w:rFonts w:cs="Calibri"/>
                <w:noProof/>
                <w:snapToGrid w:val="0"/>
                <w:lang w:bidi="en-US"/>
              </w:rPr>
              <w:t>1.2</w:t>
            </w:r>
            <w:r w:rsidR="00AE429D">
              <w:rPr>
                <w:rFonts w:asciiTheme="minorHAnsi" w:eastAsiaTheme="minorEastAsia" w:hAnsiTheme="minorHAnsi" w:cstheme="minorBidi"/>
                <w:b w:val="0"/>
                <w:smallCaps w:val="0"/>
                <w:noProof/>
                <w:sz w:val="22"/>
                <w:szCs w:val="22"/>
              </w:rPr>
              <w:tab/>
            </w:r>
            <w:r w:rsidR="00AE429D" w:rsidRPr="00B10F25">
              <w:rPr>
                <w:rStyle w:val="Hyperlink"/>
                <w:noProof/>
                <w:lang w:bidi="en-US"/>
              </w:rPr>
              <w:t>Scope</w:t>
            </w:r>
            <w:r w:rsidR="00AE429D">
              <w:rPr>
                <w:noProof/>
                <w:webHidden/>
              </w:rPr>
              <w:tab/>
            </w:r>
            <w:r w:rsidR="00AE429D">
              <w:rPr>
                <w:noProof/>
                <w:webHidden/>
              </w:rPr>
              <w:fldChar w:fldCharType="begin"/>
            </w:r>
            <w:r w:rsidR="00AE429D">
              <w:rPr>
                <w:noProof/>
                <w:webHidden/>
              </w:rPr>
              <w:instrText xml:space="preserve"> PAGEREF _Toc453849271 \h </w:instrText>
            </w:r>
            <w:r w:rsidR="00AE429D">
              <w:rPr>
                <w:noProof/>
                <w:webHidden/>
              </w:rPr>
            </w:r>
            <w:r w:rsidR="00AE429D">
              <w:rPr>
                <w:noProof/>
                <w:webHidden/>
              </w:rPr>
              <w:fldChar w:fldCharType="separate"/>
            </w:r>
            <w:r w:rsidR="00AE429D">
              <w:rPr>
                <w:noProof/>
                <w:webHidden/>
              </w:rPr>
              <w:t>4</w:t>
            </w:r>
            <w:r w:rsidR="00AE429D">
              <w:rPr>
                <w:noProof/>
                <w:webHidden/>
              </w:rPr>
              <w:fldChar w:fldCharType="end"/>
            </w:r>
          </w:hyperlink>
        </w:p>
        <w:p w14:paraId="6873DF13" w14:textId="77777777" w:rsidR="00AE429D" w:rsidRDefault="00DB2B0B">
          <w:pPr>
            <w:pStyle w:val="TOC2"/>
            <w:rPr>
              <w:rFonts w:asciiTheme="minorHAnsi" w:eastAsiaTheme="minorEastAsia" w:hAnsiTheme="minorHAnsi" w:cstheme="minorBidi"/>
              <w:b w:val="0"/>
              <w:smallCaps w:val="0"/>
              <w:noProof/>
              <w:sz w:val="22"/>
              <w:szCs w:val="22"/>
            </w:rPr>
          </w:pPr>
          <w:hyperlink w:anchor="_Toc453849272" w:history="1">
            <w:r w:rsidR="00AE429D" w:rsidRPr="00B10F25">
              <w:rPr>
                <w:rStyle w:val="Hyperlink"/>
                <w:rFonts w:cs="Calibri"/>
                <w:noProof/>
                <w:snapToGrid w:val="0"/>
                <w:lang w:bidi="en-US"/>
              </w:rPr>
              <w:t>1.3</w:t>
            </w:r>
            <w:r w:rsidR="00AE429D">
              <w:rPr>
                <w:rFonts w:asciiTheme="minorHAnsi" w:eastAsiaTheme="minorEastAsia" w:hAnsiTheme="minorHAnsi" w:cstheme="minorBidi"/>
                <w:b w:val="0"/>
                <w:smallCaps w:val="0"/>
                <w:noProof/>
                <w:sz w:val="22"/>
                <w:szCs w:val="22"/>
              </w:rPr>
              <w:tab/>
            </w:r>
            <w:r w:rsidR="00AE429D" w:rsidRPr="00B10F25">
              <w:rPr>
                <w:rStyle w:val="Hyperlink"/>
                <w:noProof/>
                <w:lang w:bidi="en-US"/>
              </w:rPr>
              <w:t>Document Ownership and Maintenance</w:t>
            </w:r>
            <w:r w:rsidR="00AE429D">
              <w:rPr>
                <w:noProof/>
                <w:webHidden/>
              </w:rPr>
              <w:tab/>
            </w:r>
            <w:r w:rsidR="00AE429D">
              <w:rPr>
                <w:noProof/>
                <w:webHidden/>
              </w:rPr>
              <w:fldChar w:fldCharType="begin"/>
            </w:r>
            <w:r w:rsidR="00AE429D">
              <w:rPr>
                <w:noProof/>
                <w:webHidden/>
              </w:rPr>
              <w:instrText xml:space="preserve"> PAGEREF _Toc453849272 \h </w:instrText>
            </w:r>
            <w:r w:rsidR="00AE429D">
              <w:rPr>
                <w:noProof/>
                <w:webHidden/>
              </w:rPr>
            </w:r>
            <w:r w:rsidR="00AE429D">
              <w:rPr>
                <w:noProof/>
                <w:webHidden/>
              </w:rPr>
              <w:fldChar w:fldCharType="separate"/>
            </w:r>
            <w:r w:rsidR="00AE429D">
              <w:rPr>
                <w:noProof/>
                <w:webHidden/>
              </w:rPr>
              <w:t>4</w:t>
            </w:r>
            <w:r w:rsidR="00AE429D">
              <w:rPr>
                <w:noProof/>
                <w:webHidden/>
              </w:rPr>
              <w:fldChar w:fldCharType="end"/>
            </w:r>
          </w:hyperlink>
        </w:p>
        <w:p w14:paraId="4041CD92" w14:textId="77777777" w:rsidR="00AE429D" w:rsidRDefault="00DB2B0B">
          <w:pPr>
            <w:pStyle w:val="TOC1"/>
            <w:tabs>
              <w:tab w:val="left" w:pos="440"/>
              <w:tab w:val="right" w:leader="dot" w:pos="9350"/>
            </w:tabs>
            <w:rPr>
              <w:rFonts w:asciiTheme="minorHAnsi" w:eastAsiaTheme="minorEastAsia" w:hAnsiTheme="minorHAnsi" w:cstheme="minorBidi"/>
              <w:b w:val="0"/>
              <w:caps w:val="0"/>
              <w:noProof/>
              <w:color w:val="auto"/>
              <w:sz w:val="22"/>
            </w:rPr>
          </w:pPr>
          <w:hyperlink w:anchor="_Toc453849273" w:history="1">
            <w:r w:rsidR="00AE429D" w:rsidRPr="00B10F25">
              <w:rPr>
                <w:rStyle w:val="Hyperlink"/>
                <w:noProof/>
                <w:lang w:bidi="en-US"/>
              </w:rPr>
              <w:t>2.</w:t>
            </w:r>
            <w:r w:rsidR="00AE429D">
              <w:rPr>
                <w:rFonts w:asciiTheme="minorHAnsi" w:eastAsiaTheme="minorEastAsia" w:hAnsiTheme="minorHAnsi" w:cstheme="minorBidi"/>
                <w:b w:val="0"/>
                <w:caps w:val="0"/>
                <w:noProof/>
                <w:color w:val="auto"/>
                <w:sz w:val="22"/>
              </w:rPr>
              <w:tab/>
            </w:r>
            <w:r w:rsidR="00AE429D" w:rsidRPr="00B10F25">
              <w:rPr>
                <w:rStyle w:val="Hyperlink"/>
                <w:noProof/>
                <w:lang w:bidi="en-US"/>
              </w:rPr>
              <w:t>RAS Quantitative Metrics Summary Table</w:t>
            </w:r>
            <w:r w:rsidR="00AE429D">
              <w:rPr>
                <w:noProof/>
                <w:webHidden/>
              </w:rPr>
              <w:tab/>
            </w:r>
            <w:r w:rsidR="00AE429D">
              <w:rPr>
                <w:noProof/>
                <w:webHidden/>
              </w:rPr>
              <w:fldChar w:fldCharType="begin"/>
            </w:r>
            <w:r w:rsidR="00AE429D">
              <w:rPr>
                <w:noProof/>
                <w:webHidden/>
              </w:rPr>
              <w:instrText xml:space="preserve"> PAGEREF _Toc453849273 \h </w:instrText>
            </w:r>
            <w:r w:rsidR="00AE429D">
              <w:rPr>
                <w:noProof/>
                <w:webHidden/>
              </w:rPr>
            </w:r>
            <w:r w:rsidR="00AE429D">
              <w:rPr>
                <w:noProof/>
                <w:webHidden/>
              </w:rPr>
              <w:fldChar w:fldCharType="separate"/>
            </w:r>
            <w:r w:rsidR="00AE429D">
              <w:rPr>
                <w:noProof/>
                <w:webHidden/>
              </w:rPr>
              <w:t>5</w:t>
            </w:r>
            <w:r w:rsidR="00AE429D">
              <w:rPr>
                <w:noProof/>
                <w:webHidden/>
              </w:rPr>
              <w:fldChar w:fldCharType="end"/>
            </w:r>
          </w:hyperlink>
        </w:p>
        <w:p w14:paraId="37782292" w14:textId="77777777" w:rsidR="00AE429D" w:rsidRDefault="00DB2B0B">
          <w:pPr>
            <w:pStyle w:val="TOC1"/>
            <w:tabs>
              <w:tab w:val="left" w:pos="440"/>
              <w:tab w:val="right" w:leader="dot" w:pos="9350"/>
            </w:tabs>
            <w:rPr>
              <w:rFonts w:asciiTheme="minorHAnsi" w:eastAsiaTheme="minorEastAsia" w:hAnsiTheme="minorHAnsi" w:cstheme="minorBidi"/>
              <w:b w:val="0"/>
              <w:caps w:val="0"/>
              <w:noProof/>
              <w:color w:val="auto"/>
              <w:sz w:val="22"/>
            </w:rPr>
          </w:pPr>
          <w:hyperlink w:anchor="_Toc453849274" w:history="1">
            <w:r w:rsidR="00AE429D" w:rsidRPr="00B10F25">
              <w:rPr>
                <w:rStyle w:val="Hyperlink"/>
                <w:noProof/>
                <w:lang w:bidi="en-US"/>
              </w:rPr>
              <w:t>3.</w:t>
            </w:r>
            <w:r w:rsidR="00AE429D">
              <w:rPr>
                <w:rFonts w:asciiTheme="minorHAnsi" w:eastAsiaTheme="minorEastAsia" w:hAnsiTheme="minorHAnsi" w:cstheme="minorBidi"/>
                <w:b w:val="0"/>
                <w:caps w:val="0"/>
                <w:noProof/>
                <w:color w:val="auto"/>
                <w:sz w:val="22"/>
              </w:rPr>
              <w:tab/>
            </w:r>
            <w:r w:rsidR="00AE429D" w:rsidRPr="00B10F25">
              <w:rPr>
                <w:rStyle w:val="Hyperlink"/>
                <w:noProof/>
                <w:lang w:bidi="en-US"/>
              </w:rPr>
              <w:t>Capital Adequacy metrics</w:t>
            </w:r>
            <w:r w:rsidR="00AE429D">
              <w:rPr>
                <w:noProof/>
                <w:webHidden/>
              </w:rPr>
              <w:tab/>
            </w:r>
            <w:r w:rsidR="00AE429D">
              <w:rPr>
                <w:noProof/>
                <w:webHidden/>
              </w:rPr>
              <w:fldChar w:fldCharType="begin"/>
            </w:r>
            <w:r w:rsidR="00AE429D">
              <w:rPr>
                <w:noProof/>
                <w:webHidden/>
              </w:rPr>
              <w:instrText xml:space="preserve"> PAGEREF _Toc453849274 \h </w:instrText>
            </w:r>
            <w:r w:rsidR="00AE429D">
              <w:rPr>
                <w:noProof/>
                <w:webHidden/>
              </w:rPr>
            </w:r>
            <w:r w:rsidR="00AE429D">
              <w:rPr>
                <w:noProof/>
                <w:webHidden/>
              </w:rPr>
              <w:fldChar w:fldCharType="separate"/>
            </w:r>
            <w:r w:rsidR="00AE429D">
              <w:rPr>
                <w:noProof/>
                <w:webHidden/>
              </w:rPr>
              <w:t>6</w:t>
            </w:r>
            <w:r w:rsidR="00AE429D">
              <w:rPr>
                <w:noProof/>
                <w:webHidden/>
              </w:rPr>
              <w:fldChar w:fldCharType="end"/>
            </w:r>
          </w:hyperlink>
        </w:p>
        <w:p w14:paraId="16D30E4A" w14:textId="77777777" w:rsidR="00AE429D" w:rsidRDefault="00DB2B0B">
          <w:pPr>
            <w:pStyle w:val="TOC2"/>
            <w:rPr>
              <w:rFonts w:asciiTheme="minorHAnsi" w:eastAsiaTheme="minorEastAsia" w:hAnsiTheme="minorHAnsi" w:cstheme="minorBidi"/>
              <w:b w:val="0"/>
              <w:smallCaps w:val="0"/>
              <w:noProof/>
              <w:sz w:val="22"/>
              <w:szCs w:val="22"/>
            </w:rPr>
          </w:pPr>
          <w:hyperlink w:anchor="_Toc453849275" w:history="1">
            <w:r w:rsidR="00AE429D" w:rsidRPr="00B10F25">
              <w:rPr>
                <w:rStyle w:val="Hyperlink"/>
                <w:rFonts w:cs="Calibri"/>
                <w:noProof/>
                <w:snapToGrid w:val="0"/>
                <w:lang w:bidi="en-US"/>
              </w:rPr>
              <w:t>3.1</w:t>
            </w:r>
            <w:r w:rsidR="00AE429D">
              <w:rPr>
                <w:rFonts w:asciiTheme="minorHAnsi" w:eastAsiaTheme="minorEastAsia" w:hAnsiTheme="minorHAnsi" w:cstheme="minorBidi"/>
                <w:b w:val="0"/>
                <w:smallCaps w:val="0"/>
                <w:noProof/>
                <w:sz w:val="22"/>
                <w:szCs w:val="22"/>
              </w:rPr>
              <w:tab/>
            </w:r>
            <w:r w:rsidR="00AE429D" w:rsidRPr="00B10F25">
              <w:rPr>
                <w:rStyle w:val="Hyperlink"/>
                <w:noProof/>
                <w:lang w:bidi="en-US"/>
              </w:rPr>
              <w:t>Common Equity Tier 1 (CET1) Ratio (baseline and stress)</w:t>
            </w:r>
            <w:r w:rsidR="00AE429D">
              <w:rPr>
                <w:noProof/>
                <w:webHidden/>
              </w:rPr>
              <w:tab/>
            </w:r>
            <w:r w:rsidR="00AE429D">
              <w:rPr>
                <w:noProof/>
                <w:webHidden/>
              </w:rPr>
              <w:fldChar w:fldCharType="begin"/>
            </w:r>
            <w:r w:rsidR="00AE429D">
              <w:rPr>
                <w:noProof/>
                <w:webHidden/>
              </w:rPr>
              <w:instrText xml:space="preserve"> PAGEREF _Toc453849275 \h </w:instrText>
            </w:r>
            <w:r w:rsidR="00AE429D">
              <w:rPr>
                <w:noProof/>
                <w:webHidden/>
              </w:rPr>
            </w:r>
            <w:r w:rsidR="00AE429D">
              <w:rPr>
                <w:noProof/>
                <w:webHidden/>
              </w:rPr>
              <w:fldChar w:fldCharType="separate"/>
            </w:r>
            <w:r w:rsidR="00AE429D">
              <w:rPr>
                <w:noProof/>
                <w:webHidden/>
              </w:rPr>
              <w:t>6</w:t>
            </w:r>
            <w:r w:rsidR="00AE429D">
              <w:rPr>
                <w:noProof/>
                <w:webHidden/>
              </w:rPr>
              <w:fldChar w:fldCharType="end"/>
            </w:r>
          </w:hyperlink>
        </w:p>
        <w:p w14:paraId="39D7D8CB" w14:textId="77777777" w:rsidR="00AE429D" w:rsidRDefault="00DB2B0B">
          <w:pPr>
            <w:pStyle w:val="TOC2"/>
            <w:rPr>
              <w:rFonts w:asciiTheme="minorHAnsi" w:eastAsiaTheme="minorEastAsia" w:hAnsiTheme="minorHAnsi" w:cstheme="minorBidi"/>
              <w:b w:val="0"/>
              <w:smallCaps w:val="0"/>
              <w:noProof/>
              <w:sz w:val="22"/>
              <w:szCs w:val="22"/>
            </w:rPr>
          </w:pPr>
          <w:hyperlink w:anchor="_Toc453849276" w:history="1">
            <w:r w:rsidR="00AE429D" w:rsidRPr="00B10F25">
              <w:rPr>
                <w:rStyle w:val="Hyperlink"/>
                <w:rFonts w:cs="Calibri"/>
                <w:noProof/>
                <w:snapToGrid w:val="0"/>
                <w:lang w:bidi="en-US"/>
              </w:rPr>
              <w:t>3.2</w:t>
            </w:r>
            <w:r w:rsidR="00AE429D">
              <w:rPr>
                <w:rFonts w:asciiTheme="minorHAnsi" w:eastAsiaTheme="minorEastAsia" w:hAnsiTheme="minorHAnsi" w:cstheme="minorBidi"/>
                <w:b w:val="0"/>
                <w:smallCaps w:val="0"/>
                <w:noProof/>
                <w:sz w:val="22"/>
                <w:szCs w:val="22"/>
              </w:rPr>
              <w:tab/>
            </w:r>
            <w:r w:rsidR="00AE429D" w:rsidRPr="00B10F25">
              <w:rPr>
                <w:rStyle w:val="Hyperlink"/>
                <w:noProof/>
                <w:lang w:bidi="en-US"/>
              </w:rPr>
              <w:t>Total Risk-Based Capital (TRBC) Ratio (baseline and stress)</w:t>
            </w:r>
            <w:r w:rsidR="00AE429D">
              <w:rPr>
                <w:noProof/>
                <w:webHidden/>
              </w:rPr>
              <w:tab/>
            </w:r>
            <w:r w:rsidR="00AE429D">
              <w:rPr>
                <w:noProof/>
                <w:webHidden/>
              </w:rPr>
              <w:fldChar w:fldCharType="begin"/>
            </w:r>
            <w:r w:rsidR="00AE429D">
              <w:rPr>
                <w:noProof/>
                <w:webHidden/>
              </w:rPr>
              <w:instrText xml:space="preserve"> PAGEREF _Toc453849276 \h </w:instrText>
            </w:r>
            <w:r w:rsidR="00AE429D">
              <w:rPr>
                <w:noProof/>
                <w:webHidden/>
              </w:rPr>
            </w:r>
            <w:r w:rsidR="00AE429D">
              <w:rPr>
                <w:noProof/>
                <w:webHidden/>
              </w:rPr>
              <w:fldChar w:fldCharType="separate"/>
            </w:r>
            <w:r w:rsidR="00AE429D">
              <w:rPr>
                <w:noProof/>
                <w:webHidden/>
              </w:rPr>
              <w:t>7</w:t>
            </w:r>
            <w:r w:rsidR="00AE429D">
              <w:rPr>
                <w:noProof/>
                <w:webHidden/>
              </w:rPr>
              <w:fldChar w:fldCharType="end"/>
            </w:r>
          </w:hyperlink>
        </w:p>
        <w:p w14:paraId="28A4A828" w14:textId="77777777" w:rsidR="00AE429D" w:rsidRDefault="00DB2B0B">
          <w:pPr>
            <w:pStyle w:val="TOC2"/>
            <w:rPr>
              <w:rFonts w:asciiTheme="minorHAnsi" w:eastAsiaTheme="minorEastAsia" w:hAnsiTheme="minorHAnsi" w:cstheme="minorBidi"/>
              <w:b w:val="0"/>
              <w:smallCaps w:val="0"/>
              <w:noProof/>
              <w:sz w:val="22"/>
              <w:szCs w:val="22"/>
            </w:rPr>
          </w:pPr>
          <w:hyperlink w:anchor="_Toc453849277" w:history="1">
            <w:r w:rsidR="00AE429D" w:rsidRPr="00B10F25">
              <w:rPr>
                <w:rStyle w:val="Hyperlink"/>
                <w:rFonts w:cs="Calibri"/>
                <w:noProof/>
                <w:snapToGrid w:val="0"/>
                <w:lang w:bidi="en-US"/>
              </w:rPr>
              <w:t>3.3</w:t>
            </w:r>
            <w:r w:rsidR="00AE429D">
              <w:rPr>
                <w:rFonts w:asciiTheme="minorHAnsi" w:eastAsiaTheme="minorEastAsia" w:hAnsiTheme="minorHAnsi" w:cstheme="minorBidi"/>
                <w:b w:val="0"/>
                <w:smallCaps w:val="0"/>
                <w:noProof/>
                <w:sz w:val="22"/>
                <w:szCs w:val="22"/>
              </w:rPr>
              <w:tab/>
            </w:r>
            <w:r w:rsidR="00AE429D" w:rsidRPr="00B10F25">
              <w:rPr>
                <w:rStyle w:val="Hyperlink"/>
                <w:noProof/>
                <w:lang w:bidi="en-US"/>
              </w:rPr>
              <w:t>Tier 1 Leverage (T1L) Ratio (baseline and stress)</w:t>
            </w:r>
            <w:r w:rsidR="00AE429D">
              <w:rPr>
                <w:noProof/>
                <w:webHidden/>
              </w:rPr>
              <w:tab/>
            </w:r>
            <w:r w:rsidR="00AE429D">
              <w:rPr>
                <w:noProof/>
                <w:webHidden/>
              </w:rPr>
              <w:fldChar w:fldCharType="begin"/>
            </w:r>
            <w:r w:rsidR="00AE429D">
              <w:rPr>
                <w:noProof/>
                <w:webHidden/>
              </w:rPr>
              <w:instrText xml:space="preserve"> PAGEREF _Toc453849277 \h </w:instrText>
            </w:r>
            <w:r w:rsidR="00AE429D">
              <w:rPr>
                <w:noProof/>
                <w:webHidden/>
              </w:rPr>
            </w:r>
            <w:r w:rsidR="00AE429D">
              <w:rPr>
                <w:noProof/>
                <w:webHidden/>
              </w:rPr>
              <w:fldChar w:fldCharType="separate"/>
            </w:r>
            <w:r w:rsidR="00AE429D">
              <w:rPr>
                <w:noProof/>
                <w:webHidden/>
              </w:rPr>
              <w:t>8</w:t>
            </w:r>
            <w:r w:rsidR="00AE429D">
              <w:rPr>
                <w:noProof/>
                <w:webHidden/>
              </w:rPr>
              <w:fldChar w:fldCharType="end"/>
            </w:r>
          </w:hyperlink>
        </w:p>
        <w:p w14:paraId="4FD3DA27" w14:textId="77777777" w:rsidR="00AE429D" w:rsidRDefault="00DB2B0B">
          <w:pPr>
            <w:pStyle w:val="TOC2"/>
            <w:rPr>
              <w:rFonts w:asciiTheme="minorHAnsi" w:eastAsiaTheme="minorEastAsia" w:hAnsiTheme="minorHAnsi" w:cstheme="minorBidi"/>
              <w:b w:val="0"/>
              <w:smallCaps w:val="0"/>
              <w:noProof/>
              <w:sz w:val="22"/>
              <w:szCs w:val="22"/>
            </w:rPr>
          </w:pPr>
          <w:hyperlink w:anchor="_Toc453849278" w:history="1">
            <w:r w:rsidR="00AE429D" w:rsidRPr="00B10F25">
              <w:rPr>
                <w:rStyle w:val="Hyperlink"/>
                <w:rFonts w:cs="Calibri"/>
                <w:noProof/>
                <w:snapToGrid w:val="0"/>
                <w:lang w:bidi="en-US"/>
              </w:rPr>
              <w:t>3.5</w:t>
            </w:r>
            <w:r w:rsidR="00AE429D">
              <w:rPr>
                <w:rFonts w:asciiTheme="minorHAnsi" w:eastAsiaTheme="minorEastAsia" w:hAnsiTheme="minorHAnsi" w:cstheme="minorBidi"/>
                <w:b w:val="0"/>
                <w:smallCaps w:val="0"/>
                <w:noProof/>
                <w:sz w:val="22"/>
                <w:szCs w:val="22"/>
              </w:rPr>
              <w:tab/>
            </w:r>
            <w:r w:rsidR="00AE429D" w:rsidRPr="00B10F25">
              <w:rPr>
                <w:rStyle w:val="Hyperlink"/>
                <w:noProof/>
                <w:lang w:bidi="en-US"/>
              </w:rPr>
              <w:t>Pre-provisioned net revenue (PPNR) impairment</w:t>
            </w:r>
            <w:r w:rsidR="00AE429D">
              <w:rPr>
                <w:noProof/>
                <w:webHidden/>
              </w:rPr>
              <w:tab/>
            </w:r>
            <w:r w:rsidR="00AE429D">
              <w:rPr>
                <w:noProof/>
                <w:webHidden/>
              </w:rPr>
              <w:fldChar w:fldCharType="begin"/>
            </w:r>
            <w:r w:rsidR="00AE429D">
              <w:rPr>
                <w:noProof/>
                <w:webHidden/>
              </w:rPr>
              <w:instrText xml:space="preserve"> PAGEREF _Toc453849278 \h </w:instrText>
            </w:r>
            <w:r w:rsidR="00AE429D">
              <w:rPr>
                <w:noProof/>
                <w:webHidden/>
              </w:rPr>
            </w:r>
            <w:r w:rsidR="00AE429D">
              <w:rPr>
                <w:noProof/>
                <w:webHidden/>
              </w:rPr>
              <w:fldChar w:fldCharType="separate"/>
            </w:r>
            <w:r w:rsidR="00AE429D">
              <w:rPr>
                <w:noProof/>
                <w:webHidden/>
              </w:rPr>
              <w:t>10</w:t>
            </w:r>
            <w:r w:rsidR="00AE429D">
              <w:rPr>
                <w:noProof/>
                <w:webHidden/>
              </w:rPr>
              <w:fldChar w:fldCharType="end"/>
            </w:r>
          </w:hyperlink>
        </w:p>
        <w:p w14:paraId="0D64D8EC" w14:textId="77777777" w:rsidR="00AE429D" w:rsidRDefault="00DB2B0B">
          <w:pPr>
            <w:pStyle w:val="TOC2"/>
            <w:rPr>
              <w:rFonts w:asciiTheme="minorHAnsi" w:eastAsiaTheme="minorEastAsia" w:hAnsiTheme="minorHAnsi" w:cstheme="minorBidi"/>
              <w:b w:val="0"/>
              <w:smallCaps w:val="0"/>
              <w:noProof/>
              <w:sz w:val="22"/>
              <w:szCs w:val="22"/>
            </w:rPr>
          </w:pPr>
          <w:hyperlink w:anchor="_Toc453849279" w:history="1">
            <w:r w:rsidR="00AE429D" w:rsidRPr="00B10F25">
              <w:rPr>
                <w:rStyle w:val="Hyperlink"/>
                <w:rFonts w:cs="Calibri"/>
                <w:noProof/>
                <w:snapToGrid w:val="0"/>
                <w:lang w:bidi="en-US"/>
              </w:rPr>
              <w:t>3.6</w:t>
            </w:r>
            <w:r w:rsidR="00AE429D">
              <w:rPr>
                <w:rFonts w:asciiTheme="minorHAnsi" w:eastAsiaTheme="minorEastAsia" w:hAnsiTheme="minorHAnsi" w:cstheme="minorBidi"/>
                <w:b w:val="0"/>
                <w:smallCaps w:val="0"/>
                <w:noProof/>
                <w:sz w:val="22"/>
                <w:szCs w:val="22"/>
              </w:rPr>
              <w:tab/>
            </w:r>
            <w:r w:rsidR="00AE429D" w:rsidRPr="00B10F25">
              <w:rPr>
                <w:rStyle w:val="Hyperlink"/>
                <w:noProof/>
                <w:lang w:bidi="en-US"/>
              </w:rPr>
              <w:t>Loss in stress</w:t>
            </w:r>
            <w:r w:rsidR="00AE429D">
              <w:rPr>
                <w:noProof/>
                <w:webHidden/>
              </w:rPr>
              <w:tab/>
            </w:r>
            <w:r w:rsidR="00AE429D">
              <w:rPr>
                <w:noProof/>
                <w:webHidden/>
              </w:rPr>
              <w:fldChar w:fldCharType="begin"/>
            </w:r>
            <w:r w:rsidR="00AE429D">
              <w:rPr>
                <w:noProof/>
                <w:webHidden/>
              </w:rPr>
              <w:instrText xml:space="preserve"> PAGEREF _Toc453849279 \h </w:instrText>
            </w:r>
            <w:r w:rsidR="00AE429D">
              <w:rPr>
                <w:noProof/>
                <w:webHidden/>
              </w:rPr>
            </w:r>
            <w:r w:rsidR="00AE429D">
              <w:rPr>
                <w:noProof/>
                <w:webHidden/>
              </w:rPr>
              <w:fldChar w:fldCharType="separate"/>
            </w:r>
            <w:r w:rsidR="00AE429D">
              <w:rPr>
                <w:noProof/>
                <w:webHidden/>
              </w:rPr>
              <w:t>11</w:t>
            </w:r>
            <w:r w:rsidR="00AE429D">
              <w:rPr>
                <w:noProof/>
                <w:webHidden/>
              </w:rPr>
              <w:fldChar w:fldCharType="end"/>
            </w:r>
          </w:hyperlink>
        </w:p>
        <w:p w14:paraId="70E28589" w14:textId="77777777" w:rsidR="00AE429D" w:rsidRDefault="00DB2B0B">
          <w:pPr>
            <w:pStyle w:val="TOC2"/>
            <w:rPr>
              <w:rFonts w:asciiTheme="minorHAnsi" w:eastAsiaTheme="minorEastAsia" w:hAnsiTheme="minorHAnsi" w:cstheme="minorBidi"/>
              <w:b w:val="0"/>
              <w:smallCaps w:val="0"/>
              <w:noProof/>
              <w:sz w:val="22"/>
              <w:szCs w:val="22"/>
            </w:rPr>
          </w:pPr>
          <w:hyperlink w:anchor="_Toc453849280" w:history="1">
            <w:r w:rsidR="00AE429D" w:rsidRPr="00B10F25">
              <w:rPr>
                <w:rStyle w:val="Hyperlink"/>
                <w:rFonts w:cs="Calibri"/>
                <w:noProof/>
                <w:snapToGrid w:val="0"/>
                <w:lang w:bidi="en-US"/>
              </w:rPr>
              <w:t>3.7</w:t>
            </w:r>
            <w:r w:rsidR="00AE429D">
              <w:rPr>
                <w:rFonts w:asciiTheme="minorHAnsi" w:eastAsiaTheme="minorEastAsia" w:hAnsiTheme="minorHAnsi" w:cstheme="minorBidi"/>
                <w:b w:val="0"/>
                <w:smallCaps w:val="0"/>
                <w:noProof/>
                <w:sz w:val="22"/>
                <w:szCs w:val="22"/>
              </w:rPr>
              <w:tab/>
            </w:r>
            <w:r w:rsidR="00AE429D" w:rsidRPr="00B10F25">
              <w:rPr>
                <w:rStyle w:val="Hyperlink"/>
                <w:noProof/>
                <w:lang w:bidi="en-US"/>
              </w:rPr>
              <w:t>SC Total Risk Weighted Assets (RWAs)</w:t>
            </w:r>
            <w:r w:rsidR="00AE429D">
              <w:rPr>
                <w:noProof/>
                <w:webHidden/>
              </w:rPr>
              <w:tab/>
            </w:r>
            <w:r w:rsidR="00AE429D">
              <w:rPr>
                <w:noProof/>
                <w:webHidden/>
              </w:rPr>
              <w:fldChar w:fldCharType="begin"/>
            </w:r>
            <w:r w:rsidR="00AE429D">
              <w:rPr>
                <w:noProof/>
                <w:webHidden/>
              </w:rPr>
              <w:instrText xml:space="preserve"> PAGEREF _Toc453849280 \h </w:instrText>
            </w:r>
            <w:r w:rsidR="00AE429D">
              <w:rPr>
                <w:noProof/>
                <w:webHidden/>
              </w:rPr>
            </w:r>
            <w:r w:rsidR="00AE429D">
              <w:rPr>
                <w:noProof/>
                <w:webHidden/>
              </w:rPr>
              <w:fldChar w:fldCharType="separate"/>
            </w:r>
            <w:r w:rsidR="00AE429D">
              <w:rPr>
                <w:noProof/>
                <w:webHidden/>
              </w:rPr>
              <w:t>12</w:t>
            </w:r>
            <w:r w:rsidR="00AE429D">
              <w:rPr>
                <w:noProof/>
                <w:webHidden/>
              </w:rPr>
              <w:fldChar w:fldCharType="end"/>
            </w:r>
          </w:hyperlink>
        </w:p>
        <w:p w14:paraId="3D29D4A0" w14:textId="77777777" w:rsidR="00AE429D" w:rsidRDefault="00DB2B0B">
          <w:pPr>
            <w:pStyle w:val="TOC1"/>
            <w:tabs>
              <w:tab w:val="left" w:pos="440"/>
              <w:tab w:val="right" w:leader="dot" w:pos="9350"/>
            </w:tabs>
            <w:rPr>
              <w:rFonts w:asciiTheme="minorHAnsi" w:eastAsiaTheme="minorEastAsia" w:hAnsiTheme="minorHAnsi" w:cstheme="minorBidi"/>
              <w:b w:val="0"/>
              <w:caps w:val="0"/>
              <w:noProof/>
              <w:color w:val="auto"/>
              <w:sz w:val="22"/>
            </w:rPr>
          </w:pPr>
          <w:hyperlink w:anchor="_Toc453849281" w:history="1">
            <w:r w:rsidR="00AE429D" w:rsidRPr="00B10F25">
              <w:rPr>
                <w:rStyle w:val="Hyperlink"/>
                <w:noProof/>
                <w:lang w:bidi="en-US"/>
              </w:rPr>
              <w:t>4.</w:t>
            </w:r>
            <w:r w:rsidR="00AE429D">
              <w:rPr>
                <w:rFonts w:asciiTheme="minorHAnsi" w:eastAsiaTheme="minorEastAsia" w:hAnsiTheme="minorHAnsi" w:cstheme="minorBidi"/>
                <w:b w:val="0"/>
                <w:caps w:val="0"/>
                <w:noProof/>
                <w:color w:val="auto"/>
                <w:sz w:val="22"/>
              </w:rPr>
              <w:tab/>
            </w:r>
            <w:r w:rsidR="00AE429D" w:rsidRPr="00B10F25">
              <w:rPr>
                <w:rStyle w:val="Hyperlink"/>
                <w:noProof/>
                <w:lang w:bidi="en-US"/>
              </w:rPr>
              <w:t>Credit risk metrics</w:t>
            </w:r>
            <w:r w:rsidR="00AE429D">
              <w:rPr>
                <w:noProof/>
                <w:webHidden/>
              </w:rPr>
              <w:tab/>
            </w:r>
            <w:r w:rsidR="00AE429D">
              <w:rPr>
                <w:noProof/>
                <w:webHidden/>
              </w:rPr>
              <w:fldChar w:fldCharType="begin"/>
            </w:r>
            <w:r w:rsidR="00AE429D">
              <w:rPr>
                <w:noProof/>
                <w:webHidden/>
              </w:rPr>
              <w:instrText xml:space="preserve"> PAGEREF _Toc453849281 \h </w:instrText>
            </w:r>
            <w:r w:rsidR="00AE429D">
              <w:rPr>
                <w:noProof/>
                <w:webHidden/>
              </w:rPr>
            </w:r>
            <w:r w:rsidR="00AE429D">
              <w:rPr>
                <w:noProof/>
                <w:webHidden/>
              </w:rPr>
              <w:fldChar w:fldCharType="separate"/>
            </w:r>
            <w:r w:rsidR="00AE429D">
              <w:rPr>
                <w:noProof/>
                <w:webHidden/>
              </w:rPr>
              <w:t>14</w:t>
            </w:r>
            <w:r w:rsidR="00AE429D">
              <w:rPr>
                <w:noProof/>
                <w:webHidden/>
              </w:rPr>
              <w:fldChar w:fldCharType="end"/>
            </w:r>
          </w:hyperlink>
        </w:p>
        <w:p w14:paraId="08CEE1B5" w14:textId="77777777" w:rsidR="00AE429D" w:rsidRDefault="00DB2B0B">
          <w:pPr>
            <w:pStyle w:val="TOC2"/>
            <w:rPr>
              <w:rFonts w:asciiTheme="minorHAnsi" w:eastAsiaTheme="minorEastAsia" w:hAnsiTheme="minorHAnsi" w:cstheme="minorBidi"/>
              <w:b w:val="0"/>
              <w:smallCaps w:val="0"/>
              <w:noProof/>
              <w:sz w:val="22"/>
              <w:szCs w:val="22"/>
            </w:rPr>
          </w:pPr>
          <w:hyperlink w:anchor="_Toc453849282" w:history="1">
            <w:r w:rsidR="00AE429D" w:rsidRPr="00B10F25">
              <w:rPr>
                <w:rStyle w:val="Hyperlink"/>
                <w:rFonts w:cs="Calibri"/>
                <w:noProof/>
                <w:snapToGrid w:val="0"/>
                <w:lang w:bidi="en-US"/>
              </w:rPr>
              <w:t>4.1</w:t>
            </w:r>
            <w:r w:rsidR="00AE429D">
              <w:rPr>
                <w:rFonts w:asciiTheme="minorHAnsi" w:eastAsiaTheme="minorEastAsia" w:hAnsiTheme="minorHAnsi" w:cstheme="minorBidi"/>
                <w:b w:val="0"/>
                <w:smallCaps w:val="0"/>
                <w:noProof/>
                <w:sz w:val="22"/>
                <w:szCs w:val="22"/>
              </w:rPr>
              <w:tab/>
            </w:r>
            <w:r w:rsidR="00AE429D" w:rsidRPr="00B10F25">
              <w:rPr>
                <w:rStyle w:val="Hyperlink"/>
                <w:noProof/>
                <w:lang w:bidi="en-US"/>
              </w:rPr>
              <w:t>Total Credit Losses (CCAR 9Q)</w:t>
            </w:r>
            <w:r w:rsidR="00AE429D">
              <w:rPr>
                <w:noProof/>
                <w:webHidden/>
              </w:rPr>
              <w:tab/>
            </w:r>
            <w:r w:rsidR="00AE429D">
              <w:rPr>
                <w:noProof/>
                <w:webHidden/>
              </w:rPr>
              <w:fldChar w:fldCharType="begin"/>
            </w:r>
            <w:r w:rsidR="00AE429D">
              <w:rPr>
                <w:noProof/>
                <w:webHidden/>
              </w:rPr>
              <w:instrText xml:space="preserve"> PAGEREF _Toc453849282 \h </w:instrText>
            </w:r>
            <w:r w:rsidR="00AE429D">
              <w:rPr>
                <w:noProof/>
                <w:webHidden/>
              </w:rPr>
            </w:r>
            <w:r w:rsidR="00AE429D">
              <w:rPr>
                <w:noProof/>
                <w:webHidden/>
              </w:rPr>
              <w:fldChar w:fldCharType="separate"/>
            </w:r>
            <w:r w:rsidR="00AE429D">
              <w:rPr>
                <w:noProof/>
                <w:webHidden/>
              </w:rPr>
              <w:t>14</w:t>
            </w:r>
            <w:r w:rsidR="00AE429D">
              <w:rPr>
                <w:noProof/>
                <w:webHidden/>
              </w:rPr>
              <w:fldChar w:fldCharType="end"/>
            </w:r>
          </w:hyperlink>
        </w:p>
        <w:p w14:paraId="03B59F98" w14:textId="77777777" w:rsidR="00AE429D" w:rsidRDefault="00DB2B0B">
          <w:pPr>
            <w:pStyle w:val="TOC2"/>
            <w:rPr>
              <w:rFonts w:asciiTheme="minorHAnsi" w:eastAsiaTheme="minorEastAsia" w:hAnsiTheme="minorHAnsi" w:cstheme="minorBidi"/>
              <w:b w:val="0"/>
              <w:smallCaps w:val="0"/>
              <w:noProof/>
              <w:sz w:val="22"/>
              <w:szCs w:val="22"/>
            </w:rPr>
          </w:pPr>
          <w:hyperlink w:anchor="_Toc453849283" w:history="1">
            <w:r w:rsidR="00AE429D" w:rsidRPr="00B10F25">
              <w:rPr>
                <w:rStyle w:val="Hyperlink"/>
                <w:rFonts w:cs="Calibri"/>
                <w:noProof/>
                <w:snapToGrid w:val="0"/>
                <w:lang w:bidi="en-US"/>
              </w:rPr>
              <w:t>4.2</w:t>
            </w:r>
            <w:r w:rsidR="00AE429D">
              <w:rPr>
                <w:rFonts w:asciiTheme="minorHAnsi" w:eastAsiaTheme="minorEastAsia" w:hAnsiTheme="minorHAnsi" w:cstheme="minorBidi"/>
                <w:b w:val="0"/>
                <w:smallCaps w:val="0"/>
                <w:noProof/>
                <w:sz w:val="22"/>
                <w:szCs w:val="22"/>
              </w:rPr>
              <w:tab/>
            </w:r>
            <w:r w:rsidR="00AE429D" w:rsidRPr="00B10F25">
              <w:rPr>
                <w:rStyle w:val="Hyperlink"/>
                <w:noProof/>
                <w:lang w:bidi="en-US"/>
              </w:rPr>
              <w:t>Net charge-off rate</w:t>
            </w:r>
            <w:r w:rsidR="00AE429D">
              <w:rPr>
                <w:noProof/>
                <w:webHidden/>
              </w:rPr>
              <w:tab/>
            </w:r>
            <w:r w:rsidR="00AE429D">
              <w:rPr>
                <w:noProof/>
                <w:webHidden/>
              </w:rPr>
              <w:fldChar w:fldCharType="begin"/>
            </w:r>
            <w:r w:rsidR="00AE429D">
              <w:rPr>
                <w:noProof/>
                <w:webHidden/>
              </w:rPr>
              <w:instrText xml:space="preserve"> PAGEREF _Toc453849283 \h </w:instrText>
            </w:r>
            <w:r w:rsidR="00AE429D">
              <w:rPr>
                <w:noProof/>
                <w:webHidden/>
              </w:rPr>
            </w:r>
            <w:r w:rsidR="00AE429D">
              <w:rPr>
                <w:noProof/>
                <w:webHidden/>
              </w:rPr>
              <w:fldChar w:fldCharType="separate"/>
            </w:r>
            <w:r w:rsidR="00AE429D">
              <w:rPr>
                <w:noProof/>
                <w:webHidden/>
              </w:rPr>
              <w:t>15</w:t>
            </w:r>
            <w:r w:rsidR="00AE429D">
              <w:rPr>
                <w:noProof/>
                <w:webHidden/>
              </w:rPr>
              <w:fldChar w:fldCharType="end"/>
            </w:r>
          </w:hyperlink>
        </w:p>
        <w:p w14:paraId="69B83E97" w14:textId="77777777" w:rsidR="00AE429D" w:rsidRDefault="00DB2B0B">
          <w:pPr>
            <w:pStyle w:val="TOC2"/>
            <w:rPr>
              <w:rFonts w:asciiTheme="minorHAnsi" w:eastAsiaTheme="minorEastAsia" w:hAnsiTheme="minorHAnsi" w:cstheme="minorBidi"/>
              <w:b w:val="0"/>
              <w:smallCaps w:val="0"/>
              <w:noProof/>
              <w:sz w:val="22"/>
              <w:szCs w:val="22"/>
            </w:rPr>
          </w:pPr>
          <w:hyperlink w:anchor="_Toc453849284" w:history="1">
            <w:r w:rsidR="00AE429D" w:rsidRPr="00B10F25">
              <w:rPr>
                <w:rStyle w:val="Hyperlink"/>
                <w:rFonts w:cs="Calibri"/>
                <w:noProof/>
                <w:snapToGrid w:val="0"/>
                <w:lang w:bidi="en-US"/>
              </w:rPr>
              <w:t>4.3</w:t>
            </w:r>
            <w:r w:rsidR="00AE429D">
              <w:rPr>
                <w:rFonts w:asciiTheme="minorHAnsi" w:eastAsiaTheme="minorEastAsia" w:hAnsiTheme="minorHAnsi" w:cstheme="minorBidi"/>
                <w:b w:val="0"/>
                <w:smallCaps w:val="0"/>
                <w:noProof/>
                <w:sz w:val="22"/>
                <w:szCs w:val="22"/>
              </w:rPr>
              <w:tab/>
            </w:r>
            <w:r w:rsidR="00AE429D" w:rsidRPr="00B10F25">
              <w:rPr>
                <w:rStyle w:val="Hyperlink"/>
                <w:noProof/>
                <w:lang w:bidi="en-US"/>
              </w:rPr>
              <w:t>%60/ 61+ days past due</w:t>
            </w:r>
            <w:r w:rsidR="00AE429D">
              <w:rPr>
                <w:noProof/>
                <w:webHidden/>
              </w:rPr>
              <w:tab/>
            </w:r>
            <w:r w:rsidR="00AE429D">
              <w:rPr>
                <w:noProof/>
                <w:webHidden/>
              </w:rPr>
              <w:fldChar w:fldCharType="begin"/>
            </w:r>
            <w:r w:rsidR="00AE429D">
              <w:rPr>
                <w:noProof/>
                <w:webHidden/>
              </w:rPr>
              <w:instrText xml:space="preserve"> PAGEREF _Toc453849284 \h </w:instrText>
            </w:r>
            <w:r w:rsidR="00AE429D">
              <w:rPr>
                <w:noProof/>
                <w:webHidden/>
              </w:rPr>
            </w:r>
            <w:r w:rsidR="00AE429D">
              <w:rPr>
                <w:noProof/>
                <w:webHidden/>
              </w:rPr>
              <w:fldChar w:fldCharType="separate"/>
            </w:r>
            <w:r w:rsidR="00AE429D">
              <w:rPr>
                <w:noProof/>
                <w:webHidden/>
              </w:rPr>
              <w:t>17</w:t>
            </w:r>
            <w:r w:rsidR="00AE429D">
              <w:rPr>
                <w:noProof/>
                <w:webHidden/>
              </w:rPr>
              <w:fldChar w:fldCharType="end"/>
            </w:r>
          </w:hyperlink>
        </w:p>
        <w:p w14:paraId="5C4625C8" w14:textId="77777777" w:rsidR="00AE429D" w:rsidRDefault="00DB2B0B">
          <w:pPr>
            <w:pStyle w:val="TOC2"/>
            <w:rPr>
              <w:rFonts w:asciiTheme="minorHAnsi" w:eastAsiaTheme="minorEastAsia" w:hAnsiTheme="minorHAnsi" w:cstheme="minorBidi"/>
              <w:b w:val="0"/>
              <w:smallCaps w:val="0"/>
              <w:noProof/>
              <w:sz w:val="22"/>
              <w:szCs w:val="22"/>
            </w:rPr>
          </w:pPr>
          <w:hyperlink w:anchor="_Toc453849285" w:history="1">
            <w:r w:rsidR="00AE429D" w:rsidRPr="00B10F25">
              <w:rPr>
                <w:rStyle w:val="Hyperlink"/>
                <w:rFonts w:cs="Calibri"/>
                <w:noProof/>
                <w:snapToGrid w:val="0"/>
                <w:lang w:bidi="en-US"/>
              </w:rPr>
              <w:t>4.4</w:t>
            </w:r>
            <w:r w:rsidR="00AE429D">
              <w:rPr>
                <w:rFonts w:asciiTheme="minorHAnsi" w:eastAsiaTheme="minorEastAsia" w:hAnsiTheme="minorHAnsi" w:cstheme="minorBidi"/>
                <w:b w:val="0"/>
                <w:smallCaps w:val="0"/>
                <w:noProof/>
                <w:sz w:val="22"/>
                <w:szCs w:val="22"/>
              </w:rPr>
              <w:tab/>
            </w:r>
            <w:r w:rsidR="00AE429D" w:rsidRPr="00B10F25">
              <w:rPr>
                <w:rStyle w:val="Hyperlink"/>
                <w:noProof/>
                <w:lang w:bidi="en-US"/>
              </w:rPr>
              <w:t>Single obligor (Corporates and Financial Institutions) exposure</w:t>
            </w:r>
            <w:r w:rsidR="00AE429D">
              <w:rPr>
                <w:noProof/>
                <w:webHidden/>
              </w:rPr>
              <w:tab/>
            </w:r>
            <w:r w:rsidR="00AE429D">
              <w:rPr>
                <w:noProof/>
                <w:webHidden/>
              </w:rPr>
              <w:fldChar w:fldCharType="begin"/>
            </w:r>
            <w:r w:rsidR="00AE429D">
              <w:rPr>
                <w:noProof/>
                <w:webHidden/>
              </w:rPr>
              <w:instrText xml:space="preserve"> PAGEREF _Toc453849285 \h </w:instrText>
            </w:r>
            <w:r w:rsidR="00AE429D">
              <w:rPr>
                <w:noProof/>
                <w:webHidden/>
              </w:rPr>
            </w:r>
            <w:r w:rsidR="00AE429D">
              <w:rPr>
                <w:noProof/>
                <w:webHidden/>
              </w:rPr>
              <w:fldChar w:fldCharType="separate"/>
            </w:r>
            <w:r w:rsidR="00AE429D">
              <w:rPr>
                <w:noProof/>
                <w:webHidden/>
              </w:rPr>
              <w:t>18</w:t>
            </w:r>
            <w:r w:rsidR="00AE429D">
              <w:rPr>
                <w:noProof/>
                <w:webHidden/>
              </w:rPr>
              <w:fldChar w:fldCharType="end"/>
            </w:r>
          </w:hyperlink>
        </w:p>
        <w:p w14:paraId="0A245E53" w14:textId="77777777" w:rsidR="00AE429D" w:rsidRDefault="00DB2B0B">
          <w:pPr>
            <w:pStyle w:val="TOC2"/>
            <w:rPr>
              <w:rFonts w:asciiTheme="minorHAnsi" w:eastAsiaTheme="minorEastAsia" w:hAnsiTheme="minorHAnsi" w:cstheme="minorBidi"/>
              <w:b w:val="0"/>
              <w:smallCaps w:val="0"/>
              <w:noProof/>
              <w:sz w:val="22"/>
              <w:szCs w:val="22"/>
            </w:rPr>
          </w:pPr>
          <w:hyperlink w:anchor="_Toc453849286" w:history="1">
            <w:r w:rsidR="00AE429D" w:rsidRPr="00B10F25">
              <w:rPr>
                <w:rStyle w:val="Hyperlink"/>
                <w:rFonts w:cs="Calibri"/>
                <w:noProof/>
                <w:snapToGrid w:val="0"/>
                <w:lang w:bidi="en-US"/>
              </w:rPr>
              <w:t>4.5</w:t>
            </w:r>
            <w:r w:rsidR="00AE429D">
              <w:rPr>
                <w:rFonts w:asciiTheme="minorHAnsi" w:eastAsiaTheme="minorEastAsia" w:hAnsiTheme="minorHAnsi" w:cstheme="minorBidi"/>
                <w:b w:val="0"/>
                <w:smallCaps w:val="0"/>
                <w:noProof/>
                <w:sz w:val="22"/>
                <w:szCs w:val="22"/>
              </w:rPr>
              <w:tab/>
            </w:r>
            <w:r w:rsidR="00AE429D" w:rsidRPr="00B10F25">
              <w:rPr>
                <w:rStyle w:val="Hyperlink"/>
                <w:noProof/>
                <w:lang w:bidi="en-US"/>
              </w:rPr>
              <w:t>Top 20 Corporates Exposure</w:t>
            </w:r>
            <w:r w:rsidR="00AE429D">
              <w:rPr>
                <w:noProof/>
                <w:webHidden/>
              </w:rPr>
              <w:tab/>
            </w:r>
            <w:r w:rsidR="00AE429D">
              <w:rPr>
                <w:noProof/>
                <w:webHidden/>
              </w:rPr>
              <w:fldChar w:fldCharType="begin"/>
            </w:r>
            <w:r w:rsidR="00AE429D">
              <w:rPr>
                <w:noProof/>
                <w:webHidden/>
              </w:rPr>
              <w:instrText xml:space="preserve"> PAGEREF _Toc453849286 \h </w:instrText>
            </w:r>
            <w:r w:rsidR="00AE429D">
              <w:rPr>
                <w:noProof/>
                <w:webHidden/>
              </w:rPr>
            </w:r>
            <w:r w:rsidR="00AE429D">
              <w:rPr>
                <w:noProof/>
                <w:webHidden/>
              </w:rPr>
              <w:fldChar w:fldCharType="separate"/>
            </w:r>
            <w:r w:rsidR="00AE429D">
              <w:rPr>
                <w:noProof/>
                <w:webHidden/>
              </w:rPr>
              <w:t>20</w:t>
            </w:r>
            <w:r w:rsidR="00AE429D">
              <w:rPr>
                <w:noProof/>
                <w:webHidden/>
              </w:rPr>
              <w:fldChar w:fldCharType="end"/>
            </w:r>
          </w:hyperlink>
        </w:p>
        <w:p w14:paraId="30434283" w14:textId="77777777" w:rsidR="00AE429D" w:rsidRDefault="00DB2B0B">
          <w:pPr>
            <w:pStyle w:val="TOC2"/>
            <w:rPr>
              <w:rFonts w:asciiTheme="minorHAnsi" w:eastAsiaTheme="minorEastAsia" w:hAnsiTheme="minorHAnsi" w:cstheme="minorBidi"/>
              <w:b w:val="0"/>
              <w:smallCaps w:val="0"/>
              <w:noProof/>
              <w:sz w:val="22"/>
              <w:szCs w:val="22"/>
            </w:rPr>
          </w:pPr>
          <w:hyperlink w:anchor="_Toc453849287" w:history="1">
            <w:r w:rsidR="00AE429D" w:rsidRPr="00B10F25">
              <w:rPr>
                <w:rStyle w:val="Hyperlink"/>
                <w:rFonts w:cs="Calibri"/>
                <w:noProof/>
                <w:snapToGrid w:val="0"/>
                <w:lang w:bidi="en-US"/>
              </w:rPr>
              <w:t>4.6</w:t>
            </w:r>
            <w:r w:rsidR="00AE429D">
              <w:rPr>
                <w:rFonts w:asciiTheme="minorHAnsi" w:eastAsiaTheme="minorEastAsia" w:hAnsiTheme="minorHAnsi" w:cstheme="minorBidi"/>
                <w:b w:val="0"/>
                <w:smallCaps w:val="0"/>
                <w:noProof/>
                <w:sz w:val="22"/>
                <w:szCs w:val="22"/>
              </w:rPr>
              <w:tab/>
            </w:r>
            <w:r w:rsidR="00AE429D" w:rsidRPr="00B10F25">
              <w:rPr>
                <w:rStyle w:val="Hyperlink"/>
                <w:noProof/>
                <w:lang w:bidi="en-US"/>
              </w:rPr>
              <w:t>Obligor Rating Exposure</w:t>
            </w:r>
            <w:r w:rsidR="00AE429D">
              <w:rPr>
                <w:noProof/>
                <w:webHidden/>
              </w:rPr>
              <w:tab/>
            </w:r>
            <w:r w:rsidR="00AE429D">
              <w:rPr>
                <w:noProof/>
                <w:webHidden/>
              </w:rPr>
              <w:fldChar w:fldCharType="begin"/>
            </w:r>
            <w:r w:rsidR="00AE429D">
              <w:rPr>
                <w:noProof/>
                <w:webHidden/>
              </w:rPr>
              <w:instrText xml:space="preserve"> PAGEREF _Toc453849287 \h </w:instrText>
            </w:r>
            <w:r w:rsidR="00AE429D">
              <w:rPr>
                <w:noProof/>
                <w:webHidden/>
              </w:rPr>
            </w:r>
            <w:r w:rsidR="00AE429D">
              <w:rPr>
                <w:noProof/>
                <w:webHidden/>
              </w:rPr>
              <w:fldChar w:fldCharType="separate"/>
            </w:r>
            <w:r w:rsidR="00AE429D">
              <w:rPr>
                <w:noProof/>
                <w:webHidden/>
              </w:rPr>
              <w:t>21</w:t>
            </w:r>
            <w:r w:rsidR="00AE429D">
              <w:rPr>
                <w:noProof/>
                <w:webHidden/>
              </w:rPr>
              <w:fldChar w:fldCharType="end"/>
            </w:r>
          </w:hyperlink>
        </w:p>
        <w:p w14:paraId="1F5B6373" w14:textId="77777777" w:rsidR="00AE429D" w:rsidRDefault="00DB2B0B">
          <w:pPr>
            <w:pStyle w:val="TOC2"/>
            <w:rPr>
              <w:rFonts w:asciiTheme="minorHAnsi" w:eastAsiaTheme="minorEastAsia" w:hAnsiTheme="minorHAnsi" w:cstheme="minorBidi"/>
              <w:b w:val="0"/>
              <w:smallCaps w:val="0"/>
              <w:noProof/>
              <w:sz w:val="22"/>
              <w:szCs w:val="22"/>
            </w:rPr>
          </w:pPr>
          <w:hyperlink w:anchor="_Toc453849288" w:history="1">
            <w:r w:rsidR="00AE429D" w:rsidRPr="00B10F25">
              <w:rPr>
                <w:rStyle w:val="Hyperlink"/>
                <w:rFonts w:cs="Calibri"/>
                <w:noProof/>
                <w:snapToGrid w:val="0"/>
                <w:lang w:bidi="en-US"/>
              </w:rPr>
              <w:t>4.7</w:t>
            </w:r>
            <w:r w:rsidR="00AE429D">
              <w:rPr>
                <w:rFonts w:asciiTheme="minorHAnsi" w:eastAsiaTheme="minorEastAsia" w:hAnsiTheme="minorHAnsi" w:cstheme="minorBidi"/>
                <w:b w:val="0"/>
                <w:smallCaps w:val="0"/>
                <w:noProof/>
                <w:sz w:val="22"/>
                <w:szCs w:val="22"/>
              </w:rPr>
              <w:tab/>
            </w:r>
            <w:r w:rsidR="00AE429D" w:rsidRPr="00B10F25">
              <w:rPr>
                <w:rStyle w:val="Hyperlink"/>
                <w:noProof/>
                <w:lang w:bidi="en-US"/>
              </w:rPr>
              <w:t>Industry exposure (by OCC group)</w:t>
            </w:r>
            <w:r w:rsidR="00AE429D">
              <w:rPr>
                <w:noProof/>
                <w:webHidden/>
              </w:rPr>
              <w:tab/>
            </w:r>
            <w:r w:rsidR="00AE429D">
              <w:rPr>
                <w:noProof/>
                <w:webHidden/>
              </w:rPr>
              <w:fldChar w:fldCharType="begin"/>
            </w:r>
            <w:r w:rsidR="00AE429D">
              <w:rPr>
                <w:noProof/>
                <w:webHidden/>
              </w:rPr>
              <w:instrText xml:space="preserve"> PAGEREF _Toc453849288 \h </w:instrText>
            </w:r>
            <w:r w:rsidR="00AE429D">
              <w:rPr>
                <w:noProof/>
                <w:webHidden/>
              </w:rPr>
            </w:r>
            <w:r w:rsidR="00AE429D">
              <w:rPr>
                <w:noProof/>
                <w:webHidden/>
              </w:rPr>
              <w:fldChar w:fldCharType="separate"/>
            </w:r>
            <w:r w:rsidR="00AE429D">
              <w:rPr>
                <w:noProof/>
                <w:webHidden/>
              </w:rPr>
              <w:t>22</w:t>
            </w:r>
            <w:r w:rsidR="00AE429D">
              <w:rPr>
                <w:noProof/>
                <w:webHidden/>
              </w:rPr>
              <w:fldChar w:fldCharType="end"/>
            </w:r>
          </w:hyperlink>
        </w:p>
        <w:p w14:paraId="1002EDAD" w14:textId="77777777" w:rsidR="00AE429D" w:rsidRDefault="00DB2B0B">
          <w:pPr>
            <w:pStyle w:val="TOC2"/>
            <w:rPr>
              <w:rFonts w:asciiTheme="minorHAnsi" w:eastAsiaTheme="minorEastAsia" w:hAnsiTheme="minorHAnsi" w:cstheme="minorBidi"/>
              <w:b w:val="0"/>
              <w:smallCaps w:val="0"/>
              <w:noProof/>
              <w:sz w:val="22"/>
              <w:szCs w:val="22"/>
            </w:rPr>
          </w:pPr>
          <w:hyperlink w:anchor="_Toc453849289" w:history="1">
            <w:r w:rsidR="00AE429D" w:rsidRPr="00B10F25">
              <w:rPr>
                <w:rStyle w:val="Hyperlink"/>
                <w:rFonts w:cs="Calibri"/>
                <w:noProof/>
                <w:snapToGrid w:val="0"/>
                <w:lang w:bidi="en-US"/>
              </w:rPr>
              <w:t>4.8</w:t>
            </w:r>
            <w:r w:rsidR="00AE429D">
              <w:rPr>
                <w:rFonts w:asciiTheme="minorHAnsi" w:eastAsiaTheme="minorEastAsia" w:hAnsiTheme="minorHAnsi" w:cstheme="minorBidi"/>
                <w:b w:val="0"/>
                <w:smallCaps w:val="0"/>
                <w:noProof/>
                <w:sz w:val="22"/>
                <w:szCs w:val="22"/>
              </w:rPr>
              <w:tab/>
            </w:r>
            <w:r w:rsidR="00AE429D" w:rsidRPr="00B10F25">
              <w:rPr>
                <w:rStyle w:val="Hyperlink"/>
                <w:noProof/>
                <w:lang w:bidi="en-US"/>
              </w:rPr>
              <w:t>CRE exposure</w:t>
            </w:r>
            <w:r w:rsidR="00AE429D">
              <w:rPr>
                <w:noProof/>
                <w:webHidden/>
              </w:rPr>
              <w:tab/>
            </w:r>
            <w:r w:rsidR="00AE429D">
              <w:rPr>
                <w:noProof/>
                <w:webHidden/>
              </w:rPr>
              <w:fldChar w:fldCharType="begin"/>
            </w:r>
            <w:r w:rsidR="00AE429D">
              <w:rPr>
                <w:noProof/>
                <w:webHidden/>
              </w:rPr>
              <w:instrText xml:space="preserve"> PAGEREF _Toc453849289 \h </w:instrText>
            </w:r>
            <w:r w:rsidR="00AE429D">
              <w:rPr>
                <w:noProof/>
                <w:webHidden/>
              </w:rPr>
            </w:r>
            <w:r w:rsidR="00AE429D">
              <w:rPr>
                <w:noProof/>
                <w:webHidden/>
              </w:rPr>
              <w:fldChar w:fldCharType="separate"/>
            </w:r>
            <w:r w:rsidR="00AE429D">
              <w:rPr>
                <w:noProof/>
                <w:webHidden/>
              </w:rPr>
              <w:t>23</w:t>
            </w:r>
            <w:r w:rsidR="00AE429D">
              <w:rPr>
                <w:noProof/>
                <w:webHidden/>
              </w:rPr>
              <w:fldChar w:fldCharType="end"/>
            </w:r>
          </w:hyperlink>
        </w:p>
        <w:p w14:paraId="5B64B07B" w14:textId="77777777" w:rsidR="00AE429D" w:rsidRDefault="00DB2B0B">
          <w:pPr>
            <w:pStyle w:val="TOC2"/>
            <w:rPr>
              <w:rFonts w:asciiTheme="minorHAnsi" w:eastAsiaTheme="minorEastAsia" w:hAnsiTheme="minorHAnsi" w:cstheme="minorBidi"/>
              <w:b w:val="0"/>
              <w:smallCaps w:val="0"/>
              <w:noProof/>
              <w:sz w:val="22"/>
              <w:szCs w:val="22"/>
            </w:rPr>
          </w:pPr>
          <w:hyperlink w:anchor="_Toc453849290" w:history="1">
            <w:r w:rsidR="00AE429D" w:rsidRPr="00B10F25">
              <w:rPr>
                <w:rStyle w:val="Hyperlink"/>
                <w:rFonts w:cs="Calibri"/>
                <w:noProof/>
                <w:snapToGrid w:val="0"/>
                <w:lang w:bidi="en-US"/>
              </w:rPr>
              <w:t>4.9</w:t>
            </w:r>
            <w:r w:rsidR="00AE429D">
              <w:rPr>
                <w:rFonts w:asciiTheme="minorHAnsi" w:eastAsiaTheme="minorEastAsia" w:hAnsiTheme="minorHAnsi" w:cstheme="minorBidi"/>
                <w:b w:val="0"/>
                <w:smallCaps w:val="0"/>
                <w:noProof/>
                <w:sz w:val="22"/>
                <w:szCs w:val="22"/>
              </w:rPr>
              <w:tab/>
            </w:r>
            <w:r w:rsidR="00AE429D" w:rsidRPr="00B10F25">
              <w:rPr>
                <w:rStyle w:val="Hyperlink"/>
                <w:noProof/>
                <w:lang w:bidi="en-US"/>
              </w:rPr>
              <w:t>Multifamily exposure</w:t>
            </w:r>
            <w:r w:rsidR="00AE429D">
              <w:rPr>
                <w:noProof/>
                <w:webHidden/>
              </w:rPr>
              <w:tab/>
            </w:r>
            <w:r w:rsidR="00AE429D">
              <w:rPr>
                <w:noProof/>
                <w:webHidden/>
              </w:rPr>
              <w:fldChar w:fldCharType="begin"/>
            </w:r>
            <w:r w:rsidR="00AE429D">
              <w:rPr>
                <w:noProof/>
                <w:webHidden/>
              </w:rPr>
              <w:instrText xml:space="preserve"> PAGEREF _Toc453849290 \h </w:instrText>
            </w:r>
            <w:r w:rsidR="00AE429D">
              <w:rPr>
                <w:noProof/>
                <w:webHidden/>
              </w:rPr>
            </w:r>
            <w:r w:rsidR="00AE429D">
              <w:rPr>
                <w:noProof/>
                <w:webHidden/>
              </w:rPr>
              <w:fldChar w:fldCharType="separate"/>
            </w:r>
            <w:r w:rsidR="00AE429D">
              <w:rPr>
                <w:noProof/>
                <w:webHidden/>
              </w:rPr>
              <w:t>24</w:t>
            </w:r>
            <w:r w:rsidR="00AE429D">
              <w:rPr>
                <w:noProof/>
                <w:webHidden/>
              </w:rPr>
              <w:fldChar w:fldCharType="end"/>
            </w:r>
          </w:hyperlink>
        </w:p>
        <w:p w14:paraId="40D34616" w14:textId="77777777" w:rsidR="00AE429D" w:rsidRDefault="00DB2B0B">
          <w:pPr>
            <w:pStyle w:val="TOC2"/>
            <w:rPr>
              <w:rFonts w:asciiTheme="minorHAnsi" w:eastAsiaTheme="minorEastAsia" w:hAnsiTheme="minorHAnsi" w:cstheme="minorBidi"/>
              <w:b w:val="0"/>
              <w:smallCaps w:val="0"/>
              <w:noProof/>
              <w:sz w:val="22"/>
              <w:szCs w:val="22"/>
            </w:rPr>
          </w:pPr>
          <w:hyperlink w:anchor="_Toc453849291" w:history="1">
            <w:r w:rsidR="00AE429D" w:rsidRPr="00B10F25">
              <w:rPr>
                <w:rStyle w:val="Hyperlink"/>
                <w:rFonts w:cs="Calibri"/>
                <w:noProof/>
                <w:snapToGrid w:val="0"/>
                <w:lang w:bidi="en-US"/>
              </w:rPr>
              <w:t>4.10</w:t>
            </w:r>
            <w:r w:rsidR="00AE429D">
              <w:rPr>
                <w:rFonts w:asciiTheme="minorHAnsi" w:eastAsiaTheme="minorEastAsia" w:hAnsiTheme="minorHAnsi" w:cstheme="minorBidi"/>
                <w:b w:val="0"/>
                <w:smallCaps w:val="0"/>
                <w:noProof/>
                <w:sz w:val="22"/>
                <w:szCs w:val="22"/>
              </w:rPr>
              <w:tab/>
            </w:r>
            <w:r w:rsidR="00AE429D" w:rsidRPr="00B10F25">
              <w:rPr>
                <w:rStyle w:val="Hyperlink"/>
                <w:noProof/>
                <w:lang w:bidi="en-US"/>
              </w:rPr>
              <w:t>Project Finance Exposure</w:t>
            </w:r>
            <w:r w:rsidR="00AE429D">
              <w:rPr>
                <w:noProof/>
                <w:webHidden/>
              </w:rPr>
              <w:tab/>
            </w:r>
            <w:r w:rsidR="00AE429D">
              <w:rPr>
                <w:noProof/>
                <w:webHidden/>
              </w:rPr>
              <w:fldChar w:fldCharType="begin"/>
            </w:r>
            <w:r w:rsidR="00AE429D">
              <w:rPr>
                <w:noProof/>
                <w:webHidden/>
              </w:rPr>
              <w:instrText xml:space="preserve"> PAGEREF _Toc453849291 \h </w:instrText>
            </w:r>
            <w:r w:rsidR="00AE429D">
              <w:rPr>
                <w:noProof/>
                <w:webHidden/>
              </w:rPr>
            </w:r>
            <w:r w:rsidR="00AE429D">
              <w:rPr>
                <w:noProof/>
                <w:webHidden/>
              </w:rPr>
              <w:fldChar w:fldCharType="separate"/>
            </w:r>
            <w:r w:rsidR="00AE429D">
              <w:rPr>
                <w:noProof/>
                <w:webHidden/>
              </w:rPr>
              <w:t>25</w:t>
            </w:r>
            <w:r w:rsidR="00AE429D">
              <w:rPr>
                <w:noProof/>
                <w:webHidden/>
              </w:rPr>
              <w:fldChar w:fldCharType="end"/>
            </w:r>
          </w:hyperlink>
        </w:p>
        <w:p w14:paraId="043486F3" w14:textId="77777777" w:rsidR="00AE429D" w:rsidRDefault="00DB2B0B">
          <w:pPr>
            <w:pStyle w:val="TOC2"/>
            <w:rPr>
              <w:rFonts w:asciiTheme="minorHAnsi" w:eastAsiaTheme="minorEastAsia" w:hAnsiTheme="minorHAnsi" w:cstheme="minorBidi"/>
              <w:b w:val="0"/>
              <w:smallCaps w:val="0"/>
              <w:noProof/>
              <w:sz w:val="22"/>
              <w:szCs w:val="22"/>
            </w:rPr>
          </w:pPr>
          <w:hyperlink w:anchor="_Toc453849292" w:history="1">
            <w:r w:rsidR="00AE429D" w:rsidRPr="00B10F25">
              <w:rPr>
                <w:rStyle w:val="Hyperlink"/>
                <w:rFonts w:cs="Calibri"/>
                <w:noProof/>
                <w:snapToGrid w:val="0"/>
                <w:lang w:bidi="en-US"/>
              </w:rPr>
              <w:t>4.11</w:t>
            </w:r>
            <w:r w:rsidR="00AE429D">
              <w:rPr>
                <w:rFonts w:asciiTheme="minorHAnsi" w:eastAsiaTheme="minorEastAsia" w:hAnsiTheme="minorHAnsi" w:cstheme="minorBidi"/>
                <w:b w:val="0"/>
                <w:smallCaps w:val="0"/>
                <w:noProof/>
                <w:sz w:val="22"/>
                <w:szCs w:val="22"/>
              </w:rPr>
              <w:tab/>
            </w:r>
            <w:r w:rsidR="00AE429D" w:rsidRPr="00B10F25">
              <w:rPr>
                <w:rStyle w:val="Hyperlink"/>
                <w:noProof/>
                <w:lang w:bidi="en-US"/>
              </w:rPr>
              <w:t>Public Sector exposure (BSPR only)</w:t>
            </w:r>
            <w:r w:rsidR="00AE429D">
              <w:rPr>
                <w:noProof/>
                <w:webHidden/>
              </w:rPr>
              <w:tab/>
            </w:r>
            <w:r w:rsidR="00AE429D">
              <w:rPr>
                <w:noProof/>
                <w:webHidden/>
              </w:rPr>
              <w:fldChar w:fldCharType="begin"/>
            </w:r>
            <w:r w:rsidR="00AE429D">
              <w:rPr>
                <w:noProof/>
                <w:webHidden/>
              </w:rPr>
              <w:instrText xml:space="preserve"> PAGEREF _Toc453849292 \h </w:instrText>
            </w:r>
            <w:r w:rsidR="00AE429D">
              <w:rPr>
                <w:noProof/>
                <w:webHidden/>
              </w:rPr>
            </w:r>
            <w:r w:rsidR="00AE429D">
              <w:rPr>
                <w:noProof/>
                <w:webHidden/>
              </w:rPr>
              <w:fldChar w:fldCharType="separate"/>
            </w:r>
            <w:r w:rsidR="00AE429D">
              <w:rPr>
                <w:noProof/>
                <w:webHidden/>
              </w:rPr>
              <w:t>26</w:t>
            </w:r>
            <w:r w:rsidR="00AE429D">
              <w:rPr>
                <w:noProof/>
                <w:webHidden/>
              </w:rPr>
              <w:fldChar w:fldCharType="end"/>
            </w:r>
          </w:hyperlink>
        </w:p>
        <w:p w14:paraId="6E29BA4B" w14:textId="77777777" w:rsidR="00AE429D" w:rsidRDefault="00DB2B0B">
          <w:pPr>
            <w:pStyle w:val="TOC2"/>
            <w:rPr>
              <w:rFonts w:asciiTheme="minorHAnsi" w:eastAsiaTheme="minorEastAsia" w:hAnsiTheme="minorHAnsi" w:cstheme="minorBidi"/>
              <w:b w:val="0"/>
              <w:smallCaps w:val="0"/>
              <w:noProof/>
              <w:sz w:val="22"/>
              <w:szCs w:val="22"/>
            </w:rPr>
          </w:pPr>
          <w:hyperlink w:anchor="_Toc453849293" w:history="1">
            <w:r w:rsidR="00AE429D" w:rsidRPr="00B10F25">
              <w:rPr>
                <w:rStyle w:val="Hyperlink"/>
                <w:rFonts w:cs="Calibri"/>
                <w:noProof/>
                <w:snapToGrid w:val="0"/>
                <w:lang w:bidi="en-US"/>
              </w:rPr>
              <w:t>4.12</w:t>
            </w:r>
            <w:r w:rsidR="00AE429D">
              <w:rPr>
                <w:rFonts w:asciiTheme="minorHAnsi" w:eastAsiaTheme="minorEastAsia" w:hAnsiTheme="minorHAnsi" w:cstheme="minorBidi"/>
                <w:b w:val="0"/>
                <w:smallCaps w:val="0"/>
                <w:noProof/>
                <w:sz w:val="22"/>
                <w:szCs w:val="22"/>
              </w:rPr>
              <w:tab/>
            </w:r>
            <w:r w:rsidR="00AE429D" w:rsidRPr="00B10F25">
              <w:rPr>
                <w:rStyle w:val="Hyperlink"/>
                <w:noProof/>
                <w:lang w:bidi="en-US"/>
              </w:rPr>
              <w:t>SC subprime assets as % of SHUSA credit exposure</w:t>
            </w:r>
            <w:r w:rsidR="00AE429D">
              <w:rPr>
                <w:noProof/>
                <w:webHidden/>
              </w:rPr>
              <w:tab/>
            </w:r>
            <w:r w:rsidR="00AE429D">
              <w:rPr>
                <w:noProof/>
                <w:webHidden/>
              </w:rPr>
              <w:fldChar w:fldCharType="begin"/>
            </w:r>
            <w:r w:rsidR="00AE429D">
              <w:rPr>
                <w:noProof/>
                <w:webHidden/>
              </w:rPr>
              <w:instrText xml:space="preserve"> PAGEREF _Toc453849293 \h </w:instrText>
            </w:r>
            <w:r w:rsidR="00AE429D">
              <w:rPr>
                <w:noProof/>
                <w:webHidden/>
              </w:rPr>
            </w:r>
            <w:r w:rsidR="00AE429D">
              <w:rPr>
                <w:noProof/>
                <w:webHidden/>
              </w:rPr>
              <w:fldChar w:fldCharType="separate"/>
            </w:r>
            <w:r w:rsidR="00AE429D">
              <w:rPr>
                <w:noProof/>
                <w:webHidden/>
              </w:rPr>
              <w:t>27</w:t>
            </w:r>
            <w:r w:rsidR="00AE429D">
              <w:rPr>
                <w:noProof/>
                <w:webHidden/>
              </w:rPr>
              <w:fldChar w:fldCharType="end"/>
            </w:r>
          </w:hyperlink>
        </w:p>
        <w:p w14:paraId="51DCBAEB" w14:textId="77777777" w:rsidR="00AE429D" w:rsidRDefault="00DB2B0B">
          <w:pPr>
            <w:pStyle w:val="TOC2"/>
            <w:rPr>
              <w:rFonts w:asciiTheme="minorHAnsi" w:eastAsiaTheme="minorEastAsia" w:hAnsiTheme="minorHAnsi" w:cstheme="minorBidi"/>
              <w:b w:val="0"/>
              <w:smallCaps w:val="0"/>
              <w:noProof/>
              <w:sz w:val="22"/>
              <w:szCs w:val="22"/>
            </w:rPr>
          </w:pPr>
          <w:hyperlink w:anchor="_Toc453849294" w:history="1">
            <w:r w:rsidR="00AE429D" w:rsidRPr="00B10F25">
              <w:rPr>
                <w:rStyle w:val="Hyperlink"/>
                <w:rFonts w:cs="Calibri"/>
                <w:noProof/>
                <w:snapToGrid w:val="0"/>
                <w:lang w:bidi="en-US"/>
              </w:rPr>
              <w:t>4.13</w:t>
            </w:r>
            <w:r w:rsidR="00AE429D">
              <w:rPr>
                <w:rFonts w:asciiTheme="minorHAnsi" w:eastAsiaTheme="minorEastAsia" w:hAnsiTheme="minorHAnsi" w:cstheme="minorBidi"/>
                <w:b w:val="0"/>
                <w:smallCaps w:val="0"/>
                <w:noProof/>
                <w:sz w:val="22"/>
                <w:szCs w:val="22"/>
              </w:rPr>
              <w:tab/>
            </w:r>
            <w:r w:rsidR="00AE429D" w:rsidRPr="00B10F25">
              <w:rPr>
                <w:rStyle w:val="Hyperlink"/>
                <w:noProof/>
                <w:lang w:bidi="en-US"/>
              </w:rPr>
              <w:t>SHUSA subprime assets as % of SHUSA credit exposure</w:t>
            </w:r>
            <w:r w:rsidR="00AE429D">
              <w:rPr>
                <w:noProof/>
                <w:webHidden/>
              </w:rPr>
              <w:tab/>
            </w:r>
            <w:r w:rsidR="00AE429D">
              <w:rPr>
                <w:noProof/>
                <w:webHidden/>
              </w:rPr>
              <w:fldChar w:fldCharType="begin"/>
            </w:r>
            <w:r w:rsidR="00AE429D">
              <w:rPr>
                <w:noProof/>
                <w:webHidden/>
              </w:rPr>
              <w:instrText xml:space="preserve"> PAGEREF _Toc453849294 \h </w:instrText>
            </w:r>
            <w:r w:rsidR="00AE429D">
              <w:rPr>
                <w:noProof/>
                <w:webHidden/>
              </w:rPr>
            </w:r>
            <w:r w:rsidR="00AE429D">
              <w:rPr>
                <w:noProof/>
                <w:webHidden/>
              </w:rPr>
              <w:fldChar w:fldCharType="separate"/>
            </w:r>
            <w:r w:rsidR="00AE429D">
              <w:rPr>
                <w:noProof/>
                <w:webHidden/>
              </w:rPr>
              <w:t>28</w:t>
            </w:r>
            <w:r w:rsidR="00AE429D">
              <w:rPr>
                <w:noProof/>
                <w:webHidden/>
              </w:rPr>
              <w:fldChar w:fldCharType="end"/>
            </w:r>
          </w:hyperlink>
        </w:p>
        <w:p w14:paraId="1BFBA3F6" w14:textId="77777777" w:rsidR="00AE429D" w:rsidRDefault="00DB2B0B">
          <w:pPr>
            <w:pStyle w:val="TOC1"/>
            <w:tabs>
              <w:tab w:val="left" w:pos="440"/>
              <w:tab w:val="right" w:leader="dot" w:pos="9350"/>
            </w:tabs>
            <w:rPr>
              <w:rFonts w:asciiTheme="minorHAnsi" w:eastAsiaTheme="minorEastAsia" w:hAnsiTheme="minorHAnsi" w:cstheme="minorBidi"/>
              <w:b w:val="0"/>
              <w:caps w:val="0"/>
              <w:noProof/>
              <w:color w:val="auto"/>
              <w:sz w:val="22"/>
            </w:rPr>
          </w:pPr>
          <w:hyperlink w:anchor="_Toc453849295" w:history="1">
            <w:r w:rsidR="00AE429D" w:rsidRPr="00B10F25">
              <w:rPr>
                <w:rStyle w:val="Hyperlink"/>
                <w:noProof/>
                <w:lang w:bidi="en-US"/>
              </w:rPr>
              <w:t>5.</w:t>
            </w:r>
            <w:r w:rsidR="00AE429D">
              <w:rPr>
                <w:rFonts w:asciiTheme="minorHAnsi" w:eastAsiaTheme="minorEastAsia" w:hAnsiTheme="minorHAnsi" w:cstheme="minorBidi"/>
                <w:b w:val="0"/>
                <w:caps w:val="0"/>
                <w:noProof/>
                <w:color w:val="auto"/>
                <w:sz w:val="22"/>
              </w:rPr>
              <w:tab/>
            </w:r>
            <w:r w:rsidR="00AE429D" w:rsidRPr="00B10F25">
              <w:rPr>
                <w:rStyle w:val="Hyperlink"/>
                <w:noProof/>
                <w:lang w:bidi="en-US"/>
              </w:rPr>
              <w:t>Residual value risk metrics</w:t>
            </w:r>
            <w:r w:rsidR="00AE429D">
              <w:rPr>
                <w:noProof/>
                <w:webHidden/>
              </w:rPr>
              <w:tab/>
            </w:r>
            <w:r w:rsidR="00AE429D">
              <w:rPr>
                <w:noProof/>
                <w:webHidden/>
              </w:rPr>
              <w:fldChar w:fldCharType="begin"/>
            </w:r>
            <w:r w:rsidR="00AE429D">
              <w:rPr>
                <w:noProof/>
                <w:webHidden/>
              </w:rPr>
              <w:instrText xml:space="preserve"> PAGEREF _Toc453849295 \h </w:instrText>
            </w:r>
            <w:r w:rsidR="00AE429D">
              <w:rPr>
                <w:noProof/>
                <w:webHidden/>
              </w:rPr>
            </w:r>
            <w:r w:rsidR="00AE429D">
              <w:rPr>
                <w:noProof/>
                <w:webHidden/>
              </w:rPr>
              <w:fldChar w:fldCharType="separate"/>
            </w:r>
            <w:r w:rsidR="00AE429D">
              <w:rPr>
                <w:noProof/>
                <w:webHidden/>
              </w:rPr>
              <w:t>30</w:t>
            </w:r>
            <w:r w:rsidR="00AE429D">
              <w:rPr>
                <w:noProof/>
                <w:webHidden/>
              </w:rPr>
              <w:fldChar w:fldCharType="end"/>
            </w:r>
          </w:hyperlink>
        </w:p>
        <w:p w14:paraId="1FCDDF00" w14:textId="77777777" w:rsidR="00AE429D" w:rsidRDefault="00DB2B0B">
          <w:pPr>
            <w:pStyle w:val="TOC2"/>
            <w:rPr>
              <w:rFonts w:asciiTheme="minorHAnsi" w:eastAsiaTheme="minorEastAsia" w:hAnsiTheme="minorHAnsi" w:cstheme="minorBidi"/>
              <w:b w:val="0"/>
              <w:smallCaps w:val="0"/>
              <w:noProof/>
              <w:sz w:val="22"/>
              <w:szCs w:val="22"/>
            </w:rPr>
          </w:pPr>
          <w:hyperlink w:anchor="_Toc453849296" w:history="1">
            <w:r w:rsidR="00AE429D" w:rsidRPr="00B10F25">
              <w:rPr>
                <w:rStyle w:val="Hyperlink"/>
                <w:rFonts w:cs="Calibri"/>
                <w:noProof/>
                <w:snapToGrid w:val="0"/>
                <w:lang w:bidi="en-US"/>
              </w:rPr>
              <w:t>5.1</w:t>
            </w:r>
            <w:r w:rsidR="00AE429D">
              <w:rPr>
                <w:rFonts w:asciiTheme="minorHAnsi" w:eastAsiaTheme="minorEastAsia" w:hAnsiTheme="minorHAnsi" w:cstheme="minorBidi"/>
                <w:b w:val="0"/>
                <w:smallCaps w:val="0"/>
                <w:noProof/>
                <w:sz w:val="22"/>
                <w:szCs w:val="22"/>
              </w:rPr>
              <w:tab/>
            </w:r>
            <w:r w:rsidR="00AE429D" w:rsidRPr="00B10F25">
              <w:rPr>
                <w:rStyle w:val="Hyperlink"/>
                <w:noProof/>
                <w:lang w:bidi="en-US"/>
              </w:rPr>
              <w:t>Net residual value exposure</w:t>
            </w:r>
            <w:r w:rsidR="00AE429D">
              <w:rPr>
                <w:noProof/>
                <w:webHidden/>
              </w:rPr>
              <w:tab/>
            </w:r>
            <w:r w:rsidR="00AE429D">
              <w:rPr>
                <w:noProof/>
                <w:webHidden/>
              </w:rPr>
              <w:fldChar w:fldCharType="begin"/>
            </w:r>
            <w:r w:rsidR="00AE429D">
              <w:rPr>
                <w:noProof/>
                <w:webHidden/>
              </w:rPr>
              <w:instrText xml:space="preserve"> PAGEREF _Toc453849296 \h </w:instrText>
            </w:r>
            <w:r w:rsidR="00AE429D">
              <w:rPr>
                <w:noProof/>
                <w:webHidden/>
              </w:rPr>
            </w:r>
            <w:r w:rsidR="00AE429D">
              <w:rPr>
                <w:noProof/>
                <w:webHidden/>
              </w:rPr>
              <w:fldChar w:fldCharType="separate"/>
            </w:r>
            <w:r w:rsidR="00AE429D">
              <w:rPr>
                <w:noProof/>
                <w:webHidden/>
              </w:rPr>
              <w:t>30</w:t>
            </w:r>
            <w:r w:rsidR="00AE429D">
              <w:rPr>
                <w:noProof/>
                <w:webHidden/>
              </w:rPr>
              <w:fldChar w:fldCharType="end"/>
            </w:r>
          </w:hyperlink>
        </w:p>
        <w:p w14:paraId="37F0B32E" w14:textId="77777777" w:rsidR="00AE429D" w:rsidRDefault="00DB2B0B">
          <w:pPr>
            <w:pStyle w:val="TOC1"/>
            <w:tabs>
              <w:tab w:val="left" w:pos="440"/>
              <w:tab w:val="right" w:leader="dot" w:pos="9350"/>
            </w:tabs>
            <w:rPr>
              <w:rFonts w:asciiTheme="minorHAnsi" w:eastAsiaTheme="minorEastAsia" w:hAnsiTheme="minorHAnsi" w:cstheme="minorBidi"/>
              <w:b w:val="0"/>
              <w:caps w:val="0"/>
              <w:noProof/>
              <w:color w:val="auto"/>
              <w:sz w:val="22"/>
            </w:rPr>
          </w:pPr>
          <w:hyperlink w:anchor="_Toc453849297" w:history="1">
            <w:r w:rsidR="00AE429D" w:rsidRPr="00B10F25">
              <w:rPr>
                <w:rStyle w:val="Hyperlink"/>
                <w:noProof/>
                <w:lang w:bidi="en-US"/>
              </w:rPr>
              <w:t>6.</w:t>
            </w:r>
            <w:r w:rsidR="00AE429D">
              <w:rPr>
                <w:rFonts w:asciiTheme="minorHAnsi" w:eastAsiaTheme="minorEastAsia" w:hAnsiTheme="minorHAnsi" w:cstheme="minorBidi"/>
                <w:b w:val="0"/>
                <w:caps w:val="0"/>
                <w:noProof/>
                <w:color w:val="auto"/>
                <w:sz w:val="22"/>
              </w:rPr>
              <w:tab/>
            </w:r>
            <w:r w:rsidR="00AE429D" w:rsidRPr="00B10F25">
              <w:rPr>
                <w:rStyle w:val="Hyperlink"/>
                <w:noProof/>
                <w:lang w:bidi="en-US"/>
              </w:rPr>
              <w:t>Liquidity / funding risk metrics</w:t>
            </w:r>
            <w:r w:rsidR="00AE429D">
              <w:rPr>
                <w:noProof/>
                <w:webHidden/>
              </w:rPr>
              <w:tab/>
            </w:r>
            <w:r w:rsidR="00AE429D">
              <w:rPr>
                <w:noProof/>
                <w:webHidden/>
              </w:rPr>
              <w:fldChar w:fldCharType="begin"/>
            </w:r>
            <w:r w:rsidR="00AE429D">
              <w:rPr>
                <w:noProof/>
                <w:webHidden/>
              </w:rPr>
              <w:instrText xml:space="preserve"> PAGEREF _Toc453849297 \h </w:instrText>
            </w:r>
            <w:r w:rsidR="00AE429D">
              <w:rPr>
                <w:noProof/>
                <w:webHidden/>
              </w:rPr>
            </w:r>
            <w:r w:rsidR="00AE429D">
              <w:rPr>
                <w:noProof/>
                <w:webHidden/>
              </w:rPr>
              <w:fldChar w:fldCharType="separate"/>
            </w:r>
            <w:r w:rsidR="00AE429D">
              <w:rPr>
                <w:noProof/>
                <w:webHidden/>
              </w:rPr>
              <w:t>31</w:t>
            </w:r>
            <w:r w:rsidR="00AE429D">
              <w:rPr>
                <w:noProof/>
                <w:webHidden/>
              </w:rPr>
              <w:fldChar w:fldCharType="end"/>
            </w:r>
          </w:hyperlink>
        </w:p>
        <w:p w14:paraId="2816BDAF" w14:textId="77777777" w:rsidR="00AE429D" w:rsidRDefault="00DB2B0B">
          <w:pPr>
            <w:pStyle w:val="TOC2"/>
            <w:rPr>
              <w:rFonts w:asciiTheme="minorHAnsi" w:eastAsiaTheme="minorEastAsia" w:hAnsiTheme="minorHAnsi" w:cstheme="minorBidi"/>
              <w:b w:val="0"/>
              <w:smallCaps w:val="0"/>
              <w:noProof/>
              <w:sz w:val="22"/>
              <w:szCs w:val="22"/>
            </w:rPr>
          </w:pPr>
          <w:hyperlink w:anchor="_Toc453849298" w:history="1">
            <w:r w:rsidR="00AE429D" w:rsidRPr="00B10F25">
              <w:rPr>
                <w:rStyle w:val="Hyperlink"/>
                <w:rFonts w:cs="Calibri"/>
                <w:noProof/>
                <w:snapToGrid w:val="0"/>
                <w:lang w:bidi="en-US"/>
              </w:rPr>
              <w:t>6.1</w:t>
            </w:r>
            <w:r w:rsidR="00AE429D">
              <w:rPr>
                <w:rFonts w:asciiTheme="minorHAnsi" w:eastAsiaTheme="minorEastAsia" w:hAnsiTheme="minorHAnsi" w:cstheme="minorBidi"/>
                <w:b w:val="0"/>
                <w:smallCaps w:val="0"/>
                <w:noProof/>
                <w:sz w:val="22"/>
                <w:szCs w:val="22"/>
              </w:rPr>
              <w:tab/>
            </w:r>
            <w:r w:rsidR="00AE429D" w:rsidRPr="00B10F25">
              <w:rPr>
                <w:rStyle w:val="Hyperlink"/>
                <w:noProof/>
                <w:lang w:bidi="en-US"/>
              </w:rPr>
              <w:t>Stressed survival period</w:t>
            </w:r>
            <w:r w:rsidR="00AE429D">
              <w:rPr>
                <w:noProof/>
                <w:webHidden/>
              </w:rPr>
              <w:tab/>
            </w:r>
            <w:r w:rsidR="00AE429D">
              <w:rPr>
                <w:noProof/>
                <w:webHidden/>
              </w:rPr>
              <w:fldChar w:fldCharType="begin"/>
            </w:r>
            <w:r w:rsidR="00AE429D">
              <w:rPr>
                <w:noProof/>
                <w:webHidden/>
              </w:rPr>
              <w:instrText xml:space="preserve"> PAGEREF _Toc453849298 \h </w:instrText>
            </w:r>
            <w:r w:rsidR="00AE429D">
              <w:rPr>
                <w:noProof/>
                <w:webHidden/>
              </w:rPr>
            </w:r>
            <w:r w:rsidR="00AE429D">
              <w:rPr>
                <w:noProof/>
                <w:webHidden/>
              </w:rPr>
              <w:fldChar w:fldCharType="separate"/>
            </w:r>
            <w:r w:rsidR="00AE429D">
              <w:rPr>
                <w:noProof/>
                <w:webHidden/>
              </w:rPr>
              <w:t>31</w:t>
            </w:r>
            <w:r w:rsidR="00AE429D">
              <w:rPr>
                <w:noProof/>
                <w:webHidden/>
              </w:rPr>
              <w:fldChar w:fldCharType="end"/>
            </w:r>
          </w:hyperlink>
        </w:p>
        <w:p w14:paraId="0B77B17A" w14:textId="77777777" w:rsidR="00AE429D" w:rsidRDefault="00DB2B0B">
          <w:pPr>
            <w:pStyle w:val="TOC2"/>
            <w:rPr>
              <w:rFonts w:asciiTheme="minorHAnsi" w:eastAsiaTheme="minorEastAsia" w:hAnsiTheme="minorHAnsi" w:cstheme="minorBidi"/>
              <w:b w:val="0"/>
              <w:smallCaps w:val="0"/>
              <w:noProof/>
              <w:sz w:val="22"/>
              <w:szCs w:val="22"/>
            </w:rPr>
          </w:pPr>
          <w:hyperlink w:anchor="_Toc453849299" w:history="1">
            <w:r w:rsidR="00AE429D" w:rsidRPr="00B10F25">
              <w:rPr>
                <w:rStyle w:val="Hyperlink"/>
                <w:rFonts w:cs="Calibri"/>
                <w:noProof/>
                <w:snapToGrid w:val="0"/>
                <w:lang w:bidi="en-US"/>
              </w:rPr>
              <w:t>6.2</w:t>
            </w:r>
            <w:r w:rsidR="00AE429D">
              <w:rPr>
                <w:rFonts w:asciiTheme="minorHAnsi" w:eastAsiaTheme="minorEastAsia" w:hAnsiTheme="minorHAnsi" w:cstheme="minorBidi"/>
                <w:b w:val="0"/>
                <w:smallCaps w:val="0"/>
                <w:noProof/>
                <w:sz w:val="22"/>
                <w:szCs w:val="22"/>
              </w:rPr>
              <w:tab/>
            </w:r>
            <w:r w:rsidR="00AE429D" w:rsidRPr="00B10F25">
              <w:rPr>
                <w:rStyle w:val="Hyperlink"/>
                <w:noProof/>
                <w:lang w:bidi="en-US"/>
              </w:rPr>
              <w:t>Liquidity Coverage Ratio (LCR)</w:t>
            </w:r>
            <w:r w:rsidR="00AE429D">
              <w:rPr>
                <w:noProof/>
                <w:webHidden/>
              </w:rPr>
              <w:tab/>
            </w:r>
            <w:r w:rsidR="00AE429D">
              <w:rPr>
                <w:noProof/>
                <w:webHidden/>
              </w:rPr>
              <w:fldChar w:fldCharType="begin"/>
            </w:r>
            <w:r w:rsidR="00AE429D">
              <w:rPr>
                <w:noProof/>
                <w:webHidden/>
              </w:rPr>
              <w:instrText xml:space="preserve"> PAGEREF _Toc453849299 \h </w:instrText>
            </w:r>
            <w:r w:rsidR="00AE429D">
              <w:rPr>
                <w:noProof/>
                <w:webHidden/>
              </w:rPr>
            </w:r>
            <w:r w:rsidR="00AE429D">
              <w:rPr>
                <w:noProof/>
                <w:webHidden/>
              </w:rPr>
              <w:fldChar w:fldCharType="separate"/>
            </w:r>
            <w:r w:rsidR="00AE429D">
              <w:rPr>
                <w:noProof/>
                <w:webHidden/>
              </w:rPr>
              <w:t>31</w:t>
            </w:r>
            <w:r w:rsidR="00AE429D">
              <w:rPr>
                <w:noProof/>
                <w:webHidden/>
              </w:rPr>
              <w:fldChar w:fldCharType="end"/>
            </w:r>
          </w:hyperlink>
        </w:p>
        <w:p w14:paraId="09E05311" w14:textId="77777777" w:rsidR="00AE429D" w:rsidRDefault="00DB2B0B">
          <w:pPr>
            <w:pStyle w:val="TOC2"/>
            <w:rPr>
              <w:rFonts w:asciiTheme="minorHAnsi" w:eastAsiaTheme="minorEastAsia" w:hAnsiTheme="minorHAnsi" w:cstheme="minorBidi"/>
              <w:b w:val="0"/>
              <w:smallCaps w:val="0"/>
              <w:noProof/>
              <w:sz w:val="22"/>
              <w:szCs w:val="22"/>
            </w:rPr>
          </w:pPr>
          <w:hyperlink w:anchor="_Toc453849300" w:history="1">
            <w:r w:rsidR="00AE429D" w:rsidRPr="00B10F25">
              <w:rPr>
                <w:rStyle w:val="Hyperlink"/>
                <w:rFonts w:cs="Calibri"/>
                <w:noProof/>
                <w:snapToGrid w:val="0"/>
                <w:lang w:bidi="en-US"/>
              </w:rPr>
              <w:t>6.3</w:t>
            </w:r>
            <w:r w:rsidR="00AE429D">
              <w:rPr>
                <w:rFonts w:asciiTheme="minorHAnsi" w:eastAsiaTheme="minorEastAsia" w:hAnsiTheme="minorHAnsi" w:cstheme="minorBidi"/>
                <w:b w:val="0"/>
                <w:smallCaps w:val="0"/>
                <w:noProof/>
                <w:sz w:val="22"/>
                <w:szCs w:val="22"/>
              </w:rPr>
              <w:tab/>
            </w:r>
            <w:r w:rsidR="00AE429D" w:rsidRPr="00B10F25">
              <w:rPr>
                <w:rStyle w:val="Hyperlink"/>
                <w:noProof/>
                <w:lang w:bidi="en-US"/>
              </w:rPr>
              <w:t>Structural Funding Ratio (SFR)</w:t>
            </w:r>
            <w:r w:rsidR="00AE429D">
              <w:rPr>
                <w:noProof/>
                <w:webHidden/>
              </w:rPr>
              <w:tab/>
            </w:r>
            <w:r w:rsidR="00AE429D">
              <w:rPr>
                <w:noProof/>
                <w:webHidden/>
              </w:rPr>
              <w:fldChar w:fldCharType="begin"/>
            </w:r>
            <w:r w:rsidR="00AE429D">
              <w:rPr>
                <w:noProof/>
                <w:webHidden/>
              </w:rPr>
              <w:instrText xml:space="preserve"> PAGEREF _Toc453849300 \h </w:instrText>
            </w:r>
            <w:r w:rsidR="00AE429D">
              <w:rPr>
                <w:noProof/>
                <w:webHidden/>
              </w:rPr>
            </w:r>
            <w:r w:rsidR="00AE429D">
              <w:rPr>
                <w:noProof/>
                <w:webHidden/>
              </w:rPr>
              <w:fldChar w:fldCharType="separate"/>
            </w:r>
            <w:r w:rsidR="00AE429D">
              <w:rPr>
                <w:noProof/>
                <w:webHidden/>
              </w:rPr>
              <w:t>32</w:t>
            </w:r>
            <w:r w:rsidR="00AE429D">
              <w:rPr>
                <w:noProof/>
                <w:webHidden/>
              </w:rPr>
              <w:fldChar w:fldCharType="end"/>
            </w:r>
          </w:hyperlink>
        </w:p>
        <w:p w14:paraId="7DDF5A0F" w14:textId="77777777" w:rsidR="00AE429D" w:rsidRDefault="00DB2B0B">
          <w:pPr>
            <w:pStyle w:val="TOC2"/>
            <w:rPr>
              <w:rFonts w:asciiTheme="minorHAnsi" w:eastAsiaTheme="minorEastAsia" w:hAnsiTheme="minorHAnsi" w:cstheme="minorBidi"/>
              <w:b w:val="0"/>
              <w:smallCaps w:val="0"/>
              <w:noProof/>
              <w:sz w:val="22"/>
              <w:szCs w:val="22"/>
            </w:rPr>
          </w:pPr>
          <w:hyperlink w:anchor="_Toc453849301" w:history="1">
            <w:r w:rsidR="00AE429D" w:rsidRPr="00B10F25">
              <w:rPr>
                <w:rStyle w:val="Hyperlink"/>
                <w:rFonts w:cs="Calibri"/>
                <w:noProof/>
                <w:snapToGrid w:val="0"/>
                <w:lang w:bidi="en-US"/>
              </w:rPr>
              <w:t>6.4</w:t>
            </w:r>
            <w:r w:rsidR="00AE429D">
              <w:rPr>
                <w:rFonts w:asciiTheme="minorHAnsi" w:eastAsiaTheme="minorEastAsia" w:hAnsiTheme="minorHAnsi" w:cstheme="minorBidi"/>
                <w:b w:val="0"/>
                <w:smallCaps w:val="0"/>
                <w:noProof/>
                <w:sz w:val="22"/>
                <w:szCs w:val="22"/>
              </w:rPr>
              <w:tab/>
            </w:r>
            <w:r w:rsidR="00AE429D" w:rsidRPr="00B10F25">
              <w:rPr>
                <w:rStyle w:val="Hyperlink"/>
                <w:noProof/>
                <w:lang w:bidi="en-US"/>
              </w:rPr>
              <w:t>Liquidity Horizon – Wholesale Scenario</w:t>
            </w:r>
            <w:r w:rsidR="00AE429D">
              <w:rPr>
                <w:noProof/>
                <w:webHidden/>
              </w:rPr>
              <w:tab/>
            </w:r>
            <w:r w:rsidR="00AE429D">
              <w:rPr>
                <w:noProof/>
                <w:webHidden/>
              </w:rPr>
              <w:fldChar w:fldCharType="begin"/>
            </w:r>
            <w:r w:rsidR="00AE429D">
              <w:rPr>
                <w:noProof/>
                <w:webHidden/>
              </w:rPr>
              <w:instrText xml:space="preserve"> PAGEREF _Toc453849301 \h </w:instrText>
            </w:r>
            <w:r w:rsidR="00AE429D">
              <w:rPr>
                <w:noProof/>
                <w:webHidden/>
              </w:rPr>
            </w:r>
            <w:r w:rsidR="00AE429D">
              <w:rPr>
                <w:noProof/>
                <w:webHidden/>
              </w:rPr>
              <w:fldChar w:fldCharType="separate"/>
            </w:r>
            <w:r w:rsidR="00AE429D">
              <w:rPr>
                <w:noProof/>
                <w:webHidden/>
              </w:rPr>
              <w:t>33</w:t>
            </w:r>
            <w:r w:rsidR="00AE429D">
              <w:rPr>
                <w:noProof/>
                <w:webHidden/>
              </w:rPr>
              <w:fldChar w:fldCharType="end"/>
            </w:r>
          </w:hyperlink>
        </w:p>
        <w:p w14:paraId="7C8EFC10" w14:textId="77777777" w:rsidR="00AE429D" w:rsidRDefault="00DB2B0B">
          <w:pPr>
            <w:pStyle w:val="TOC2"/>
            <w:rPr>
              <w:rFonts w:asciiTheme="minorHAnsi" w:eastAsiaTheme="minorEastAsia" w:hAnsiTheme="minorHAnsi" w:cstheme="minorBidi"/>
              <w:b w:val="0"/>
              <w:smallCaps w:val="0"/>
              <w:noProof/>
              <w:sz w:val="22"/>
              <w:szCs w:val="22"/>
            </w:rPr>
          </w:pPr>
          <w:hyperlink w:anchor="_Toc453849302" w:history="1">
            <w:r w:rsidR="00AE429D" w:rsidRPr="00B10F25">
              <w:rPr>
                <w:rStyle w:val="Hyperlink"/>
                <w:rFonts w:cs="Calibri"/>
                <w:noProof/>
                <w:snapToGrid w:val="0"/>
                <w:lang w:bidi="en-US"/>
              </w:rPr>
              <w:t>6.5</w:t>
            </w:r>
            <w:r w:rsidR="00AE429D">
              <w:rPr>
                <w:rFonts w:asciiTheme="minorHAnsi" w:eastAsiaTheme="minorEastAsia" w:hAnsiTheme="minorHAnsi" w:cstheme="minorBidi"/>
                <w:b w:val="0"/>
                <w:smallCaps w:val="0"/>
                <w:noProof/>
                <w:sz w:val="22"/>
                <w:szCs w:val="22"/>
              </w:rPr>
              <w:tab/>
            </w:r>
            <w:r w:rsidR="00AE429D" w:rsidRPr="00B10F25">
              <w:rPr>
                <w:rStyle w:val="Hyperlink"/>
                <w:noProof/>
                <w:lang w:bidi="en-US"/>
              </w:rPr>
              <w:t>Asset encumbrance</w:t>
            </w:r>
            <w:r w:rsidR="00AE429D">
              <w:rPr>
                <w:noProof/>
                <w:webHidden/>
              </w:rPr>
              <w:tab/>
            </w:r>
            <w:r w:rsidR="00AE429D">
              <w:rPr>
                <w:noProof/>
                <w:webHidden/>
              </w:rPr>
              <w:fldChar w:fldCharType="begin"/>
            </w:r>
            <w:r w:rsidR="00AE429D">
              <w:rPr>
                <w:noProof/>
                <w:webHidden/>
              </w:rPr>
              <w:instrText xml:space="preserve"> PAGEREF _Toc453849302 \h </w:instrText>
            </w:r>
            <w:r w:rsidR="00AE429D">
              <w:rPr>
                <w:noProof/>
                <w:webHidden/>
              </w:rPr>
            </w:r>
            <w:r w:rsidR="00AE429D">
              <w:rPr>
                <w:noProof/>
                <w:webHidden/>
              </w:rPr>
              <w:fldChar w:fldCharType="separate"/>
            </w:r>
            <w:r w:rsidR="00AE429D">
              <w:rPr>
                <w:noProof/>
                <w:webHidden/>
              </w:rPr>
              <w:t>34</w:t>
            </w:r>
            <w:r w:rsidR="00AE429D">
              <w:rPr>
                <w:noProof/>
                <w:webHidden/>
              </w:rPr>
              <w:fldChar w:fldCharType="end"/>
            </w:r>
          </w:hyperlink>
        </w:p>
        <w:p w14:paraId="1468F384" w14:textId="77777777" w:rsidR="00AE429D" w:rsidRDefault="00DB2B0B">
          <w:pPr>
            <w:pStyle w:val="TOC1"/>
            <w:tabs>
              <w:tab w:val="left" w:pos="440"/>
              <w:tab w:val="right" w:leader="dot" w:pos="9350"/>
            </w:tabs>
            <w:rPr>
              <w:rFonts w:asciiTheme="minorHAnsi" w:eastAsiaTheme="minorEastAsia" w:hAnsiTheme="minorHAnsi" w:cstheme="minorBidi"/>
              <w:b w:val="0"/>
              <w:caps w:val="0"/>
              <w:noProof/>
              <w:color w:val="auto"/>
              <w:sz w:val="22"/>
            </w:rPr>
          </w:pPr>
          <w:hyperlink w:anchor="_Toc453849303" w:history="1">
            <w:r w:rsidR="00AE429D" w:rsidRPr="00B10F25">
              <w:rPr>
                <w:rStyle w:val="Hyperlink"/>
                <w:noProof/>
                <w:lang w:bidi="en-US"/>
              </w:rPr>
              <w:t>7.</w:t>
            </w:r>
            <w:r w:rsidR="00AE429D">
              <w:rPr>
                <w:rFonts w:asciiTheme="minorHAnsi" w:eastAsiaTheme="minorEastAsia" w:hAnsiTheme="minorHAnsi" w:cstheme="minorBidi"/>
                <w:b w:val="0"/>
                <w:caps w:val="0"/>
                <w:noProof/>
                <w:color w:val="auto"/>
                <w:sz w:val="22"/>
              </w:rPr>
              <w:tab/>
            </w:r>
            <w:r w:rsidR="00AE429D" w:rsidRPr="00B10F25">
              <w:rPr>
                <w:rStyle w:val="Hyperlink"/>
                <w:noProof/>
                <w:lang w:bidi="en-US"/>
              </w:rPr>
              <w:t>Interest rate risk metrics</w:t>
            </w:r>
            <w:r w:rsidR="00AE429D">
              <w:rPr>
                <w:noProof/>
                <w:webHidden/>
              </w:rPr>
              <w:tab/>
            </w:r>
            <w:r w:rsidR="00AE429D">
              <w:rPr>
                <w:noProof/>
                <w:webHidden/>
              </w:rPr>
              <w:fldChar w:fldCharType="begin"/>
            </w:r>
            <w:r w:rsidR="00AE429D">
              <w:rPr>
                <w:noProof/>
                <w:webHidden/>
              </w:rPr>
              <w:instrText xml:space="preserve"> PAGEREF _Toc453849303 \h </w:instrText>
            </w:r>
            <w:r w:rsidR="00AE429D">
              <w:rPr>
                <w:noProof/>
                <w:webHidden/>
              </w:rPr>
            </w:r>
            <w:r w:rsidR="00AE429D">
              <w:rPr>
                <w:noProof/>
                <w:webHidden/>
              </w:rPr>
              <w:fldChar w:fldCharType="separate"/>
            </w:r>
            <w:r w:rsidR="00AE429D">
              <w:rPr>
                <w:noProof/>
                <w:webHidden/>
              </w:rPr>
              <w:t>35</w:t>
            </w:r>
            <w:r w:rsidR="00AE429D">
              <w:rPr>
                <w:noProof/>
                <w:webHidden/>
              </w:rPr>
              <w:fldChar w:fldCharType="end"/>
            </w:r>
          </w:hyperlink>
        </w:p>
        <w:p w14:paraId="1952D29E" w14:textId="77777777" w:rsidR="00AE429D" w:rsidRDefault="00DB2B0B">
          <w:pPr>
            <w:pStyle w:val="TOC2"/>
            <w:rPr>
              <w:rFonts w:asciiTheme="minorHAnsi" w:eastAsiaTheme="minorEastAsia" w:hAnsiTheme="minorHAnsi" w:cstheme="minorBidi"/>
              <w:b w:val="0"/>
              <w:smallCaps w:val="0"/>
              <w:noProof/>
              <w:sz w:val="22"/>
              <w:szCs w:val="22"/>
            </w:rPr>
          </w:pPr>
          <w:hyperlink w:anchor="_Toc453849304" w:history="1">
            <w:r w:rsidR="00AE429D" w:rsidRPr="00B10F25">
              <w:rPr>
                <w:rStyle w:val="Hyperlink"/>
                <w:rFonts w:cs="Calibri"/>
                <w:noProof/>
                <w:snapToGrid w:val="0"/>
                <w:lang w:bidi="en-US"/>
              </w:rPr>
              <w:t>7.1</w:t>
            </w:r>
            <w:r w:rsidR="00AE429D">
              <w:rPr>
                <w:rFonts w:asciiTheme="minorHAnsi" w:eastAsiaTheme="minorEastAsia" w:hAnsiTheme="minorHAnsi" w:cstheme="minorBidi"/>
                <w:b w:val="0"/>
                <w:smallCaps w:val="0"/>
                <w:noProof/>
                <w:sz w:val="22"/>
                <w:szCs w:val="22"/>
              </w:rPr>
              <w:tab/>
            </w:r>
            <w:r w:rsidR="00AE429D" w:rsidRPr="00B10F25">
              <w:rPr>
                <w:rStyle w:val="Hyperlink"/>
                <w:noProof/>
                <w:lang w:bidi="en-US"/>
              </w:rPr>
              <w:t>Net interest income (NII) sensitivity (+/- 100 bps shock)</w:t>
            </w:r>
            <w:r w:rsidR="00AE429D">
              <w:rPr>
                <w:noProof/>
                <w:webHidden/>
              </w:rPr>
              <w:tab/>
            </w:r>
            <w:r w:rsidR="00AE429D">
              <w:rPr>
                <w:noProof/>
                <w:webHidden/>
              </w:rPr>
              <w:fldChar w:fldCharType="begin"/>
            </w:r>
            <w:r w:rsidR="00AE429D">
              <w:rPr>
                <w:noProof/>
                <w:webHidden/>
              </w:rPr>
              <w:instrText xml:space="preserve"> PAGEREF _Toc453849304 \h </w:instrText>
            </w:r>
            <w:r w:rsidR="00AE429D">
              <w:rPr>
                <w:noProof/>
                <w:webHidden/>
              </w:rPr>
            </w:r>
            <w:r w:rsidR="00AE429D">
              <w:rPr>
                <w:noProof/>
                <w:webHidden/>
              </w:rPr>
              <w:fldChar w:fldCharType="separate"/>
            </w:r>
            <w:r w:rsidR="00AE429D">
              <w:rPr>
                <w:noProof/>
                <w:webHidden/>
              </w:rPr>
              <w:t>35</w:t>
            </w:r>
            <w:r w:rsidR="00AE429D">
              <w:rPr>
                <w:noProof/>
                <w:webHidden/>
              </w:rPr>
              <w:fldChar w:fldCharType="end"/>
            </w:r>
          </w:hyperlink>
        </w:p>
        <w:p w14:paraId="1966ABB3" w14:textId="77777777" w:rsidR="00AE429D" w:rsidRDefault="00DB2B0B">
          <w:pPr>
            <w:pStyle w:val="TOC2"/>
            <w:rPr>
              <w:rFonts w:asciiTheme="minorHAnsi" w:eastAsiaTheme="minorEastAsia" w:hAnsiTheme="minorHAnsi" w:cstheme="minorBidi"/>
              <w:b w:val="0"/>
              <w:smallCaps w:val="0"/>
              <w:noProof/>
              <w:sz w:val="22"/>
              <w:szCs w:val="22"/>
            </w:rPr>
          </w:pPr>
          <w:hyperlink w:anchor="_Toc453849305" w:history="1">
            <w:r w:rsidR="00AE429D" w:rsidRPr="00B10F25">
              <w:rPr>
                <w:rStyle w:val="Hyperlink"/>
                <w:rFonts w:cs="Calibri"/>
                <w:noProof/>
                <w:snapToGrid w:val="0"/>
                <w:lang w:bidi="en-US"/>
              </w:rPr>
              <w:t>7.2</w:t>
            </w:r>
            <w:r w:rsidR="00AE429D">
              <w:rPr>
                <w:rFonts w:asciiTheme="minorHAnsi" w:eastAsiaTheme="minorEastAsia" w:hAnsiTheme="minorHAnsi" w:cstheme="minorBidi"/>
                <w:b w:val="0"/>
                <w:smallCaps w:val="0"/>
                <w:noProof/>
                <w:sz w:val="22"/>
                <w:szCs w:val="22"/>
              </w:rPr>
              <w:tab/>
            </w:r>
            <w:r w:rsidR="00AE429D" w:rsidRPr="00B10F25">
              <w:rPr>
                <w:rStyle w:val="Hyperlink"/>
                <w:noProof/>
                <w:lang w:bidi="en-US"/>
              </w:rPr>
              <w:t>Market value of equity (MVE) sensitivity (+/- 100 bps shock)</w:t>
            </w:r>
            <w:r w:rsidR="00AE429D">
              <w:rPr>
                <w:noProof/>
                <w:webHidden/>
              </w:rPr>
              <w:tab/>
            </w:r>
            <w:r w:rsidR="00AE429D">
              <w:rPr>
                <w:noProof/>
                <w:webHidden/>
              </w:rPr>
              <w:fldChar w:fldCharType="begin"/>
            </w:r>
            <w:r w:rsidR="00AE429D">
              <w:rPr>
                <w:noProof/>
                <w:webHidden/>
              </w:rPr>
              <w:instrText xml:space="preserve"> PAGEREF _Toc453849305 \h </w:instrText>
            </w:r>
            <w:r w:rsidR="00AE429D">
              <w:rPr>
                <w:noProof/>
                <w:webHidden/>
              </w:rPr>
            </w:r>
            <w:r w:rsidR="00AE429D">
              <w:rPr>
                <w:noProof/>
                <w:webHidden/>
              </w:rPr>
              <w:fldChar w:fldCharType="separate"/>
            </w:r>
            <w:r w:rsidR="00AE429D">
              <w:rPr>
                <w:noProof/>
                <w:webHidden/>
              </w:rPr>
              <w:t>36</w:t>
            </w:r>
            <w:r w:rsidR="00AE429D">
              <w:rPr>
                <w:noProof/>
                <w:webHidden/>
              </w:rPr>
              <w:fldChar w:fldCharType="end"/>
            </w:r>
          </w:hyperlink>
        </w:p>
        <w:p w14:paraId="12D5C3A1" w14:textId="77777777" w:rsidR="00AE429D" w:rsidRDefault="00DB2B0B">
          <w:pPr>
            <w:pStyle w:val="TOC1"/>
            <w:tabs>
              <w:tab w:val="left" w:pos="440"/>
              <w:tab w:val="right" w:leader="dot" w:pos="9350"/>
            </w:tabs>
            <w:rPr>
              <w:rFonts w:asciiTheme="minorHAnsi" w:eastAsiaTheme="minorEastAsia" w:hAnsiTheme="minorHAnsi" w:cstheme="minorBidi"/>
              <w:b w:val="0"/>
              <w:caps w:val="0"/>
              <w:noProof/>
              <w:color w:val="auto"/>
              <w:sz w:val="22"/>
            </w:rPr>
          </w:pPr>
          <w:hyperlink w:anchor="_Toc453849306" w:history="1">
            <w:r w:rsidR="00AE429D" w:rsidRPr="00B10F25">
              <w:rPr>
                <w:rStyle w:val="Hyperlink"/>
                <w:noProof/>
                <w:lang w:bidi="en-US"/>
              </w:rPr>
              <w:t>8.</w:t>
            </w:r>
            <w:r w:rsidR="00AE429D">
              <w:rPr>
                <w:rFonts w:asciiTheme="minorHAnsi" w:eastAsiaTheme="minorEastAsia" w:hAnsiTheme="minorHAnsi" w:cstheme="minorBidi"/>
                <w:b w:val="0"/>
                <w:caps w:val="0"/>
                <w:noProof/>
                <w:color w:val="auto"/>
                <w:sz w:val="22"/>
              </w:rPr>
              <w:tab/>
            </w:r>
            <w:r w:rsidR="00AE429D" w:rsidRPr="00B10F25">
              <w:rPr>
                <w:rStyle w:val="Hyperlink"/>
                <w:noProof/>
                <w:lang w:bidi="en-US"/>
              </w:rPr>
              <w:t>Mark-to-market portfolio risk metrics</w:t>
            </w:r>
            <w:r w:rsidR="00AE429D">
              <w:rPr>
                <w:noProof/>
                <w:webHidden/>
              </w:rPr>
              <w:tab/>
            </w:r>
            <w:r w:rsidR="00AE429D">
              <w:rPr>
                <w:noProof/>
                <w:webHidden/>
              </w:rPr>
              <w:fldChar w:fldCharType="begin"/>
            </w:r>
            <w:r w:rsidR="00AE429D">
              <w:rPr>
                <w:noProof/>
                <w:webHidden/>
              </w:rPr>
              <w:instrText xml:space="preserve"> PAGEREF _Toc453849306 \h </w:instrText>
            </w:r>
            <w:r w:rsidR="00AE429D">
              <w:rPr>
                <w:noProof/>
                <w:webHidden/>
              </w:rPr>
            </w:r>
            <w:r w:rsidR="00AE429D">
              <w:rPr>
                <w:noProof/>
                <w:webHidden/>
              </w:rPr>
              <w:fldChar w:fldCharType="separate"/>
            </w:r>
            <w:r w:rsidR="00AE429D">
              <w:rPr>
                <w:noProof/>
                <w:webHidden/>
              </w:rPr>
              <w:t>37</w:t>
            </w:r>
            <w:r w:rsidR="00AE429D">
              <w:rPr>
                <w:noProof/>
                <w:webHidden/>
              </w:rPr>
              <w:fldChar w:fldCharType="end"/>
            </w:r>
          </w:hyperlink>
        </w:p>
        <w:p w14:paraId="2DBEA38C" w14:textId="77777777" w:rsidR="00AE429D" w:rsidRDefault="00DB2B0B">
          <w:pPr>
            <w:pStyle w:val="TOC2"/>
            <w:rPr>
              <w:rFonts w:asciiTheme="minorHAnsi" w:eastAsiaTheme="minorEastAsia" w:hAnsiTheme="minorHAnsi" w:cstheme="minorBidi"/>
              <w:b w:val="0"/>
              <w:smallCaps w:val="0"/>
              <w:noProof/>
              <w:sz w:val="22"/>
              <w:szCs w:val="22"/>
            </w:rPr>
          </w:pPr>
          <w:hyperlink w:anchor="_Toc453849307" w:history="1">
            <w:r w:rsidR="00AE429D" w:rsidRPr="00B10F25">
              <w:rPr>
                <w:rStyle w:val="Hyperlink"/>
                <w:rFonts w:cs="Calibri"/>
                <w:noProof/>
                <w:snapToGrid w:val="0"/>
                <w:lang w:bidi="en-US"/>
              </w:rPr>
              <w:t>8.1</w:t>
            </w:r>
            <w:r w:rsidR="00AE429D">
              <w:rPr>
                <w:rFonts w:asciiTheme="minorHAnsi" w:eastAsiaTheme="minorEastAsia" w:hAnsiTheme="minorHAnsi" w:cstheme="minorBidi"/>
                <w:b w:val="0"/>
                <w:smallCaps w:val="0"/>
                <w:noProof/>
                <w:sz w:val="22"/>
                <w:szCs w:val="22"/>
              </w:rPr>
              <w:tab/>
            </w:r>
            <w:r w:rsidR="00AE429D" w:rsidRPr="00B10F25">
              <w:rPr>
                <w:rStyle w:val="Hyperlink"/>
                <w:noProof/>
                <w:lang w:bidi="en-US"/>
              </w:rPr>
              <w:t>Mark-to-market (MtM) Value at Risk (VaR)</w:t>
            </w:r>
            <w:r w:rsidR="00AE429D">
              <w:rPr>
                <w:noProof/>
                <w:webHidden/>
              </w:rPr>
              <w:tab/>
            </w:r>
            <w:r w:rsidR="00AE429D">
              <w:rPr>
                <w:noProof/>
                <w:webHidden/>
              </w:rPr>
              <w:fldChar w:fldCharType="begin"/>
            </w:r>
            <w:r w:rsidR="00AE429D">
              <w:rPr>
                <w:noProof/>
                <w:webHidden/>
              </w:rPr>
              <w:instrText xml:space="preserve"> PAGEREF _Toc453849307 \h </w:instrText>
            </w:r>
            <w:r w:rsidR="00AE429D">
              <w:rPr>
                <w:noProof/>
                <w:webHidden/>
              </w:rPr>
            </w:r>
            <w:r w:rsidR="00AE429D">
              <w:rPr>
                <w:noProof/>
                <w:webHidden/>
              </w:rPr>
              <w:fldChar w:fldCharType="separate"/>
            </w:r>
            <w:r w:rsidR="00AE429D">
              <w:rPr>
                <w:noProof/>
                <w:webHidden/>
              </w:rPr>
              <w:t>37</w:t>
            </w:r>
            <w:r w:rsidR="00AE429D">
              <w:rPr>
                <w:noProof/>
                <w:webHidden/>
              </w:rPr>
              <w:fldChar w:fldCharType="end"/>
            </w:r>
          </w:hyperlink>
        </w:p>
        <w:p w14:paraId="05950436" w14:textId="77777777" w:rsidR="00AE429D" w:rsidRDefault="00DB2B0B">
          <w:pPr>
            <w:pStyle w:val="TOC1"/>
            <w:tabs>
              <w:tab w:val="left" w:pos="440"/>
              <w:tab w:val="right" w:leader="dot" w:pos="9350"/>
            </w:tabs>
            <w:rPr>
              <w:rFonts w:asciiTheme="minorHAnsi" w:eastAsiaTheme="minorEastAsia" w:hAnsiTheme="minorHAnsi" w:cstheme="minorBidi"/>
              <w:b w:val="0"/>
              <w:caps w:val="0"/>
              <w:noProof/>
              <w:color w:val="auto"/>
              <w:sz w:val="22"/>
            </w:rPr>
          </w:pPr>
          <w:hyperlink w:anchor="_Toc453849308" w:history="1">
            <w:r w:rsidR="00AE429D" w:rsidRPr="00B10F25">
              <w:rPr>
                <w:rStyle w:val="Hyperlink"/>
                <w:noProof/>
                <w:lang w:bidi="en-US"/>
              </w:rPr>
              <w:t>9.</w:t>
            </w:r>
            <w:r w:rsidR="00AE429D">
              <w:rPr>
                <w:rFonts w:asciiTheme="minorHAnsi" w:eastAsiaTheme="minorEastAsia" w:hAnsiTheme="minorHAnsi" w:cstheme="minorBidi"/>
                <w:b w:val="0"/>
                <w:caps w:val="0"/>
                <w:noProof/>
                <w:color w:val="auto"/>
                <w:sz w:val="22"/>
              </w:rPr>
              <w:tab/>
            </w:r>
            <w:r w:rsidR="00AE429D" w:rsidRPr="00B10F25">
              <w:rPr>
                <w:rStyle w:val="Hyperlink"/>
                <w:noProof/>
                <w:lang w:bidi="en-US"/>
              </w:rPr>
              <w:t>Operational Risk Metrics</w:t>
            </w:r>
            <w:r w:rsidR="00AE429D">
              <w:rPr>
                <w:noProof/>
                <w:webHidden/>
              </w:rPr>
              <w:tab/>
            </w:r>
            <w:r w:rsidR="00AE429D">
              <w:rPr>
                <w:noProof/>
                <w:webHidden/>
              </w:rPr>
              <w:fldChar w:fldCharType="begin"/>
            </w:r>
            <w:r w:rsidR="00AE429D">
              <w:rPr>
                <w:noProof/>
                <w:webHidden/>
              </w:rPr>
              <w:instrText xml:space="preserve"> PAGEREF _Toc453849308 \h </w:instrText>
            </w:r>
            <w:r w:rsidR="00AE429D">
              <w:rPr>
                <w:noProof/>
                <w:webHidden/>
              </w:rPr>
            </w:r>
            <w:r w:rsidR="00AE429D">
              <w:rPr>
                <w:noProof/>
                <w:webHidden/>
              </w:rPr>
              <w:fldChar w:fldCharType="separate"/>
            </w:r>
            <w:r w:rsidR="00AE429D">
              <w:rPr>
                <w:noProof/>
                <w:webHidden/>
              </w:rPr>
              <w:t>38</w:t>
            </w:r>
            <w:r w:rsidR="00AE429D">
              <w:rPr>
                <w:noProof/>
                <w:webHidden/>
              </w:rPr>
              <w:fldChar w:fldCharType="end"/>
            </w:r>
          </w:hyperlink>
        </w:p>
        <w:p w14:paraId="40CF30A2" w14:textId="77777777" w:rsidR="00AE429D" w:rsidRDefault="00DB2B0B">
          <w:pPr>
            <w:pStyle w:val="TOC2"/>
            <w:rPr>
              <w:rFonts w:asciiTheme="minorHAnsi" w:eastAsiaTheme="minorEastAsia" w:hAnsiTheme="minorHAnsi" w:cstheme="minorBidi"/>
              <w:b w:val="0"/>
              <w:smallCaps w:val="0"/>
              <w:noProof/>
              <w:sz w:val="22"/>
              <w:szCs w:val="22"/>
            </w:rPr>
          </w:pPr>
          <w:hyperlink w:anchor="_Toc453849309" w:history="1">
            <w:r w:rsidR="00AE429D" w:rsidRPr="00B10F25">
              <w:rPr>
                <w:rStyle w:val="Hyperlink"/>
                <w:rFonts w:cs="Calibri"/>
                <w:noProof/>
                <w:snapToGrid w:val="0"/>
                <w:lang w:bidi="en-US"/>
              </w:rPr>
              <w:t>9.1</w:t>
            </w:r>
            <w:r w:rsidR="00AE429D">
              <w:rPr>
                <w:rFonts w:asciiTheme="minorHAnsi" w:eastAsiaTheme="minorEastAsia" w:hAnsiTheme="minorHAnsi" w:cstheme="minorBidi"/>
                <w:b w:val="0"/>
                <w:smallCaps w:val="0"/>
                <w:noProof/>
                <w:sz w:val="22"/>
                <w:szCs w:val="22"/>
              </w:rPr>
              <w:tab/>
            </w:r>
            <w:r w:rsidR="00AE429D" w:rsidRPr="00B10F25">
              <w:rPr>
                <w:rStyle w:val="Hyperlink"/>
                <w:noProof/>
                <w:lang w:bidi="en-US"/>
              </w:rPr>
              <w:t>Gross Operational Risk Losses over Gross Margin</w:t>
            </w:r>
            <w:r w:rsidR="00AE429D">
              <w:rPr>
                <w:noProof/>
                <w:webHidden/>
              </w:rPr>
              <w:tab/>
            </w:r>
            <w:r w:rsidR="00AE429D">
              <w:rPr>
                <w:noProof/>
                <w:webHidden/>
              </w:rPr>
              <w:fldChar w:fldCharType="begin"/>
            </w:r>
            <w:r w:rsidR="00AE429D">
              <w:rPr>
                <w:noProof/>
                <w:webHidden/>
              </w:rPr>
              <w:instrText xml:space="preserve"> PAGEREF _Toc453849309 \h </w:instrText>
            </w:r>
            <w:r w:rsidR="00AE429D">
              <w:rPr>
                <w:noProof/>
                <w:webHidden/>
              </w:rPr>
            </w:r>
            <w:r w:rsidR="00AE429D">
              <w:rPr>
                <w:noProof/>
                <w:webHidden/>
              </w:rPr>
              <w:fldChar w:fldCharType="separate"/>
            </w:r>
            <w:r w:rsidR="00AE429D">
              <w:rPr>
                <w:noProof/>
                <w:webHidden/>
              </w:rPr>
              <w:t>38</w:t>
            </w:r>
            <w:r w:rsidR="00AE429D">
              <w:rPr>
                <w:noProof/>
                <w:webHidden/>
              </w:rPr>
              <w:fldChar w:fldCharType="end"/>
            </w:r>
          </w:hyperlink>
        </w:p>
        <w:p w14:paraId="67898659" w14:textId="77777777" w:rsidR="00AE429D" w:rsidRDefault="00DB2B0B">
          <w:pPr>
            <w:pStyle w:val="TOC2"/>
            <w:rPr>
              <w:rFonts w:asciiTheme="minorHAnsi" w:eastAsiaTheme="minorEastAsia" w:hAnsiTheme="minorHAnsi" w:cstheme="minorBidi"/>
              <w:b w:val="0"/>
              <w:smallCaps w:val="0"/>
              <w:noProof/>
              <w:sz w:val="22"/>
              <w:szCs w:val="22"/>
            </w:rPr>
          </w:pPr>
          <w:hyperlink w:anchor="_Toc453849310" w:history="1">
            <w:r w:rsidR="00AE429D" w:rsidRPr="00B10F25">
              <w:rPr>
                <w:rStyle w:val="Hyperlink"/>
                <w:rFonts w:cs="Calibri"/>
                <w:noProof/>
                <w:snapToGrid w:val="0"/>
                <w:lang w:bidi="en-US"/>
              </w:rPr>
              <w:t>9.2</w:t>
            </w:r>
            <w:r w:rsidR="00AE429D">
              <w:rPr>
                <w:rFonts w:asciiTheme="minorHAnsi" w:eastAsiaTheme="minorEastAsia" w:hAnsiTheme="minorHAnsi" w:cstheme="minorBidi"/>
                <w:b w:val="0"/>
                <w:smallCaps w:val="0"/>
                <w:noProof/>
                <w:sz w:val="22"/>
                <w:szCs w:val="22"/>
              </w:rPr>
              <w:tab/>
            </w:r>
            <w:r w:rsidR="00AE429D" w:rsidRPr="00B10F25">
              <w:rPr>
                <w:rStyle w:val="Hyperlink"/>
                <w:noProof/>
                <w:lang w:bidi="en-US"/>
              </w:rPr>
              <w:t>Material Operational Risk Events</w:t>
            </w:r>
            <w:r w:rsidR="00AE429D">
              <w:rPr>
                <w:noProof/>
                <w:webHidden/>
              </w:rPr>
              <w:tab/>
            </w:r>
            <w:r w:rsidR="00AE429D">
              <w:rPr>
                <w:noProof/>
                <w:webHidden/>
              </w:rPr>
              <w:fldChar w:fldCharType="begin"/>
            </w:r>
            <w:r w:rsidR="00AE429D">
              <w:rPr>
                <w:noProof/>
                <w:webHidden/>
              </w:rPr>
              <w:instrText xml:space="preserve"> PAGEREF _Toc453849310 \h </w:instrText>
            </w:r>
            <w:r w:rsidR="00AE429D">
              <w:rPr>
                <w:noProof/>
                <w:webHidden/>
              </w:rPr>
            </w:r>
            <w:r w:rsidR="00AE429D">
              <w:rPr>
                <w:noProof/>
                <w:webHidden/>
              </w:rPr>
              <w:fldChar w:fldCharType="separate"/>
            </w:r>
            <w:r w:rsidR="00AE429D">
              <w:rPr>
                <w:noProof/>
                <w:webHidden/>
              </w:rPr>
              <w:t>39</w:t>
            </w:r>
            <w:r w:rsidR="00AE429D">
              <w:rPr>
                <w:noProof/>
                <w:webHidden/>
              </w:rPr>
              <w:fldChar w:fldCharType="end"/>
            </w:r>
          </w:hyperlink>
        </w:p>
        <w:p w14:paraId="21F3F9D2" w14:textId="77777777" w:rsidR="00AE429D" w:rsidRDefault="00DB2B0B">
          <w:pPr>
            <w:pStyle w:val="TOC1"/>
            <w:tabs>
              <w:tab w:val="left" w:pos="660"/>
              <w:tab w:val="right" w:leader="dot" w:pos="9350"/>
            </w:tabs>
            <w:rPr>
              <w:rFonts w:asciiTheme="minorHAnsi" w:eastAsiaTheme="minorEastAsia" w:hAnsiTheme="minorHAnsi" w:cstheme="minorBidi"/>
              <w:b w:val="0"/>
              <w:caps w:val="0"/>
              <w:noProof/>
              <w:color w:val="auto"/>
              <w:sz w:val="22"/>
            </w:rPr>
          </w:pPr>
          <w:hyperlink w:anchor="_Toc453849311" w:history="1">
            <w:r w:rsidR="00AE429D" w:rsidRPr="00B10F25">
              <w:rPr>
                <w:rStyle w:val="Hyperlink"/>
                <w:noProof/>
                <w:lang w:bidi="en-US"/>
              </w:rPr>
              <w:t>10.</w:t>
            </w:r>
            <w:r w:rsidR="00AE429D">
              <w:rPr>
                <w:rFonts w:asciiTheme="minorHAnsi" w:eastAsiaTheme="minorEastAsia" w:hAnsiTheme="minorHAnsi" w:cstheme="minorBidi"/>
                <w:b w:val="0"/>
                <w:caps w:val="0"/>
                <w:noProof/>
                <w:color w:val="auto"/>
                <w:sz w:val="22"/>
              </w:rPr>
              <w:tab/>
            </w:r>
            <w:r w:rsidR="00AE429D" w:rsidRPr="00B10F25">
              <w:rPr>
                <w:rStyle w:val="Hyperlink"/>
                <w:noProof/>
                <w:lang w:bidi="en-US"/>
              </w:rPr>
              <w:t>Model risk metrics</w:t>
            </w:r>
            <w:r w:rsidR="00AE429D">
              <w:rPr>
                <w:noProof/>
                <w:webHidden/>
              </w:rPr>
              <w:tab/>
            </w:r>
            <w:r w:rsidR="00AE429D">
              <w:rPr>
                <w:noProof/>
                <w:webHidden/>
              </w:rPr>
              <w:fldChar w:fldCharType="begin"/>
            </w:r>
            <w:r w:rsidR="00AE429D">
              <w:rPr>
                <w:noProof/>
                <w:webHidden/>
              </w:rPr>
              <w:instrText xml:space="preserve"> PAGEREF _Toc453849311 \h </w:instrText>
            </w:r>
            <w:r w:rsidR="00AE429D">
              <w:rPr>
                <w:noProof/>
                <w:webHidden/>
              </w:rPr>
            </w:r>
            <w:r w:rsidR="00AE429D">
              <w:rPr>
                <w:noProof/>
                <w:webHidden/>
              </w:rPr>
              <w:fldChar w:fldCharType="separate"/>
            </w:r>
            <w:r w:rsidR="00AE429D">
              <w:rPr>
                <w:noProof/>
                <w:webHidden/>
              </w:rPr>
              <w:t>41</w:t>
            </w:r>
            <w:r w:rsidR="00AE429D">
              <w:rPr>
                <w:noProof/>
                <w:webHidden/>
              </w:rPr>
              <w:fldChar w:fldCharType="end"/>
            </w:r>
          </w:hyperlink>
        </w:p>
        <w:p w14:paraId="27C3BFF0" w14:textId="77777777" w:rsidR="00AE429D" w:rsidRDefault="00DB2B0B">
          <w:pPr>
            <w:pStyle w:val="TOC2"/>
            <w:rPr>
              <w:rFonts w:asciiTheme="minorHAnsi" w:eastAsiaTheme="minorEastAsia" w:hAnsiTheme="minorHAnsi" w:cstheme="minorBidi"/>
              <w:b w:val="0"/>
              <w:smallCaps w:val="0"/>
              <w:noProof/>
              <w:sz w:val="22"/>
              <w:szCs w:val="22"/>
            </w:rPr>
          </w:pPr>
          <w:hyperlink w:anchor="_Toc453849312" w:history="1">
            <w:r w:rsidR="00AE429D" w:rsidRPr="00B10F25">
              <w:rPr>
                <w:rStyle w:val="Hyperlink"/>
                <w:rFonts w:cs="Calibri"/>
                <w:noProof/>
                <w:snapToGrid w:val="0"/>
                <w:lang w:bidi="en-US"/>
              </w:rPr>
              <w:t>10.1</w:t>
            </w:r>
            <w:r w:rsidR="00AE429D">
              <w:rPr>
                <w:rFonts w:asciiTheme="minorHAnsi" w:eastAsiaTheme="minorEastAsia" w:hAnsiTheme="minorHAnsi" w:cstheme="minorBidi"/>
                <w:b w:val="0"/>
                <w:smallCaps w:val="0"/>
                <w:noProof/>
                <w:sz w:val="22"/>
                <w:szCs w:val="22"/>
              </w:rPr>
              <w:tab/>
            </w:r>
            <w:r w:rsidR="00AE429D" w:rsidRPr="00B10F25">
              <w:rPr>
                <w:rStyle w:val="Hyperlink"/>
                <w:noProof/>
                <w:lang w:bidi="en-US"/>
              </w:rPr>
              <w:t>Backlog of Tier 1 models not appropriately approved</w:t>
            </w:r>
            <w:r w:rsidR="00AE429D">
              <w:rPr>
                <w:noProof/>
                <w:webHidden/>
              </w:rPr>
              <w:tab/>
            </w:r>
            <w:r w:rsidR="00AE429D">
              <w:rPr>
                <w:noProof/>
                <w:webHidden/>
              </w:rPr>
              <w:fldChar w:fldCharType="begin"/>
            </w:r>
            <w:r w:rsidR="00AE429D">
              <w:rPr>
                <w:noProof/>
                <w:webHidden/>
              </w:rPr>
              <w:instrText xml:space="preserve"> PAGEREF _Toc453849312 \h </w:instrText>
            </w:r>
            <w:r w:rsidR="00AE429D">
              <w:rPr>
                <w:noProof/>
                <w:webHidden/>
              </w:rPr>
            </w:r>
            <w:r w:rsidR="00AE429D">
              <w:rPr>
                <w:noProof/>
                <w:webHidden/>
              </w:rPr>
              <w:fldChar w:fldCharType="separate"/>
            </w:r>
            <w:r w:rsidR="00AE429D">
              <w:rPr>
                <w:noProof/>
                <w:webHidden/>
              </w:rPr>
              <w:t>41</w:t>
            </w:r>
            <w:r w:rsidR="00AE429D">
              <w:rPr>
                <w:noProof/>
                <w:webHidden/>
              </w:rPr>
              <w:fldChar w:fldCharType="end"/>
            </w:r>
          </w:hyperlink>
        </w:p>
        <w:p w14:paraId="1BA71B14" w14:textId="77777777" w:rsidR="00AE429D" w:rsidRDefault="00DB2B0B">
          <w:pPr>
            <w:pStyle w:val="TOC1"/>
            <w:tabs>
              <w:tab w:val="left" w:pos="660"/>
              <w:tab w:val="right" w:leader="dot" w:pos="9350"/>
            </w:tabs>
            <w:rPr>
              <w:rFonts w:asciiTheme="minorHAnsi" w:eastAsiaTheme="minorEastAsia" w:hAnsiTheme="minorHAnsi" w:cstheme="minorBidi"/>
              <w:b w:val="0"/>
              <w:caps w:val="0"/>
              <w:noProof/>
              <w:color w:val="auto"/>
              <w:sz w:val="22"/>
            </w:rPr>
          </w:pPr>
          <w:hyperlink w:anchor="_Toc453849313" w:history="1">
            <w:r w:rsidR="00AE429D" w:rsidRPr="00B10F25">
              <w:rPr>
                <w:rStyle w:val="Hyperlink"/>
                <w:noProof/>
                <w:lang w:bidi="en-US"/>
              </w:rPr>
              <w:t>11.</w:t>
            </w:r>
            <w:r w:rsidR="00AE429D">
              <w:rPr>
                <w:rFonts w:asciiTheme="minorHAnsi" w:eastAsiaTheme="minorEastAsia" w:hAnsiTheme="minorHAnsi" w:cstheme="minorBidi"/>
                <w:b w:val="0"/>
                <w:caps w:val="0"/>
                <w:noProof/>
                <w:color w:val="auto"/>
                <w:sz w:val="22"/>
              </w:rPr>
              <w:tab/>
            </w:r>
            <w:r w:rsidR="00AE429D" w:rsidRPr="00B10F25">
              <w:rPr>
                <w:rStyle w:val="Hyperlink"/>
                <w:noProof/>
                <w:lang w:bidi="en-US"/>
              </w:rPr>
              <w:t>Compliance and reputational risk metrics</w:t>
            </w:r>
            <w:r w:rsidR="00AE429D">
              <w:rPr>
                <w:noProof/>
                <w:webHidden/>
              </w:rPr>
              <w:tab/>
            </w:r>
            <w:r w:rsidR="00AE429D">
              <w:rPr>
                <w:noProof/>
                <w:webHidden/>
              </w:rPr>
              <w:fldChar w:fldCharType="begin"/>
            </w:r>
            <w:r w:rsidR="00AE429D">
              <w:rPr>
                <w:noProof/>
                <w:webHidden/>
              </w:rPr>
              <w:instrText xml:space="preserve"> PAGEREF _Toc453849313 \h </w:instrText>
            </w:r>
            <w:r w:rsidR="00AE429D">
              <w:rPr>
                <w:noProof/>
                <w:webHidden/>
              </w:rPr>
            </w:r>
            <w:r w:rsidR="00AE429D">
              <w:rPr>
                <w:noProof/>
                <w:webHidden/>
              </w:rPr>
              <w:fldChar w:fldCharType="separate"/>
            </w:r>
            <w:r w:rsidR="00AE429D">
              <w:rPr>
                <w:noProof/>
                <w:webHidden/>
              </w:rPr>
              <w:t>42</w:t>
            </w:r>
            <w:r w:rsidR="00AE429D">
              <w:rPr>
                <w:noProof/>
                <w:webHidden/>
              </w:rPr>
              <w:fldChar w:fldCharType="end"/>
            </w:r>
          </w:hyperlink>
        </w:p>
        <w:p w14:paraId="74C68D47" w14:textId="77777777" w:rsidR="00AE429D" w:rsidRDefault="00DB2B0B">
          <w:pPr>
            <w:pStyle w:val="TOC2"/>
            <w:rPr>
              <w:rFonts w:asciiTheme="minorHAnsi" w:eastAsiaTheme="minorEastAsia" w:hAnsiTheme="minorHAnsi" w:cstheme="minorBidi"/>
              <w:b w:val="0"/>
              <w:smallCaps w:val="0"/>
              <w:noProof/>
              <w:sz w:val="22"/>
              <w:szCs w:val="22"/>
            </w:rPr>
          </w:pPr>
          <w:hyperlink w:anchor="_Toc453849314" w:history="1">
            <w:r w:rsidR="00AE429D" w:rsidRPr="00B10F25">
              <w:rPr>
                <w:rStyle w:val="Hyperlink"/>
                <w:rFonts w:cs="Calibri"/>
                <w:noProof/>
                <w:snapToGrid w:val="0"/>
                <w:lang w:bidi="en-US"/>
              </w:rPr>
              <w:t>11.1</w:t>
            </w:r>
            <w:r w:rsidR="00AE429D">
              <w:rPr>
                <w:rFonts w:asciiTheme="minorHAnsi" w:eastAsiaTheme="minorEastAsia" w:hAnsiTheme="minorHAnsi" w:cstheme="minorBidi"/>
                <w:b w:val="0"/>
                <w:smallCaps w:val="0"/>
                <w:noProof/>
                <w:sz w:val="22"/>
                <w:szCs w:val="22"/>
              </w:rPr>
              <w:tab/>
            </w:r>
            <w:r w:rsidR="00AE429D" w:rsidRPr="00B10F25">
              <w:rPr>
                <w:rStyle w:val="Hyperlink"/>
                <w:noProof/>
                <w:lang w:bidi="en-US"/>
              </w:rPr>
              <w:t>Open Matters Requiring Immediate Attention (MRIAs) and other equivalent matters requiring immediate attention</w:t>
            </w:r>
            <w:r w:rsidR="00AE429D">
              <w:rPr>
                <w:noProof/>
                <w:webHidden/>
              </w:rPr>
              <w:tab/>
            </w:r>
            <w:r w:rsidR="00AE429D">
              <w:rPr>
                <w:noProof/>
                <w:webHidden/>
              </w:rPr>
              <w:fldChar w:fldCharType="begin"/>
            </w:r>
            <w:r w:rsidR="00AE429D">
              <w:rPr>
                <w:noProof/>
                <w:webHidden/>
              </w:rPr>
              <w:instrText xml:space="preserve"> PAGEREF _Toc453849314 \h </w:instrText>
            </w:r>
            <w:r w:rsidR="00AE429D">
              <w:rPr>
                <w:noProof/>
                <w:webHidden/>
              </w:rPr>
            </w:r>
            <w:r w:rsidR="00AE429D">
              <w:rPr>
                <w:noProof/>
                <w:webHidden/>
              </w:rPr>
              <w:fldChar w:fldCharType="separate"/>
            </w:r>
            <w:r w:rsidR="00AE429D">
              <w:rPr>
                <w:noProof/>
                <w:webHidden/>
              </w:rPr>
              <w:t>42</w:t>
            </w:r>
            <w:r w:rsidR="00AE429D">
              <w:rPr>
                <w:noProof/>
                <w:webHidden/>
              </w:rPr>
              <w:fldChar w:fldCharType="end"/>
            </w:r>
          </w:hyperlink>
        </w:p>
        <w:p w14:paraId="0026D3C9" w14:textId="77777777" w:rsidR="00AE429D" w:rsidRDefault="00DB2B0B">
          <w:pPr>
            <w:pStyle w:val="TOC1"/>
            <w:tabs>
              <w:tab w:val="left" w:pos="660"/>
              <w:tab w:val="right" w:leader="dot" w:pos="9350"/>
            </w:tabs>
            <w:rPr>
              <w:rFonts w:asciiTheme="minorHAnsi" w:eastAsiaTheme="minorEastAsia" w:hAnsiTheme="minorHAnsi" w:cstheme="minorBidi"/>
              <w:b w:val="0"/>
              <w:caps w:val="0"/>
              <w:noProof/>
              <w:color w:val="auto"/>
              <w:sz w:val="22"/>
            </w:rPr>
          </w:pPr>
          <w:hyperlink w:anchor="_Toc453849315" w:history="1">
            <w:r w:rsidR="00AE429D" w:rsidRPr="00B10F25">
              <w:rPr>
                <w:rStyle w:val="Hyperlink"/>
                <w:noProof/>
                <w:lang w:bidi="en-US"/>
              </w:rPr>
              <w:t>12.</w:t>
            </w:r>
            <w:r w:rsidR="00AE429D">
              <w:rPr>
                <w:rFonts w:asciiTheme="minorHAnsi" w:eastAsiaTheme="minorEastAsia" w:hAnsiTheme="minorHAnsi" w:cstheme="minorBidi"/>
                <w:b w:val="0"/>
                <w:caps w:val="0"/>
                <w:noProof/>
                <w:color w:val="auto"/>
                <w:sz w:val="22"/>
              </w:rPr>
              <w:tab/>
            </w:r>
            <w:r w:rsidR="00AE429D" w:rsidRPr="00B10F25">
              <w:rPr>
                <w:rStyle w:val="Hyperlink"/>
                <w:noProof/>
                <w:lang w:bidi="en-US"/>
              </w:rPr>
              <w:t>Document Administration</w:t>
            </w:r>
            <w:r w:rsidR="00AE429D">
              <w:rPr>
                <w:noProof/>
                <w:webHidden/>
              </w:rPr>
              <w:tab/>
            </w:r>
            <w:r w:rsidR="00AE429D">
              <w:rPr>
                <w:noProof/>
                <w:webHidden/>
              </w:rPr>
              <w:fldChar w:fldCharType="begin"/>
            </w:r>
            <w:r w:rsidR="00AE429D">
              <w:rPr>
                <w:noProof/>
                <w:webHidden/>
              </w:rPr>
              <w:instrText xml:space="preserve"> PAGEREF _Toc453849315 \h </w:instrText>
            </w:r>
            <w:r w:rsidR="00AE429D">
              <w:rPr>
                <w:noProof/>
                <w:webHidden/>
              </w:rPr>
            </w:r>
            <w:r w:rsidR="00AE429D">
              <w:rPr>
                <w:noProof/>
                <w:webHidden/>
              </w:rPr>
              <w:fldChar w:fldCharType="separate"/>
            </w:r>
            <w:r w:rsidR="00AE429D">
              <w:rPr>
                <w:noProof/>
                <w:webHidden/>
              </w:rPr>
              <w:t>43</w:t>
            </w:r>
            <w:r w:rsidR="00AE429D">
              <w:rPr>
                <w:noProof/>
                <w:webHidden/>
              </w:rPr>
              <w:fldChar w:fldCharType="end"/>
            </w:r>
          </w:hyperlink>
        </w:p>
        <w:p w14:paraId="6C976437" w14:textId="77777777" w:rsidR="00AE429D" w:rsidRDefault="00DB2B0B">
          <w:pPr>
            <w:pStyle w:val="TOC2"/>
            <w:rPr>
              <w:rFonts w:asciiTheme="minorHAnsi" w:eastAsiaTheme="minorEastAsia" w:hAnsiTheme="minorHAnsi" w:cstheme="minorBidi"/>
              <w:b w:val="0"/>
              <w:smallCaps w:val="0"/>
              <w:noProof/>
              <w:sz w:val="22"/>
              <w:szCs w:val="22"/>
            </w:rPr>
          </w:pPr>
          <w:hyperlink w:anchor="_Toc453849316" w:history="1">
            <w:r w:rsidR="00AE429D" w:rsidRPr="00B10F25">
              <w:rPr>
                <w:rStyle w:val="Hyperlink"/>
                <w:noProof/>
                <w:lang w:bidi="en-US"/>
              </w:rPr>
              <w:t>a.</w:t>
            </w:r>
            <w:r w:rsidR="00AE429D">
              <w:rPr>
                <w:rFonts w:asciiTheme="minorHAnsi" w:eastAsiaTheme="minorEastAsia" w:hAnsiTheme="minorHAnsi" w:cstheme="minorBidi"/>
                <w:b w:val="0"/>
                <w:smallCaps w:val="0"/>
                <w:noProof/>
                <w:sz w:val="22"/>
                <w:szCs w:val="22"/>
              </w:rPr>
              <w:tab/>
            </w:r>
            <w:r w:rsidR="00AE429D" w:rsidRPr="00B10F25">
              <w:rPr>
                <w:rStyle w:val="Hyperlink"/>
                <w:noProof/>
                <w:lang w:bidi="en-US"/>
              </w:rPr>
              <w:t>Ownership and Authorship</w:t>
            </w:r>
            <w:r w:rsidR="00AE429D">
              <w:rPr>
                <w:noProof/>
                <w:webHidden/>
              </w:rPr>
              <w:tab/>
            </w:r>
            <w:r w:rsidR="00AE429D">
              <w:rPr>
                <w:noProof/>
                <w:webHidden/>
              </w:rPr>
              <w:fldChar w:fldCharType="begin"/>
            </w:r>
            <w:r w:rsidR="00AE429D">
              <w:rPr>
                <w:noProof/>
                <w:webHidden/>
              </w:rPr>
              <w:instrText xml:space="preserve"> PAGEREF _Toc453849316 \h </w:instrText>
            </w:r>
            <w:r w:rsidR="00AE429D">
              <w:rPr>
                <w:noProof/>
                <w:webHidden/>
              </w:rPr>
            </w:r>
            <w:r w:rsidR="00AE429D">
              <w:rPr>
                <w:noProof/>
                <w:webHidden/>
              </w:rPr>
              <w:fldChar w:fldCharType="separate"/>
            </w:r>
            <w:r w:rsidR="00AE429D">
              <w:rPr>
                <w:noProof/>
                <w:webHidden/>
              </w:rPr>
              <w:t>43</w:t>
            </w:r>
            <w:r w:rsidR="00AE429D">
              <w:rPr>
                <w:noProof/>
                <w:webHidden/>
              </w:rPr>
              <w:fldChar w:fldCharType="end"/>
            </w:r>
          </w:hyperlink>
        </w:p>
        <w:p w14:paraId="06EC738B" w14:textId="77777777" w:rsidR="00AE429D" w:rsidRDefault="00DB2B0B">
          <w:pPr>
            <w:pStyle w:val="TOC2"/>
            <w:rPr>
              <w:rFonts w:asciiTheme="minorHAnsi" w:eastAsiaTheme="minorEastAsia" w:hAnsiTheme="minorHAnsi" w:cstheme="minorBidi"/>
              <w:b w:val="0"/>
              <w:smallCaps w:val="0"/>
              <w:noProof/>
              <w:sz w:val="22"/>
              <w:szCs w:val="22"/>
            </w:rPr>
          </w:pPr>
          <w:hyperlink w:anchor="_Toc453849317" w:history="1">
            <w:r w:rsidR="00AE429D" w:rsidRPr="00B10F25">
              <w:rPr>
                <w:rStyle w:val="Hyperlink"/>
                <w:noProof/>
                <w:lang w:bidi="en-US"/>
              </w:rPr>
              <w:t>b.</w:t>
            </w:r>
            <w:r w:rsidR="00AE429D">
              <w:rPr>
                <w:rFonts w:asciiTheme="minorHAnsi" w:eastAsiaTheme="minorEastAsia" w:hAnsiTheme="minorHAnsi" w:cstheme="minorBidi"/>
                <w:b w:val="0"/>
                <w:smallCaps w:val="0"/>
                <w:noProof/>
                <w:sz w:val="22"/>
                <w:szCs w:val="22"/>
              </w:rPr>
              <w:tab/>
            </w:r>
            <w:r w:rsidR="00AE429D" w:rsidRPr="00B10F25">
              <w:rPr>
                <w:rStyle w:val="Hyperlink"/>
                <w:noProof/>
                <w:lang w:bidi="en-US"/>
              </w:rPr>
              <w:t>Sign Off</w:t>
            </w:r>
            <w:r w:rsidR="00AE429D">
              <w:rPr>
                <w:noProof/>
                <w:webHidden/>
              </w:rPr>
              <w:tab/>
            </w:r>
            <w:r w:rsidR="00AE429D">
              <w:rPr>
                <w:noProof/>
                <w:webHidden/>
              </w:rPr>
              <w:fldChar w:fldCharType="begin"/>
            </w:r>
            <w:r w:rsidR="00AE429D">
              <w:rPr>
                <w:noProof/>
                <w:webHidden/>
              </w:rPr>
              <w:instrText xml:space="preserve"> PAGEREF _Toc453849317 \h </w:instrText>
            </w:r>
            <w:r w:rsidR="00AE429D">
              <w:rPr>
                <w:noProof/>
                <w:webHidden/>
              </w:rPr>
            </w:r>
            <w:r w:rsidR="00AE429D">
              <w:rPr>
                <w:noProof/>
                <w:webHidden/>
              </w:rPr>
              <w:fldChar w:fldCharType="separate"/>
            </w:r>
            <w:r w:rsidR="00AE429D">
              <w:rPr>
                <w:noProof/>
                <w:webHidden/>
              </w:rPr>
              <w:t>43</w:t>
            </w:r>
            <w:r w:rsidR="00AE429D">
              <w:rPr>
                <w:noProof/>
                <w:webHidden/>
              </w:rPr>
              <w:fldChar w:fldCharType="end"/>
            </w:r>
          </w:hyperlink>
        </w:p>
        <w:p w14:paraId="38194A07" w14:textId="77777777" w:rsidR="00AE429D" w:rsidRDefault="00DB2B0B">
          <w:pPr>
            <w:pStyle w:val="TOC1"/>
            <w:tabs>
              <w:tab w:val="left" w:pos="660"/>
              <w:tab w:val="right" w:leader="dot" w:pos="9350"/>
            </w:tabs>
            <w:rPr>
              <w:rFonts w:asciiTheme="minorHAnsi" w:eastAsiaTheme="minorEastAsia" w:hAnsiTheme="minorHAnsi" w:cstheme="minorBidi"/>
              <w:b w:val="0"/>
              <w:caps w:val="0"/>
              <w:noProof/>
              <w:color w:val="auto"/>
              <w:sz w:val="22"/>
            </w:rPr>
          </w:pPr>
          <w:hyperlink w:anchor="_Toc453849318" w:history="1">
            <w:r w:rsidR="00AE429D" w:rsidRPr="00B10F25">
              <w:rPr>
                <w:rStyle w:val="Hyperlink"/>
                <w:noProof/>
                <w:lang w:bidi="en-US"/>
              </w:rPr>
              <w:t>13.</w:t>
            </w:r>
            <w:r w:rsidR="00AE429D">
              <w:rPr>
                <w:rFonts w:asciiTheme="minorHAnsi" w:eastAsiaTheme="minorEastAsia" w:hAnsiTheme="minorHAnsi" w:cstheme="minorBidi"/>
                <w:b w:val="0"/>
                <w:caps w:val="0"/>
                <w:noProof/>
                <w:color w:val="auto"/>
                <w:sz w:val="22"/>
              </w:rPr>
              <w:tab/>
            </w:r>
            <w:r w:rsidR="00AE429D" w:rsidRPr="00B10F25">
              <w:rPr>
                <w:rStyle w:val="Hyperlink"/>
                <w:noProof/>
                <w:lang w:bidi="en-US"/>
              </w:rPr>
              <w:t>APPENDIX II – Loss in Stress metric calculation</w:t>
            </w:r>
            <w:r w:rsidR="00AE429D">
              <w:rPr>
                <w:noProof/>
                <w:webHidden/>
              </w:rPr>
              <w:tab/>
            </w:r>
            <w:r w:rsidR="00AE429D">
              <w:rPr>
                <w:noProof/>
                <w:webHidden/>
              </w:rPr>
              <w:fldChar w:fldCharType="begin"/>
            </w:r>
            <w:r w:rsidR="00AE429D">
              <w:rPr>
                <w:noProof/>
                <w:webHidden/>
              </w:rPr>
              <w:instrText xml:space="preserve"> PAGEREF _Toc453849318 \h </w:instrText>
            </w:r>
            <w:r w:rsidR="00AE429D">
              <w:rPr>
                <w:noProof/>
                <w:webHidden/>
              </w:rPr>
            </w:r>
            <w:r w:rsidR="00AE429D">
              <w:rPr>
                <w:noProof/>
                <w:webHidden/>
              </w:rPr>
              <w:fldChar w:fldCharType="separate"/>
            </w:r>
            <w:r w:rsidR="00AE429D">
              <w:rPr>
                <w:noProof/>
                <w:webHidden/>
              </w:rPr>
              <w:t>44</w:t>
            </w:r>
            <w:r w:rsidR="00AE429D">
              <w:rPr>
                <w:noProof/>
                <w:webHidden/>
              </w:rPr>
              <w:fldChar w:fldCharType="end"/>
            </w:r>
          </w:hyperlink>
        </w:p>
        <w:p w14:paraId="3D39C0AA" w14:textId="77777777" w:rsidR="00AE429D" w:rsidRDefault="00DB2B0B">
          <w:pPr>
            <w:pStyle w:val="TOC2"/>
            <w:rPr>
              <w:rFonts w:asciiTheme="minorHAnsi" w:eastAsiaTheme="minorEastAsia" w:hAnsiTheme="minorHAnsi" w:cstheme="minorBidi"/>
              <w:b w:val="0"/>
              <w:smallCaps w:val="0"/>
              <w:noProof/>
              <w:sz w:val="22"/>
              <w:szCs w:val="22"/>
            </w:rPr>
          </w:pPr>
          <w:hyperlink w:anchor="_Toc453849319" w:history="1">
            <w:r w:rsidR="00AE429D" w:rsidRPr="00B10F25">
              <w:rPr>
                <w:rStyle w:val="Hyperlink"/>
                <w:bCs/>
                <w:noProof/>
                <w:lang w:bidi="en-US"/>
              </w:rPr>
              <w:t>Loss in Stress</w:t>
            </w:r>
            <w:r w:rsidR="00AE429D">
              <w:rPr>
                <w:noProof/>
                <w:webHidden/>
              </w:rPr>
              <w:tab/>
            </w:r>
            <w:r w:rsidR="00AE429D">
              <w:rPr>
                <w:noProof/>
                <w:webHidden/>
              </w:rPr>
              <w:fldChar w:fldCharType="begin"/>
            </w:r>
            <w:r w:rsidR="00AE429D">
              <w:rPr>
                <w:noProof/>
                <w:webHidden/>
              </w:rPr>
              <w:instrText xml:space="preserve"> PAGEREF _Toc453849319 \h </w:instrText>
            </w:r>
            <w:r w:rsidR="00AE429D">
              <w:rPr>
                <w:noProof/>
                <w:webHidden/>
              </w:rPr>
            </w:r>
            <w:r w:rsidR="00AE429D">
              <w:rPr>
                <w:noProof/>
                <w:webHidden/>
              </w:rPr>
              <w:fldChar w:fldCharType="separate"/>
            </w:r>
            <w:r w:rsidR="00AE429D">
              <w:rPr>
                <w:noProof/>
                <w:webHidden/>
              </w:rPr>
              <w:t>44</w:t>
            </w:r>
            <w:r w:rsidR="00AE429D">
              <w:rPr>
                <w:noProof/>
                <w:webHidden/>
              </w:rPr>
              <w:fldChar w:fldCharType="end"/>
            </w:r>
          </w:hyperlink>
        </w:p>
        <w:p w14:paraId="6BA11697" w14:textId="77777777" w:rsidR="00AE429D" w:rsidRDefault="00DB2B0B">
          <w:pPr>
            <w:pStyle w:val="TOC2"/>
            <w:rPr>
              <w:rFonts w:asciiTheme="minorHAnsi" w:eastAsiaTheme="minorEastAsia" w:hAnsiTheme="minorHAnsi" w:cstheme="minorBidi"/>
              <w:b w:val="0"/>
              <w:smallCaps w:val="0"/>
              <w:noProof/>
              <w:sz w:val="22"/>
              <w:szCs w:val="22"/>
            </w:rPr>
          </w:pPr>
          <w:hyperlink w:anchor="_Toc453849320" w:history="1">
            <w:r w:rsidR="00AE429D" w:rsidRPr="00B10F25">
              <w:rPr>
                <w:rStyle w:val="Hyperlink"/>
                <w:bCs/>
                <w:noProof/>
                <w:lang w:bidi="en-US"/>
              </w:rPr>
              <w:t>13.1.1</w:t>
            </w:r>
            <w:r w:rsidR="00AE429D">
              <w:rPr>
                <w:rFonts w:asciiTheme="minorHAnsi" w:eastAsiaTheme="minorEastAsia" w:hAnsiTheme="minorHAnsi" w:cstheme="minorBidi"/>
                <w:b w:val="0"/>
                <w:smallCaps w:val="0"/>
                <w:noProof/>
                <w:sz w:val="22"/>
                <w:szCs w:val="22"/>
              </w:rPr>
              <w:tab/>
            </w:r>
            <w:r w:rsidR="00AE429D" w:rsidRPr="00B10F25">
              <w:rPr>
                <w:rStyle w:val="Hyperlink"/>
                <w:bCs/>
                <w:noProof/>
                <w:lang w:bidi="en-US"/>
              </w:rPr>
              <w:t xml:space="preserve">Stressed </w:t>
            </w:r>
            <w:r w:rsidR="00AE429D" w:rsidRPr="00B10F25">
              <w:rPr>
                <w:rStyle w:val="Hyperlink"/>
                <w:rFonts w:cs="Calibri"/>
                <w:noProof/>
                <w:lang w:bidi="en-US"/>
              </w:rPr>
              <w:t>pre-provision net revenue (PPNR)</w:t>
            </w:r>
            <w:r w:rsidR="00AE429D">
              <w:rPr>
                <w:noProof/>
                <w:webHidden/>
              </w:rPr>
              <w:tab/>
            </w:r>
            <w:r w:rsidR="00AE429D">
              <w:rPr>
                <w:noProof/>
                <w:webHidden/>
              </w:rPr>
              <w:fldChar w:fldCharType="begin"/>
            </w:r>
            <w:r w:rsidR="00AE429D">
              <w:rPr>
                <w:noProof/>
                <w:webHidden/>
              </w:rPr>
              <w:instrText xml:space="preserve"> PAGEREF _Toc453849320 \h </w:instrText>
            </w:r>
            <w:r w:rsidR="00AE429D">
              <w:rPr>
                <w:noProof/>
                <w:webHidden/>
              </w:rPr>
            </w:r>
            <w:r w:rsidR="00AE429D">
              <w:rPr>
                <w:noProof/>
                <w:webHidden/>
              </w:rPr>
              <w:fldChar w:fldCharType="separate"/>
            </w:r>
            <w:r w:rsidR="00AE429D">
              <w:rPr>
                <w:noProof/>
                <w:webHidden/>
              </w:rPr>
              <w:t>46</w:t>
            </w:r>
            <w:r w:rsidR="00AE429D">
              <w:rPr>
                <w:noProof/>
                <w:webHidden/>
              </w:rPr>
              <w:fldChar w:fldCharType="end"/>
            </w:r>
          </w:hyperlink>
        </w:p>
        <w:p w14:paraId="1DECA115" w14:textId="77777777" w:rsidR="00AE429D" w:rsidRDefault="00DB2B0B">
          <w:pPr>
            <w:pStyle w:val="TOC2"/>
            <w:rPr>
              <w:rFonts w:asciiTheme="minorHAnsi" w:eastAsiaTheme="minorEastAsia" w:hAnsiTheme="minorHAnsi" w:cstheme="minorBidi"/>
              <w:b w:val="0"/>
              <w:smallCaps w:val="0"/>
              <w:noProof/>
              <w:sz w:val="22"/>
              <w:szCs w:val="22"/>
            </w:rPr>
          </w:pPr>
          <w:hyperlink w:anchor="_Toc453849321" w:history="1">
            <w:r w:rsidR="00AE429D" w:rsidRPr="00B10F25">
              <w:rPr>
                <w:rStyle w:val="Hyperlink"/>
                <w:bCs/>
                <w:noProof/>
                <w:lang w:bidi="en-US"/>
              </w:rPr>
              <w:t>13.1.2</w:t>
            </w:r>
            <w:r w:rsidR="00AE429D">
              <w:rPr>
                <w:rFonts w:asciiTheme="minorHAnsi" w:eastAsiaTheme="minorEastAsia" w:hAnsiTheme="minorHAnsi" w:cstheme="minorBidi"/>
                <w:b w:val="0"/>
                <w:smallCaps w:val="0"/>
                <w:noProof/>
                <w:sz w:val="22"/>
                <w:szCs w:val="22"/>
              </w:rPr>
              <w:tab/>
            </w:r>
            <w:r w:rsidR="00AE429D" w:rsidRPr="00B10F25">
              <w:rPr>
                <w:rStyle w:val="Hyperlink"/>
                <w:bCs/>
                <w:noProof/>
                <w:lang w:bidi="en-US"/>
              </w:rPr>
              <w:t>Stressed credit provisions</w:t>
            </w:r>
            <w:r w:rsidR="00AE429D">
              <w:rPr>
                <w:noProof/>
                <w:webHidden/>
              </w:rPr>
              <w:tab/>
            </w:r>
            <w:r w:rsidR="00AE429D">
              <w:rPr>
                <w:noProof/>
                <w:webHidden/>
              </w:rPr>
              <w:fldChar w:fldCharType="begin"/>
            </w:r>
            <w:r w:rsidR="00AE429D">
              <w:rPr>
                <w:noProof/>
                <w:webHidden/>
              </w:rPr>
              <w:instrText xml:space="preserve"> PAGEREF _Toc453849321 \h </w:instrText>
            </w:r>
            <w:r w:rsidR="00AE429D">
              <w:rPr>
                <w:noProof/>
                <w:webHidden/>
              </w:rPr>
            </w:r>
            <w:r w:rsidR="00AE429D">
              <w:rPr>
                <w:noProof/>
                <w:webHidden/>
              </w:rPr>
              <w:fldChar w:fldCharType="separate"/>
            </w:r>
            <w:r w:rsidR="00AE429D">
              <w:rPr>
                <w:noProof/>
                <w:webHidden/>
              </w:rPr>
              <w:t>47</w:t>
            </w:r>
            <w:r w:rsidR="00AE429D">
              <w:rPr>
                <w:noProof/>
                <w:webHidden/>
              </w:rPr>
              <w:fldChar w:fldCharType="end"/>
            </w:r>
          </w:hyperlink>
        </w:p>
        <w:p w14:paraId="19EC70C8" w14:textId="77777777" w:rsidR="00AE429D" w:rsidRDefault="00DB2B0B">
          <w:pPr>
            <w:pStyle w:val="TOC2"/>
            <w:rPr>
              <w:rFonts w:asciiTheme="minorHAnsi" w:eastAsiaTheme="minorEastAsia" w:hAnsiTheme="minorHAnsi" w:cstheme="minorBidi"/>
              <w:b w:val="0"/>
              <w:smallCaps w:val="0"/>
              <w:noProof/>
              <w:sz w:val="22"/>
              <w:szCs w:val="22"/>
            </w:rPr>
          </w:pPr>
          <w:hyperlink w:anchor="_Toc453849322" w:history="1">
            <w:r w:rsidR="00AE429D" w:rsidRPr="00B10F25">
              <w:rPr>
                <w:rStyle w:val="Hyperlink"/>
                <w:noProof/>
                <w:lang w:bidi="en-US"/>
              </w:rPr>
              <w:t>13.1.3</w:t>
            </w:r>
            <w:r w:rsidR="00AE429D">
              <w:rPr>
                <w:rFonts w:asciiTheme="minorHAnsi" w:eastAsiaTheme="minorEastAsia" w:hAnsiTheme="minorHAnsi" w:cstheme="minorBidi"/>
                <w:b w:val="0"/>
                <w:smallCaps w:val="0"/>
                <w:noProof/>
                <w:sz w:val="22"/>
                <w:szCs w:val="22"/>
              </w:rPr>
              <w:tab/>
            </w:r>
            <w:r w:rsidR="00AE429D" w:rsidRPr="00B10F25">
              <w:rPr>
                <w:rStyle w:val="Hyperlink"/>
                <w:noProof/>
                <w:lang w:bidi="en-US"/>
              </w:rPr>
              <w:t>GCB Concentration Risk</w:t>
            </w:r>
            <w:r w:rsidR="00AE429D">
              <w:rPr>
                <w:noProof/>
                <w:webHidden/>
              </w:rPr>
              <w:tab/>
            </w:r>
            <w:r w:rsidR="00AE429D">
              <w:rPr>
                <w:noProof/>
                <w:webHidden/>
              </w:rPr>
              <w:fldChar w:fldCharType="begin"/>
            </w:r>
            <w:r w:rsidR="00AE429D">
              <w:rPr>
                <w:noProof/>
                <w:webHidden/>
              </w:rPr>
              <w:instrText xml:space="preserve"> PAGEREF _Toc453849322 \h </w:instrText>
            </w:r>
            <w:r w:rsidR="00AE429D">
              <w:rPr>
                <w:noProof/>
                <w:webHidden/>
              </w:rPr>
            </w:r>
            <w:r w:rsidR="00AE429D">
              <w:rPr>
                <w:noProof/>
                <w:webHidden/>
              </w:rPr>
              <w:fldChar w:fldCharType="separate"/>
            </w:r>
            <w:r w:rsidR="00AE429D">
              <w:rPr>
                <w:noProof/>
                <w:webHidden/>
              </w:rPr>
              <w:t>47</w:t>
            </w:r>
            <w:r w:rsidR="00AE429D">
              <w:rPr>
                <w:noProof/>
                <w:webHidden/>
              </w:rPr>
              <w:fldChar w:fldCharType="end"/>
            </w:r>
          </w:hyperlink>
        </w:p>
        <w:p w14:paraId="1EAF6D71" w14:textId="77777777" w:rsidR="00AE429D" w:rsidRDefault="00DB2B0B">
          <w:pPr>
            <w:pStyle w:val="TOC2"/>
            <w:rPr>
              <w:rFonts w:asciiTheme="minorHAnsi" w:eastAsiaTheme="minorEastAsia" w:hAnsiTheme="minorHAnsi" w:cstheme="minorBidi"/>
              <w:b w:val="0"/>
              <w:smallCaps w:val="0"/>
              <w:noProof/>
              <w:sz w:val="22"/>
              <w:szCs w:val="22"/>
            </w:rPr>
          </w:pPr>
          <w:hyperlink w:anchor="_Toc453849323" w:history="1">
            <w:r w:rsidR="00AE429D" w:rsidRPr="00B10F25">
              <w:rPr>
                <w:rStyle w:val="Hyperlink"/>
                <w:bCs/>
                <w:noProof/>
                <w:lang w:bidi="en-US"/>
              </w:rPr>
              <w:t>13.1.4</w:t>
            </w:r>
            <w:r w:rsidR="00AE429D">
              <w:rPr>
                <w:rFonts w:asciiTheme="minorHAnsi" w:eastAsiaTheme="minorEastAsia" w:hAnsiTheme="minorHAnsi" w:cstheme="minorBidi"/>
                <w:b w:val="0"/>
                <w:smallCaps w:val="0"/>
                <w:noProof/>
                <w:sz w:val="22"/>
                <w:szCs w:val="22"/>
              </w:rPr>
              <w:tab/>
            </w:r>
            <w:r w:rsidR="00AE429D" w:rsidRPr="00B10F25">
              <w:rPr>
                <w:rStyle w:val="Hyperlink"/>
                <w:bCs/>
                <w:noProof/>
                <w:lang w:bidi="en-US"/>
              </w:rPr>
              <w:t>Loss Impact on Trading Portfolio</w:t>
            </w:r>
            <w:r w:rsidR="00AE429D">
              <w:rPr>
                <w:noProof/>
                <w:webHidden/>
              </w:rPr>
              <w:tab/>
            </w:r>
            <w:r w:rsidR="00AE429D">
              <w:rPr>
                <w:noProof/>
                <w:webHidden/>
              </w:rPr>
              <w:fldChar w:fldCharType="begin"/>
            </w:r>
            <w:r w:rsidR="00AE429D">
              <w:rPr>
                <w:noProof/>
                <w:webHidden/>
              </w:rPr>
              <w:instrText xml:space="preserve"> PAGEREF _Toc453849323 \h </w:instrText>
            </w:r>
            <w:r w:rsidR="00AE429D">
              <w:rPr>
                <w:noProof/>
                <w:webHidden/>
              </w:rPr>
            </w:r>
            <w:r w:rsidR="00AE429D">
              <w:rPr>
                <w:noProof/>
                <w:webHidden/>
              </w:rPr>
              <w:fldChar w:fldCharType="separate"/>
            </w:r>
            <w:r w:rsidR="00AE429D">
              <w:rPr>
                <w:noProof/>
                <w:webHidden/>
              </w:rPr>
              <w:t>48</w:t>
            </w:r>
            <w:r w:rsidR="00AE429D">
              <w:rPr>
                <w:noProof/>
                <w:webHidden/>
              </w:rPr>
              <w:fldChar w:fldCharType="end"/>
            </w:r>
          </w:hyperlink>
        </w:p>
        <w:p w14:paraId="4B065826" w14:textId="77777777" w:rsidR="00AE429D" w:rsidRDefault="00DB2B0B">
          <w:pPr>
            <w:pStyle w:val="TOC2"/>
            <w:rPr>
              <w:rFonts w:asciiTheme="minorHAnsi" w:eastAsiaTheme="minorEastAsia" w:hAnsiTheme="minorHAnsi" w:cstheme="minorBidi"/>
              <w:b w:val="0"/>
              <w:smallCaps w:val="0"/>
              <w:noProof/>
              <w:sz w:val="22"/>
              <w:szCs w:val="22"/>
            </w:rPr>
          </w:pPr>
          <w:hyperlink w:anchor="_Toc453849324" w:history="1">
            <w:r w:rsidR="00AE429D" w:rsidRPr="00B10F25">
              <w:rPr>
                <w:rStyle w:val="Hyperlink"/>
                <w:bCs/>
                <w:noProof/>
                <w:lang w:bidi="en-US"/>
              </w:rPr>
              <w:t>13.1.5</w:t>
            </w:r>
            <w:r w:rsidR="00AE429D">
              <w:rPr>
                <w:rFonts w:asciiTheme="minorHAnsi" w:eastAsiaTheme="minorEastAsia" w:hAnsiTheme="minorHAnsi" w:cstheme="minorBidi"/>
                <w:b w:val="0"/>
                <w:smallCaps w:val="0"/>
                <w:noProof/>
                <w:sz w:val="22"/>
                <w:szCs w:val="22"/>
              </w:rPr>
              <w:tab/>
            </w:r>
            <w:r w:rsidR="00AE429D" w:rsidRPr="00B10F25">
              <w:rPr>
                <w:rStyle w:val="Hyperlink"/>
                <w:bCs/>
                <w:noProof/>
                <w:lang w:bidi="en-US"/>
              </w:rPr>
              <w:t>Stressed Credit Valuation Adjustment (“CVA”)</w:t>
            </w:r>
            <w:r w:rsidR="00AE429D">
              <w:rPr>
                <w:noProof/>
                <w:webHidden/>
              </w:rPr>
              <w:tab/>
            </w:r>
            <w:r w:rsidR="00AE429D">
              <w:rPr>
                <w:noProof/>
                <w:webHidden/>
              </w:rPr>
              <w:fldChar w:fldCharType="begin"/>
            </w:r>
            <w:r w:rsidR="00AE429D">
              <w:rPr>
                <w:noProof/>
                <w:webHidden/>
              </w:rPr>
              <w:instrText xml:space="preserve"> PAGEREF _Toc453849324 \h </w:instrText>
            </w:r>
            <w:r w:rsidR="00AE429D">
              <w:rPr>
                <w:noProof/>
                <w:webHidden/>
              </w:rPr>
            </w:r>
            <w:r w:rsidR="00AE429D">
              <w:rPr>
                <w:noProof/>
                <w:webHidden/>
              </w:rPr>
              <w:fldChar w:fldCharType="separate"/>
            </w:r>
            <w:r w:rsidR="00AE429D">
              <w:rPr>
                <w:noProof/>
                <w:webHidden/>
              </w:rPr>
              <w:t>48</w:t>
            </w:r>
            <w:r w:rsidR="00AE429D">
              <w:rPr>
                <w:noProof/>
                <w:webHidden/>
              </w:rPr>
              <w:fldChar w:fldCharType="end"/>
            </w:r>
          </w:hyperlink>
        </w:p>
        <w:p w14:paraId="4D708A50" w14:textId="77777777" w:rsidR="00AE429D" w:rsidRDefault="00DB2B0B">
          <w:pPr>
            <w:pStyle w:val="TOC2"/>
            <w:rPr>
              <w:rFonts w:asciiTheme="minorHAnsi" w:eastAsiaTheme="minorEastAsia" w:hAnsiTheme="minorHAnsi" w:cstheme="minorBidi"/>
              <w:b w:val="0"/>
              <w:smallCaps w:val="0"/>
              <w:noProof/>
              <w:sz w:val="22"/>
              <w:szCs w:val="22"/>
            </w:rPr>
          </w:pPr>
          <w:hyperlink w:anchor="_Toc453849325" w:history="1">
            <w:r w:rsidR="00AE429D" w:rsidRPr="00B10F25">
              <w:rPr>
                <w:rStyle w:val="Hyperlink"/>
                <w:bCs/>
                <w:noProof/>
                <w:lang w:bidi="en-US"/>
              </w:rPr>
              <w:t>13.1.6</w:t>
            </w:r>
            <w:r w:rsidR="00AE429D">
              <w:rPr>
                <w:rFonts w:asciiTheme="minorHAnsi" w:eastAsiaTheme="minorEastAsia" w:hAnsiTheme="minorHAnsi" w:cstheme="minorBidi"/>
                <w:b w:val="0"/>
                <w:smallCaps w:val="0"/>
                <w:noProof/>
                <w:sz w:val="22"/>
                <w:szCs w:val="22"/>
              </w:rPr>
              <w:tab/>
            </w:r>
            <w:r w:rsidR="00AE429D" w:rsidRPr="00B10F25">
              <w:rPr>
                <w:rStyle w:val="Hyperlink"/>
                <w:bCs/>
                <w:noProof/>
                <w:lang w:bidi="en-US"/>
              </w:rPr>
              <w:t>Operational Risk Stress</w:t>
            </w:r>
            <w:r w:rsidR="00AE429D">
              <w:rPr>
                <w:noProof/>
                <w:webHidden/>
              </w:rPr>
              <w:tab/>
            </w:r>
            <w:r w:rsidR="00AE429D">
              <w:rPr>
                <w:noProof/>
                <w:webHidden/>
              </w:rPr>
              <w:fldChar w:fldCharType="begin"/>
            </w:r>
            <w:r w:rsidR="00AE429D">
              <w:rPr>
                <w:noProof/>
                <w:webHidden/>
              </w:rPr>
              <w:instrText xml:space="preserve"> PAGEREF _Toc453849325 \h </w:instrText>
            </w:r>
            <w:r w:rsidR="00AE429D">
              <w:rPr>
                <w:noProof/>
                <w:webHidden/>
              </w:rPr>
            </w:r>
            <w:r w:rsidR="00AE429D">
              <w:rPr>
                <w:noProof/>
                <w:webHidden/>
              </w:rPr>
              <w:fldChar w:fldCharType="separate"/>
            </w:r>
            <w:r w:rsidR="00AE429D">
              <w:rPr>
                <w:noProof/>
                <w:webHidden/>
              </w:rPr>
              <w:t>49</w:t>
            </w:r>
            <w:r w:rsidR="00AE429D">
              <w:rPr>
                <w:noProof/>
                <w:webHidden/>
              </w:rPr>
              <w:fldChar w:fldCharType="end"/>
            </w:r>
          </w:hyperlink>
        </w:p>
        <w:p w14:paraId="6F481E9A" w14:textId="77777777" w:rsidR="00DC1B4E" w:rsidRDefault="00431E9F">
          <w:pPr>
            <w:rPr>
              <w:b/>
              <w:bCs/>
              <w:noProof/>
            </w:rPr>
          </w:pPr>
          <w:r>
            <w:rPr>
              <w:b/>
              <w:bCs/>
              <w:noProof/>
            </w:rPr>
            <w:fldChar w:fldCharType="end"/>
          </w:r>
        </w:p>
        <w:p w14:paraId="5AC74F5B" w14:textId="3CCADF07" w:rsidR="00431E9F" w:rsidRDefault="00DB2B0B"/>
      </w:sdtContent>
    </w:sdt>
    <w:p w14:paraId="236B6160" w14:textId="77777777" w:rsidR="00DC1B4E" w:rsidRDefault="00DC1B4E" w:rsidP="00DC1B4E">
      <w:pPr>
        <w:pStyle w:val="SANUS1"/>
      </w:pPr>
      <w:bookmarkStart w:id="1" w:name="_Toc452650797"/>
      <w:bookmarkStart w:id="2" w:name="_Toc452650850"/>
      <w:bookmarkStart w:id="3" w:name="_Toc452541354"/>
      <w:bookmarkStart w:id="4" w:name="_Toc452543429"/>
      <w:bookmarkStart w:id="5" w:name="_Toc452544000"/>
      <w:bookmarkStart w:id="6" w:name="_Toc452544575"/>
      <w:bookmarkStart w:id="7" w:name="_Toc373835312"/>
      <w:bookmarkStart w:id="8" w:name="_Toc452544001"/>
      <w:bookmarkEnd w:id="1"/>
      <w:bookmarkEnd w:id="2"/>
      <w:bookmarkEnd w:id="3"/>
      <w:bookmarkEnd w:id="4"/>
      <w:bookmarkEnd w:id="5"/>
      <w:bookmarkEnd w:id="6"/>
    </w:p>
    <w:p w14:paraId="3CA8560C" w14:textId="77777777" w:rsidR="00DC1B4E" w:rsidRDefault="00DC1B4E" w:rsidP="00DC1B4E">
      <w:pPr>
        <w:pStyle w:val="SANUS1"/>
      </w:pPr>
    </w:p>
    <w:p w14:paraId="52ED1FD8" w14:textId="77777777" w:rsidR="007079FF" w:rsidRDefault="007079FF" w:rsidP="00DC1B4E">
      <w:pPr>
        <w:pStyle w:val="SANUS1"/>
      </w:pPr>
    </w:p>
    <w:p w14:paraId="6DEB8D4A" w14:textId="77777777" w:rsidR="007079FF" w:rsidRDefault="007079FF" w:rsidP="00DC1B4E">
      <w:pPr>
        <w:pStyle w:val="SANUS1"/>
      </w:pPr>
    </w:p>
    <w:p w14:paraId="00983856" w14:textId="77777777" w:rsidR="007079FF" w:rsidRDefault="007079FF" w:rsidP="00DC1B4E">
      <w:pPr>
        <w:pStyle w:val="SANUS1"/>
      </w:pPr>
    </w:p>
    <w:p w14:paraId="6AB5F6CF" w14:textId="77777777" w:rsidR="007079FF" w:rsidRDefault="007079FF" w:rsidP="00DC1B4E">
      <w:pPr>
        <w:pStyle w:val="SANUS1"/>
      </w:pPr>
    </w:p>
    <w:p w14:paraId="61CA4C8C" w14:textId="77777777" w:rsidR="007079FF" w:rsidRDefault="007079FF" w:rsidP="00DC1B4E">
      <w:pPr>
        <w:pStyle w:val="SANUS1"/>
      </w:pPr>
    </w:p>
    <w:p w14:paraId="28E78B00" w14:textId="77777777" w:rsidR="007079FF" w:rsidRDefault="007079FF" w:rsidP="00DC1B4E">
      <w:pPr>
        <w:pStyle w:val="SANUS1"/>
      </w:pPr>
    </w:p>
    <w:p w14:paraId="55CC474E" w14:textId="77777777" w:rsidR="007079FF" w:rsidRDefault="007079FF" w:rsidP="00DC1B4E">
      <w:pPr>
        <w:pStyle w:val="SANUS1"/>
      </w:pPr>
    </w:p>
    <w:p w14:paraId="7206A059" w14:textId="77777777" w:rsidR="007079FF" w:rsidRDefault="007079FF" w:rsidP="00DC1B4E">
      <w:pPr>
        <w:pStyle w:val="SANUS1"/>
      </w:pPr>
    </w:p>
    <w:p w14:paraId="20F9ED28" w14:textId="77777777" w:rsidR="00DC1B4E" w:rsidRDefault="00DC1B4E" w:rsidP="00DC1B4E">
      <w:pPr>
        <w:pStyle w:val="SANUS1"/>
      </w:pPr>
    </w:p>
    <w:p w14:paraId="726F3DC9" w14:textId="77777777" w:rsidR="00DC1B4E" w:rsidRDefault="00DC1B4E" w:rsidP="00DC1B4E">
      <w:pPr>
        <w:pStyle w:val="SANUS1"/>
      </w:pPr>
    </w:p>
    <w:p w14:paraId="2B3C2B8E" w14:textId="77777777" w:rsidR="00E74288" w:rsidRPr="00984105" w:rsidRDefault="00E74288" w:rsidP="00E74288">
      <w:pPr>
        <w:pStyle w:val="SANUS1"/>
        <w:numPr>
          <w:ilvl w:val="0"/>
          <w:numId w:val="1"/>
        </w:numPr>
      </w:pPr>
      <w:bookmarkStart w:id="9" w:name="_Toc453849269"/>
      <w:r w:rsidRPr="00984105">
        <w:t>Introduction</w:t>
      </w:r>
      <w:bookmarkEnd w:id="7"/>
      <w:bookmarkEnd w:id="8"/>
      <w:bookmarkEnd w:id="9"/>
    </w:p>
    <w:p w14:paraId="3E5FA3BA" w14:textId="77777777" w:rsidR="00E74288" w:rsidRDefault="00E74288" w:rsidP="00E74288">
      <w:pPr>
        <w:pStyle w:val="SANUS2"/>
        <w:numPr>
          <w:ilvl w:val="1"/>
          <w:numId w:val="1"/>
        </w:numPr>
      </w:pPr>
      <w:bookmarkStart w:id="10" w:name="_Toc452544002"/>
      <w:bookmarkStart w:id="11" w:name="_Toc453849270"/>
      <w:r>
        <w:t>Purpose of the document</w:t>
      </w:r>
      <w:bookmarkEnd w:id="10"/>
      <w:bookmarkEnd w:id="11"/>
    </w:p>
    <w:p w14:paraId="7618F8CC" w14:textId="7176F71A" w:rsidR="00E74288" w:rsidRDefault="00E74288" w:rsidP="00E74288">
      <w:pPr>
        <w:pStyle w:val="Normal1"/>
        <w:jc w:val="both"/>
      </w:pPr>
      <w:r w:rsidRPr="00206D41">
        <w:t xml:space="preserve">The Risk Appetite Metrics Glossary (“Glossary”) details the </w:t>
      </w:r>
      <w:r w:rsidR="00206D41" w:rsidRPr="00206D41">
        <w:t xml:space="preserve">quantitative </w:t>
      </w:r>
      <w:r w:rsidR="00DE2713" w:rsidRPr="00206D41">
        <w:t xml:space="preserve">metrics that are included in the </w:t>
      </w:r>
      <w:r w:rsidRPr="00206D41">
        <w:t xml:space="preserve">Risk Appetite </w:t>
      </w:r>
      <w:r w:rsidR="00DE2713" w:rsidRPr="00206D41">
        <w:t>Statement</w:t>
      </w:r>
      <w:r w:rsidR="00D213CB">
        <w:t>s</w:t>
      </w:r>
      <w:r w:rsidR="00DE2713" w:rsidRPr="00206D41">
        <w:t xml:space="preserve"> </w:t>
      </w:r>
      <w:r w:rsidRPr="00206D41">
        <w:t>(</w:t>
      </w:r>
      <w:r w:rsidR="00DE2713" w:rsidRPr="00206D41">
        <w:t>“</w:t>
      </w:r>
      <w:r w:rsidRPr="00206D41">
        <w:t>RA</w:t>
      </w:r>
      <w:r w:rsidR="00DE2713" w:rsidRPr="00206D41">
        <w:t>S”)</w:t>
      </w:r>
      <w:r w:rsidR="00D213CB">
        <w:t xml:space="preserve"> for </w:t>
      </w:r>
      <w:r w:rsidR="00D213CB" w:rsidRPr="00206D41">
        <w:t>Santand</w:t>
      </w:r>
      <w:r w:rsidR="00D213CB">
        <w:t>er Holdings USA, Inc. (“SHUSA”)</w:t>
      </w:r>
      <w:r w:rsidR="00FE26C9">
        <w:t xml:space="preserve"> and </w:t>
      </w:r>
      <w:r w:rsidRPr="00206D41">
        <w:t>their calculation methodology and the frequency (monthly, quarterly, semi-annual or annual) of calculation.</w:t>
      </w:r>
    </w:p>
    <w:p w14:paraId="370DAF55" w14:textId="77777777" w:rsidR="009E6B21" w:rsidRDefault="009E6B21" w:rsidP="00E74288">
      <w:pPr>
        <w:pStyle w:val="Normal1"/>
        <w:jc w:val="both"/>
      </w:pPr>
      <w:r>
        <w:t>It forms part of the suite of documents that apply to Risk Appetite at SHUSA:</w:t>
      </w:r>
    </w:p>
    <w:p w14:paraId="230C2839" w14:textId="77777777" w:rsidR="009E6B21" w:rsidRDefault="009E6B21" w:rsidP="009E6B21">
      <w:pPr>
        <w:pStyle w:val="Normal1"/>
        <w:numPr>
          <w:ilvl w:val="0"/>
          <w:numId w:val="49"/>
        </w:numPr>
        <w:jc w:val="both"/>
      </w:pPr>
      <w:r w:rsidRPr="009E6B21">
        <w:rPr>
          <w:i/>
        </w:rPr>
        <w:t>Risk Appetite Framework:</w:t>
      </w:r>
      <w:r>
        <w:t xml:space="preserve"> principles for the setting, testing and monitoring of Risk Appetite</w:t>
      </w:r>
    </w:p>
    <w:p w14:paraId="246FCC1B" w14:textId="77777777" w:rsidR="009E6B21" w:rsidRDefault="009E6B21" w:rsidP="009E6B21">
      <w:pPr>
        <w:pStyle w:val="Normal1"/>
        <w:numPr>
          <w:ilvl w:val="0"/>
          <w:numId w:val="49"/>
        </w:numPr>
        <w:jc w:val="both"/>
      </w:pPr>
      <w:r w:rsidRPr="009E6B21">
        <w:rPr>
          <w:i/>
        </w:rPr>
        <w:t>Risk Appetite Statement:</w:t>
      </w:r>
      <w:r>
        <w:t xml:space="preserve"> qualitative statements and quantitative metrics </w:t>
      </w:r>
    </w:p>
    <w:p w14:paraId="6FF5E087" w14:textId="77777777" w:rsidR="009E6B21" w:rsidRDefault="009E6B21" w:rsidP="009E6B21">
      <w:pPr>
        <w:pStyle w:val="Normal1"/>
        <w:numPr>
          <w:ilvl w:val="0"/>
          <w:numId w:val="49"/>
        </w:numPr>
        <w:jc w:val="both"/>
      </w:pPr>
      <w:r>
        <w:rPr>
          <w:i/>
        </w:rPr>
        <w:t>Risk Appetite Metrics Glossary:</w:t>
      </w:r>
      <w:r>
        <w:t xml:space="preserve"> calculation of quantitative metrics</w:t>
      </w:r>
    </w:p>
    <w:p w14:paraId="46B38823" w14:textId="77777777" w:rsidR="009E6B21" w:rsidRDefault="009E6B21" w:rsidP="009E6B21">
      <w:pPr>
        <w:pStyle w:val="Normal1"/>
        <w:numPr>
          <w:ilvl w:val="0"/>
          <w:numId w:val="49"/>
        </w:numPr>
        <w:jc w:val="both"/>
      </w:pPr>
      <w:r w:rsidRPr="009E6B21">
        <w:rPr>
          <w:i/>
        </w:rPr>
        <w:t>Risk Appetite Monitoring, Reporting, Escalation and Remediation Procedure:</w:t>
      </w:r>
      <w:r>
        <w:t xml:space="preserve"> actions required in the event of a metric trigger or limit breach</w:t>
      </w:r>
    </w:p>
    <w:p w14:paraId="707A9289" w14:textId="77777777" w:rsidR="009E6B21" w:rsidRDefault="009E6B21" w:rsidP="009E6B21">
      <w:pPr>
        <w:pStyle w:val="Normal1"/>
        <w:numPr>
          <w:ilvl w:val="0"/>
          <w:numId w:val="49"/>
        </w:numPr>
        <w:jc w:val="both"/>
      </w:pPr>
      <w:r w:rsidRPr="009E6B21">
        <w:rPr>
          <w:i/>
        </w:rPr>
        <w:t>RA</w:t>
      </w:r>
      <w:r w:rsidR="00D31E4F">
        <w:rPr>
          <w:i/>
        </w:rPr>
        <w:t xml:space="preserve"> Metrics</w:t>
      </w:r>
      <w:r w:rsidRPr="009E6B21">
        <w:rPr>
          <w:i/>
        </w:rPr>
        <w:t xml:space="preserve"> </w:t>
      </w:r>
      <w:r w:rsidR="00D31E4F">
        <w:rPr>
          <w:i/>
        </w:rPr>
        <w:t xml:space="preserve">Collection and </w:t>
      </w:r>
      <w:r w:rsidRPr="009E6B21">
        <w:rPr>
          <w:i/>
        </w:rPr>
        <w:t xml:space="preserve">Reporting </w:t>
      </w:r>
      <w:r w:rsidR="00D31E4F">
        <w:rPr>
          <w:i/>
        </w:rPr>
        <w:t>Process</w:t>
      </w:r>
      <w:r w:rsidRPr="009E6B21">
        <w:rPr>
          <w:i/>
        </w:rPr>
        <w:t>:</w:t>
      </w:r>
      <w:r>
        <w:t xml:space="preserve"> monthly and quarterly reporting</w:t>
      </w:r>
      <w:r w:rsidR="00D31E4F">
        <w:t>, metric</w:t>
      </w:r>
      <w:r>
        <w:t xml:space="preserve"> </w:t>
      </w:r>
      <w:r w:rsidR="00D31E4F">
        <w:t>collection</w:t>
      </w:r>
      <w:r>
        <w:t xml:space="preserve"> and distribution</w:t>
      </w:r>
      <w:r w:rsidR="00D31E4F">
        <w:t xml:space="preserve"> process</w:t>
      </w:r>
    </w:p>
    <w:p w14:paraId="29547A39" w14:textId="77777777" w:rsidR="009E6B21" w:rsidRDefault="009E6B21" w:rsidP="009E6B21">
      <w:pPr>
        <w:pStyle w:val="Normal1"/>
        <w:numPr>
          <w:ilvl w:val="0"/>
          <w:numId w:val="49"/>
        </w:numPr>
        <w:jc w:val="both"/>
      </w:pPr>
      <w:r w:rsidRPr="009E6B21">
        <w:rPr>
          <w:i/>
        </w:rPr>
        <w:t xml:space="preserve">Santander Group RAS Reporting </w:t>
      </w:r>
      <w:r w:rsidR="00D31E4F">
        <w:rPr>
          <w:i/>
        </w:rPr>
        <w:t>Process</w:t>
      </w:r>
      <w:r w:rsidRPr="009E6B21">
        <w:rPr>
          <w:i/>
        </w:rPr>
        <w:t>:</w:t>
      </w:r>
      <w:r>
        <w:t xml:space="preserve"> monthly and quarterly reporting</w:t>
      </w:r>
      <w:r w:rsidR="00D31E4F">
        <w:t>, metric</w:t>
      </w:r>
      <w:r>
        <w:t xml:space="preserve"> </w:t>
      </w:r>
      <w:r w:rsidR="00D31E4F">
        <w:t>collection</w:t>
      </w:r>
      <w:r>
        <w:t xml:space="preserve"> and distribution</w:t>
      </w:r>
      <w:r w:rsidR="00D31E4F">
        <w:t xml:space="preserve"> process</w:t>
      </w:r>
    </w:p>
    <w:p w14:paraId="28E19847" w14:textId="77777777" w:rsidR="00E74288" w:rsidRPr="00206D41" w:rsidRDefault="00E74288" w:rsidP="00E74288">
      <w:pPr>
        <w:pStyle w:val="SANUS2"/>
        <w:numPr>
          <w:ilvl w:val="1"/>
          <w:numId w:val="1"/>
        </w:numPr>
      </w:pPr>
      <w:bookmarkStart w:id="12" w:name="_Toc452544003"/>
      <w:bookmarkStart w:id="13" w:name="_Toc453849271"/>
      <w:bookmarkStart w:id="14" w:name="_Toc401564541"/>
      <w:r w:rsidRPr="00206D41">
        <w:t>Scope</w:t>
      </w:r>
      <w:bookmarkEnd w:id="12"/>
      <w:bookmarkEnd w:id="13"/>
    </w:p>
    <w:p w14:paraId="719B9EC7" w14:textId="77777777" w:rsidR="001903BB" w:rsidRPr="00206D41" w:rsidRDefault="00E74288" w:rsidP="00E74288">
      <w:pPr>
        <w:jc w:val="both"/>
        <w:rPr>
          <w:rFonts w:eastAsia="Times New Roman"/>
          <w:color w:val="000000" w:themeColor="text1"/>
        </w:rPr>
      </w:pPr>
      <w:r w:rsidRPr="00206D41">
        <w:rPr>
          <w:rFonts w:eastAsia="Times New Roman"/>
          <w:color w:val="000000" w:themeColor="text1"/>
        </w:rPr>
        <w:t>The Glossary applies to SHUSA</w:t>
      </w:r>
      <w:r w:rsidR="00765C62">
        <w:rPr>
          <w:rFonts w:eastAsia="Times New Roman"/>
          <w:color w:val="000000" w:themeColor="text1"/>
        </w:rPr>
        <w:t xml:space="preserve"> RAS metrics. Legal Entities can, at</w:t>
      </w:r>
      <w:r w:rsidR="001903BB">
        <w:rPr>
          <w:rFonts w:eastAsia="Times New Roman"/>
          <w:color w:val="000000" w:themeColor="text1"/>
        </w:rPr>
        <w:t xml:space="preserve"> their discretio</w:t>
      </w:r>
      <w:r w:rsidR="00765C62">
        <w:rPr>
          <w:rFonts w:eastAsia="Times New Roman"/>
          <w:color w:val="000000" w:themeColor="text1"/>
        </w:rPr>
        <w:t xml:space="preserve">n, adapt this document to their own RAS. </w:t>
      </w:r>
      <w:r w:rsidR="001903BB">
        <w:rPr>
          <w:rFonts w:eastAsia="Times New Roman"/>
          <w:color w:val="000000" w:themeColor="text1"/>
        </w:rPr>
        <w:t xml:space="preserve">In the event of discrepancies, the SHUSA document will </w:t>
      </w:r>
      <w:r w:rsidR="00302EE5">
        <w:rPr>
          <w:rFonts w:eastAsia="Times New Roman"/>
          <w:color w:val="000000" w:themeColor="text1"/>
        </w:rPr>
        <w:t>prevail</w:t>
      </w:r>
      <w:r w:rsidR="001903BB">
        <w:rPr>
          <w:rFonts w:eastAsia="Times New Roman"/>
          <w:color w:val="000000" w:themeColor="text1"/>
        </w:rPr>
        <w:t>.</w:t>
      </w:r>
    </w:p>
    <w:p w14:paraId="7A2720F7" w14:textId="77777777" w:rsidR="00E74288" w:rsidRPr="00206D41" w:rsidRDefault="00E74288" w:rsidP="00E74288">
      <w:pPr>
        <w:pStyle w:val="SANUS2"/>
        <w:numPr>
          <w:ilvl w:val="1"/>
          <w:numId w:val="1"/>
        </w:numPr>
      </w:pPr>
      <w:bookmarkStart w:id="15" w:name="_Toc373835317"/>
      <w:bookmarkStart w:id="16" w:name="_Toc401564550"/>
      <w:bookmarkStart w:id="17" w:name="_Toc452544004"/>
      <w:bookmarkStart w:id="18" w:name="_Toc453849272"/>
      <w:bookmarkEnd w:id="14"/>
      <w:r w:rsidRPr="00206D41">
        <w:t>Document Ownership and Maintenance</w:t>
      </w:r>
      <w:bookmarkEnd w:id="15"/>
      <w:bookmarkEnd w:id="16"/>
      <w:bookmarkEnd w:id="17"/>
      <w:bookmarkEnd w:id="18"/>
    </w:p>
    <w:p w14:paraId="4A289A7E" w14:textId="77777777" w:rsidR="00E74288" w:rsidRPr="00206D41" w:rsidRDefault="00E74288" w:rsidP="00E74288">
      <w:pPr>
        <w:pStyle w:val="Normal1"/>
        <w:jc w:val="both"/>
      </w:pPr>
      <w:r w:rsidRPr="00206D41">
        <w:t>As owner, the SHUSA Director of Risk Appetite is responsible for the development and maintenance of this Glossary and holds primary responsibility for ensuring it is implemented and embedded on a day to day basis.</w:t>
      </w:r>
    </w:p>
    <w:p w14:paraId="12BBA9DE" w14:textId="77777777" w:rsidR="00E74288" w:rsidRPr="00206D41" w:rsidRDefault="00E74288" w:rsidP="00E74288">
      <w:pPr>
        <w:pStyle w:val="Normal1"/>
        <w:jc w:val="both"/>
      </w:pPr>
      <w:r w:rsidRPr="00206D41">
        <w:t xml:space="preserve">The Glossary must be reviewed at least annually as part of the review of the Risk Appetite Statement and updated as necessary in the event of changes to the Risk Appetite metrics or to their calculations. </w:t>
      </w:r>
    </w:p>
    <w:p w14:paraId="4470782C" w14:textId="77777777" w:rsidR="00E74288" w:rsidRDefault="00E74288" w:rsidP="00E74288"/>
    <w:p w14:paraId="2299AF4E" w14:textId="77777777" w:rsidR="000765FB" w:rsidRDefault="000765FB" w:rsidP="00E74288"/>
    <w:p w14:paraId="7CE71095" w14:textId="77777777" w:rsidR="000765FB" w:rsidRDefault="000765FB" w:rsidP="00E74288"/>
    <w:p w14:paraId="29BF179D" w14:textId="77777777" w:rsidR="00C57FA9" w:rsidRDefault="00C57FA9" w:rsidP="00E74288"/>
    <w:p w14:paraId="22F99D88" w14:textId="77777777" w:rsidR="00E909BD" w:rsidRDefault="00E909BD" w:rsidP="00FC6780">
      <w:pPr>
        <w:pStyle w:val="SANUS1"/>
        <w:numPr>
          <w:ilvl w:val="0"/>
          <w:numId w:val="1"/>
        </w:numPr>
      </w:pPr>
      <w:bookmarkStart w:id="19" w:name="_Toc452544005"/>
      <w:bookmarkStart w:id="20" w:name="_Toc453849273"/>
      <w:r>
        <w:t>RAS Quantitative Metrics Summary Table</w:t>
      </w:r>
      <w:bookmarkEnd w:id="19"/>
      <w:bookmarkEnd w:id="20"/>
    </w:p>
    <w:tbl>
      <w:tblPr>
        <w:tblStyle w:val="TableGrid"/>
        <w:tblW w:w="9549" w:type="dxa"/>
        <w:jc w:val="center"/>
        <w:tblInd w:w="-1477" w:type="dxa"/>
        <w:tblLook w:val="04A0" w:firstRow="1" w:lastRow="0" w:firstColumn="1" w:lastColumn="0" w:noHBand="0" w:noVBand="1"/>
      </w:tblPr>
      <w:tblGrid>
        <w:gridCol w:w="2079"/>
        <w:gridCol w:w="5760"/>
        <w:gridCol w:w="1710"/>
      </w:tblGrid>
      <w:tr w:rsidR="006550A7" w:rsidRPr="00A11EB5" w14:paraId="048DF530" w14:textId="77777777" w:rsidTr="00726B1C">
        <w:trPr>
          <w:jc w:val="center"/>
        </w:trPr>
        <w:tc>
          <w:tcPr>
            <w:tcW w:w="2079" w:type="dxa"/>
            <w:tcBorders>
              <w:bottom w:val="single" w:sz="18" w:space="0" w:color="auto"/>
            </w:tcBorders>
          </w:tcPr>
          <w:p w14:paraId="74CB1F79" w14:textId="77777777" w:rsidR="006550A7" w:rsidRPr="005C0CB8" w:rsidRDefault="006550A7" w:rsidP="00810821">
            <w:pPr>
              <w:rPr>
                <w:b/>
                <w:sz w:val="22"/>
                <w:szCs w:val="22"/>
              </w:rPr>
            </w:pPr>
            <w:r w:rsidRPr="005C0CB8">
              <w:rPr>
                <w:b/>
                <w:sz w:val="22"/>
                <w:szCs w:val="22"/>
              </w:rPr>
              <w:t>RISK TYPE</w:t>
            </w:r>
          </w:p>
        </w:tc>
        <w:tc>
          <w:tcPr>
            <w:tcW w:w="5760" w:type="dxa"/>
            <w:tcBorders>
              <w:bottom w:val="single" w:sz="18" w:space="0" w:color="auto"/>
            </w:tcBorders>
          </w:tcPr>
          <w:p w14:paraId="2F836144" w14:textId="77777777" w:rsidR="006550A7" w:rsidRPr="005C0CB8" w:rsidRDefault="006550A7" w:rsidP="00810821">
            <w:pPr>
              <w:rPr>
                <w:b/>
                <w:sz w:val="22"/>
                <w:szCs w:val="22"/>
              </w:rPr>
            </w:pPr>
            <w:r w:rsidRPr="005C0CB8">
              <w:rPr>
                <w:b/>
                <w:sz w:val="22"/>
                <w:szCs w:val="22"/>
              </w:rPr>
              <w:t>METRIC</w:t>
            </w:r>
          </w:p>
        </w:tc>
        <w:tc>
          <w:tcPr>
            <w:tcW w:w="1710" w:type="dxa"/>
            <w:tcBorders>
              <w:bottom w:val="single" w:sz="18" w:space="0" w:color="auto"/>
            </w:tcBorders>
          </w:tcPr>
          <w:p w14:paraId="5E372E5D" w14:textId="6144DB7F" w:rsidR="006550A7" w:rsidRPr="005C0CB8" w:rsidRDefault="006550A7" w:rsidP="00810821">
            <w:pPr>
              <w:jc w:val="center"/>
              <w:rPr>
                <w:b/>
                <w:sz w:val="22"/>
                <w:szCs w:val="22"/>
              </w:rPr>
            </w:pPr>
            <w:r w:rsidRPr="005C0CB8">
              <w:rPr>
                <w:b/>
                <w:sz w:val="22"/>
                <w:szCs w:val="22"/>
              </w:rPr>
              <w:t>Entity</w:t>
            </w:r>
          </w:p>
        </w:tc>
      </w:tr>
      <w:tr w:rsidR="006550A7" w14:paraId="1F536BD0" w14:textId="77777777" w:rsidTr="00726B1C">
        <w:trPr>
          <w:jc w:val="center"/>
        </w:trPr>
        <w:tc>
          <w:tcPr>
            <w:tcW w:w="2079" w:type="dxa"/>
            <w:vMerge w:val="restart"/>
            <w:tcBorders>
              <w:top w:val="single" w:sz="18" w:space="0" w:color="auto"/>
            </w:tcBorders>
          </w:tcPr>
          <w:p w14:paraId="5503F832" w14:textId="194F54EB" w:rsidR="006550A7" w:rsidRPr="005C0CB8" w:rsidRDefault="00810821" w:rsidP="00810821">
            <w:pPr>
              <w:rPr>
                <w:b/>
                <w:sz w:val="22"/>
                <w:szCs w:val="22"/>
              </w:rPr>
            </w:pPr>
            <w:r w:rsidRPr="005C0CB8">
              <w:rPr>
                <w:b/>
                <w:sz w:val="22"/>
                <w:szCs w:val="22"/>
              </w:rPr>
              <w:t>Capital a</w:t>
            </w:r>
            <w:r w:rsidR="006550A7" w:rsidRPr="005C0CB8">
              <w:rPr>
                <w:b/>
                <w:sz w:val="22"/>
                <w:szCs w:val="22"/>
              </w:rPr>
              <w:t>dequacy</w:t>
            </w:r>
          </w:p>
        </w:tc>
        <w:tc>
          <w:tcPr>
            <w:tcW w:w="5760" w:type="dxa"/>
            <w:tcBorders>
              <w:top w:val="single" w:sz="18" w:space="0" w:color="auto"/>
            </w:tcBorders>
          </w:tcPr>
          <w:p w14:paraId="14557421" w14:textId="77777777" w:rsidR="006550A7" w:rsidRPr="005C0CB8" w:rsidRDefault="006550A7" w:rsidP="00810821">
            <w:pPr>
              <w:rPr>
                <w:sz w:val="22"/>
                <w:szCs w:val="22"/>
              </w:rPr>
            </w:pPr>
            <w:r w:rsidRPr="005C0CB8">
              <w:rPr>
                <w:sz w:val="22"/>
                <w:szCs w:val="22"/>
              </w:rPr>
              <w:t>Common Equity Tier 1 Ratio</w:t>
            </w:r>
          </w:p>
        </w:tc>
        <w:tc>
          <w:tcPr>
            <w:tcW w:w="1710" w:type="dxa"/>
            <w:tcBorders>
              <w:top w:val="single" w:sz="18" w:space="0" w:color="auto"/>
            </w:tcBorders>
          </w:tcPr>
          <w:p w14:paraId="2D54C0EC" w14:textId="23C9179D" w:rsidR="006550A7" w:rsidRPr="005C0CB8" w:rsidRDefault="006550A7" w:rsidP="00810821">
            <w:pPr>
              <w:jc w:val="center"/>
              <w:rPr>
                <w:sz w:val="22"/>
                <w:szCs w:val="22"/>
              </w:rPr>
            </w:pPr>
            <w:r w:rsidRPr="005C0CB8">
              <w:rPr>
                <w:sz w:val="22"/>
                <w:szCs w:val="22"/>
              </w:rPr>
              <w:t>SHUSA</w:t>
            </w:r>
          </w:p>
        </w:tc>
      </w:tr>
      <w:tr w:rsidR="006550A7" w14:paraId="725889BB" w14:textId="77777777" w:rsidTr="00726B1C">
        <w:trPr>
          <w:jc w:val="center"/>
        </w:trPr>
        <w:tc>
          <w:tcPr>
            <w:tcW w:w="2079" w:type="dxa"/>
            <w:vMerge/>
          </w:tcPr>
          <w:p w14:paraId="5E5BC1C8" w14:textId="77777777" w:rsidR="006550A7" w:rsidRPr="005C0CB8" w:rsidRDefault="006550A7" w:rsidP="00810821">
            <w:pPr>
              <w:rPr>
                <w:b/>
                <w:sz w:val="22"/>
                <w:szCs w:val="22"/>
              </w:rPr>
            </w:pPr>
          </w:p>
        </w:tc>
        <w:tc>
          <w:tcPr>
            <w:tcW w:w="5760" w:type="dxa"/>
            <w:tcBorders>
              <w:bottom w:val="single" w:sz="4" w:space="0" w:color="auto"/>
            </w:tcBorders>
          </w:tcPr>
          <w:p w14:paraId="012610D8" w14:textId="4D309E5E" w:rsidR="006550A7" w:rsidRPr="005C0CB8" w:rsidRDefault="006550A7" w:rsidP="00810821">
            <w:pPr>
              <w:rPr>
                <w:sz w:val="22"/>
                <w:szCs w:val="22"/>
              </w:rPr>
            </w:pPr>
            <w:r w:rsidRPr="005C0CB8">
              <w:rPr>
                <w:sz w:val="22"/>
                <w:szCs w:val="22"/>
              </w:rPr>
              <w:t>Total Risk-based Capital</w:t>
            </w:r>
          </w:p>
        </w:tc>
        <w:tc>
          <w:tcPr>
            <w:tcW w:w="1710" w:type="dxa"/>
            <w:tcBorders>
              <w:bottom w:val="single" w:sz="4" w:space="0" w:color="auto"/>
            </w:tcBorders>
          </w:tcPr>
          <w:p w14:paraId="2C60D343" w14:textId="749BB9A0" w:rsidR="006550A7" w:rsidRPr="005C0CB8" w:rsidRDefault="006550A7" w:rsidP="00810821">
            <w:pPr>
              <w:jc w:val="center"/>
              <w:rPr>
                <w:sz w:val="22"/>
                <w:szCs w:val="22"/>
              </w:rPr>
            </w:pPr>
            <w:r w:rsidRPr="005C0CB8">
              <w:rPr>
                <w:sz w:val="22"/>
                <w:szCs w:val="22"/>
              </w:rPr>
              <w:t>SHUSA</w:t>
            </w:r>
          </w:p>
        </w:tc>
      </w:tr>
      <w:tr w:rsidR="006550A7" w14:paraId="44093D69" w14:textId="77777777" w:rsidTr="00726B1C">
        <w:trPr>
          <w:jc w:val="center"/>
        </w:trPr>
        <w:tc>
          <w:tcPr>
            <w:tcW w:w="2079" w:type="dxa"/>
            <w:vMerge/>
          </w:tcPr>
          <w:p w14:paraId="49A8BD29" w14:textId="77777777" w:rsidR="006550A7" w:rsidRPr="005C0CB8" w:rsidRDefault="006550A7" w:rsidP="00810821">
            <w:pPr>
              <w:rPr>
                <w:b/>
                <w:sz w:val="22"/>
                <w:szCs w:val="22"/>
              </w:rPr>
            </w:pPr>
          </w:p>
        </w:tc>
        <w:tc>
          <w:tcPr>
            <w:tcW w:w="5760" w:type="dxa"/>
            <w:tcBorders>
              <w:bottom w:val="single" w:sz="4" w:space="0" w:color="auto"/>
            </w:tcBorders>
          </w:tcPr>
          <w:p w14:paraId="696DB79E" w14:textId="08EB6B48" w:rsidR="006550A7" w:rsidRPr="005C0CB8" w:rsidRDefault="006550A7" w:rsidP="00810821">
            <w:pPr>
              <w:rPr>
                <w:sz w:val="22"/>
                <w:szCs w:val="22"/>
              </w:rPr>
            </w:pPr>
            <w:r w:rsidRPr="005C0CB8">
              <w:rPr>
                <w:sz w:val="22"/>
                <w:szCs w:val="22"/>
              </w:rPr>
              <w:t>Tier 1 Leverage</w:t>
            </w:r>
          </w:p>
        </w:tc>
        <w:tc>
          <w:tcPr>
            <w:tcW w:w="1710" w:type="dxa"/>
            <w:tcBorders>
              <w:bottom w:val="single" w:sz="4" w:space="0" w:color="auto"/>
            </w:tcBorders>
          </w:tcPr>
          <w:p w14:paraId="312A0D8E" w14:textId="152D15EE" w:rsidR="006550A7" w:rsidRPr="005C0CB8" w:rsidRDefault="006550A7" w:rsidP="00810821">
            <w:pPr>
              <w:jc w:val="center"/>
              <w:rPr>
                <w:sz w:val="22"/>
                <w:szCs w:val="22"/>
              </w:rPr>
            </w:pPr>
            <w:r w:rsidRPr="005C0CB8">
              <w:rPr>
                <w:sz w:val="22"/>
                <w:szCs w:val="22"/>
              </w:rPr>
              <w:t>SHUSA</w:t>
            </w:r>
          </w:p>
        </w:tc>
      </w:tr>
      <w:tr w:rsidR="006550A7" w14:paraId="22FD2020" w14:textId="77777777" w:rsidTr="00726B1C">
        <w:trPr>
          <w:jc w:val="center"/>
        </w:trPr>
        <w:tc>
          <w:tcPr>
            <w:tcW w:w="2079" w:type="dxa"/>
            <w:vMerge/>
          </w:tcPr>
          <w:p w14:paraId="3185B638" w14:textId="77777777" w:rsidR="006550A7" w:rsidRPr="005C0CB8" w:rsidRDefault="006550A7" w:rsidP="00810821">
            <w:pPr>
              <w:rPr>
                <w:b/>
                <w:sz w:val="22"/>
                <w:szCs w:val="22"/>
              </w:rPr>
            </w:pPr>
          </w:p>
        </w:tc>
        <w:tc>
          <w:tcPr>
            <w:tcW w:w="5760" w:type="dxa"/>
            <w:tcBorders>
              <w:top w:val="single" w:sz="4" w:space="0" w:color="auto"/>
              <w:bottom w:val="single" w:sz="4" w:space="0" w:color="auto"/>
            </w:tcBorders>
          </w:tcPr>
          <w:p w14:paraId="71AC4A59" w14:textId="4A7F5F54" w:rsidR="006550A7" w:rsidRPr="005C0CB8" w:rsidRDefault="006550A7" w:rsidP="00810821">
            <w:pPr>
              <w:rPr>
                <w:sz w:val="22"/>
                <w:szCs w:val="22"/>
              </w:rPr>
            </w:pPr>
            <w:r w:rsidRPr="005C0CB8">
              <w:rPr>
                <w:sz w:val="22"/>
                <w:szCs w:val="22"/>
              </w:rPr>
              <w:t>Tier 1 Risk-based Capital</w:t>
            </w:r>
          </w:p>
        </w:tc>
        <w:tc>
          <w:tcPr>
            <w:tcW w:w="1710" w:type="dxa"/>
            <w:tcBorders>
              <w:top w:val="single" w:sz="4" w:space="0" w:color="auto"/>
              <w:bottom w:val="single" w:sz="4" w:space="0" w:color="auto"/>
            </w:tcBorders>
          </w:tcPr>
          <w:p w14:paraId="79AD2786" w14:textId="7DAF0707" w:rsidR="006550A7" w:rsidRPr="005C0CB8" w:rsidRDefault="006550A7" w:rsidP="00810821">
            <w:pPr>
              <w:jc w:val="center"/>
              <w:rPr>
                <w:sz w:val="22"/>
                <w:szCs w:val="22"/>
              </w:rPr>
            </w:pPr>
            <w:r w:rsidRPr="005C0CB8">
              <w:rPr>
                <w:sz w:val="22"/>
                <w:szCs w:val="22"/>
              </w:rPr>
              <w:t>SHUSA</w:t>
            </w:r>
          </w:p>
        </w:tc>
      </w:tr>
      <w:tr w:rsidR="006550A7" w14:paraId="4D60A09A" w14:textId="77777777" w:rsidTr="00726B1C">
        <w:trPr>
          <w:jc w:val="center"/>
        </w:trPr>
        <w:tc>
          <w:tcPr>
            <w:tcW w:w="2079" w:type="dxa"/>
            <w:vMerge/>
          </w:tcPr>
          <w:p w14:paraId="232CB045" w14:textId="77777777" w:rsidR="006550A7" w:rsidRPr="005C0CB8" w:rsidRDefault="006550A7" w:rsidP="00810821">
            <w:pPr>
              <w:rPr>
                <w:b/>
                <w:sz w:val="22"/>
                <w:szCs w:val="22"/>
              </w:rPr>
            </w:pPr>
          </w:p>
        </w:tc>
        <w:tc>
          <w:tcPr>
            <w:tcW w:w="5760" w:type="dxa"/>
            <w:tcBorders>
              <w:top w:val="single" w:sz="4" w:space="0" w:color="auto"/>
              <w:bottom w:val="single" w:sz="4" w:space="0" w:color="auto"/>
            </w:tcBorders>
          </w:tcPr>
          <w:p w14:paraId="0473137F" w14:textId="20BA77CA" w:rsidR="006550A7" w:rsidRPr="005C0CB8" w:rsidRDefault="006550A7" w:rsidP="00810821">
            <w:pPr>
              <w:rPr>
                <w:sz w:val="22"/>
                <w:szCs w:val="22"/>
              </w:rPr>
            </w:pPr>
            <w:r w:rsidRPr="005C0CB8">
              <w:rPr>
                <w:sz w:val="22"/>
                <w:szCs w:val="22"/>
              </w:rPr>
              <w:t>PPNR Impairment  (CCAR 9Q)</w:t>
            </w:r>
          </w:p>
        </w:tc>
        <w:tc>
          <w:tcPr>
            <w:tcW w:w="1710" w:type="dxa"/>
            <w:tcBorders>
              <w:top w:val="single" w:sz="4" w:space="0" w:color="auto"/>
              <w:bottom w:val="single" w:sz="4" w:space="0" w:color="auto"/>
            </w:tcBorders>
          </w:tcPr>
          <w:p w14:paraId="4DBFAD1A" w14:textId="2C923668" w:rsidR="006550A7" w:rsidRPr="005C0CB8" w:rsidRDefault="006550A7" w:rsidP="00810821">
            <w:pPr>
              <w:jc w:val="center"/>
              <w:rPr>
                <w:sz w:val="22"/>
                <w:szCs w:val="22"/>
              </w:rPr>
            </w:pPr>
            <w:r w:rsidRPr="005C0CB8">
              <w:rPr>
                <w:sz w:val="22"/>
                <w:szCs w:val="22"/>
              </w:rPr>
              <w:t>SHUSA</w:t>
            </w:r>
          </w:p>
        </w:tc>
      </w:tr>
      <w:tr w:rsidR="006550A7" w14:paraId="63272CDB" w14:textId="77777777" w:rsidTr="00726B1C">
        <w:trPr>
          <w:jc w:val="center"/>
        </w:trPr>
        <w:tc>
          <w:tcPr>
            <w:tcW w:w="2079" w:type="dxa"/>
            <w:vMerge/>
          </w:tcPr>
          <w:p w14:paraId="0ED36342" w14:textId="77777777" w:rsidR="006550A7" w:rsidRPr="005C0CB8" w:rsidRDefault="006550A7" w:rsidP="00810821">
            <w:pPr>
              <w:rPr>
                <w:b/>
                <w:sz w:val="22"/>
                <w:szCs w:val="22"/>
              </w:rPr>
            </w:pPr>
          </w:p>
        </w:tc>
        <w:tc>
          <w:tcPr>
            <w:tcW w:w="5760" w:type="dxa"/>
            <w:tcBorders>
              <w:top w:val="single" w:sz="4" w:space="0" w:color="auto"/>
              <w:bottom w:val="single" w:sz="4" w:space="0" w:color="auto"/>
            </w:tcBorders>
          </w:tcPr>
          <w:p w14:paraId="5E938F33" w14:textId="003E0C33" w:rsidR="006550A7" w:rsidRPr="005C0CB8" w:rsidRDefault="006550A7" w:rsidP="00810821">
            <w:pPr>
              <w:rPr>
                <w:sz w:val="22"/>
                <w:szCs w:val="22"/>
              </w:rPr>
            </w:pPr>
            <w:r w:rsidRPr="005C0CB8">
              <w:rPr>
                <w:sz w:val="22"/>
                <w:szCs w:val="22"/>
              </w:rPr>
              <w:t>Loss in Stress</w:t>
            </w:r>
          </w:p>
        </w:tc>
        <w:tc>
          <w:tcPr>
            <w:tcW w:w="1710" w:type="dxa"/>
            <w:tcBorders>
              <w:top w:val="single" w:sz="4" w:space="0" w:color="auto"/>
              <w:bottom w:val="single" w:sz="4" w:space="0" w:color="auto"/>
            </w:tcBorders>
          </w:tcPr>
          <w:p w14:paraId="5DE98885" w14:textId="6766C0E3" w:rsidR="006550A7" w:rsidRPr="005C0CB8" w:rsidRDefault="006550A7" w:rsidP="00810821">
            <w:pPr>
              <w:jc w:val="center"/>
              <w:rPr>
                <w:sz w:val="22"/>
                <w:szCs w:val="22"/>
              </w:rPr>
            </w:pPr>
            <w:r w:rsidRPr="005C0CB8">
              <w:rPr>
                <w:sz w:val="22"/>
                <w:szCs w:val="22"/>
              </w:rPr>
              <w:t>SHUSA</w:t>
            </w:r>
          </w:p>
        </w:tc>
      </w:tr>
      <w:tr w:rsidR="006550A7" w14:paraId="708AD418" w14:textId="77777777" w:rsidTr="00726B1C">
        <w:trPr>
          <w:jc w:val="center"/>
        </w:trPr>
        <w:tc>
          <w:tcPr>
            <w:tcW w:w="2079" w:type="dxa"/>
            <w:vMerge/>
          </w:tcPr>
          <w:p w14:paraId="66AECDC9" w14:textId="77777777" w:rsidR="006550A7" w:rsidRPr="005C0CB8" w:rsidRDefault="006550A7" w:rsidP="00810821">
            <w:pPr>
              <w:rPr>
                <w:b/>
                <w:sz w:val="22"/>
                <w:szCs w:val="22"/>
              </w:rPr>
            </w:pPr>
          </w:p>
        </w:tc>
        <w:tc>
          <w:tcPr>
            <w:tcW w:w="5760" w:type="dxa"/>
            <w:tcBorders>
              <w:top w:val="single" w:sz="4" w:space="0" w:color="auto"/>
              <w:bottom w:val="single" w:sz="4" w:space="0" w:color="auto"/>
            </w:tcBorders>
          </w:tcPr>
          <w:p w14:paraId="5B197D2C" w14:textId="6C02C5CA" w:rsidR="006550A7" w:rsidRPr="005C0CB8" w:rsidRDefault="006550A7" w:rsidP="00810821">
            <w:pPr>
              <w:rPr>
                <w:sz w:val="22"/>
                <w:szCs w:val="22"/>
              </w:rPr>
            </w:pPr>
            <w:r w:rsidRPr="005C0CB8">
              <w:rPr>
                <w:sz w:val="22"/>
                <w:szCs w:val="22"/>
              </w:rPr>
              <w:t>SC Total RWA</w:t>
            </w:r>
          </w:p>
        </w:tc>
        <w:tc>
          <w:tcPr>
            <w:tcW w:w="1710" w:type="dxa"/>
            <w:tcBorders>
              <w:top w:val="single" w:sz="4" w:space="0" w:color="auto"/>
              <w:bottom w:val="single" w:sz="4" w:space="0" w:color="auto"/>
            </w:tcBorders>
          </w:tcPr>
          <w:p w14:paraId="7BE3E310" w14:textId="416AD23D" w:rsidR="006550A7" w:rsidRPr="005C0CB8" w:rsidRDefault="006550A7" w:rsidP="00810821">
            <w:pPr>
              <w:jc w:val="center"/>
              <w:rPr>
                <w:sz w:val="22"/>
                <w:szCs w:val="22"/>
              </w:rPr>
            </w:pPr>
            <w:r w:rsidRPr="005C0CB8">
              <w:rPr>
                <w:sz w:val="22"/>
                <w:szCs w:val="22"/>
              </w:rPr>
              <w:t>SC</w:t>
            </w:r>
          </w:p>
        </w:tc>
      </w:tr>
      <w:tr w:rsidR="006550A7" w14:paraId="202C8401" w14:textId="77777777" w:rsidTr="00726B1C">
        <w:trPr>
          <w:jc w:val="center"/>
        </w:trPr>
        <w:tc>
          <w:tcPr>
            <w:tcW w:w="2079" w:type="dxa"/>
            <w:vMerge w:val="restart"/>
            <w:tcBorders>
              <w:top w:val="single" w:sz="18" w:space="0" w:color="auto"/>
            </w:tcBorders>
          </w:tcPr>
          <w:p w14:paraId="0FAF58BE" w14:textId="3A1051BE" w:rsidR="006550A7" w:rsidRPr="005C0CB8" w:rsidRDefault="006550A7" w:rsidP="00810821">
            <w:pPr>
              <w:rPr>
                <w:b/>
                <w:sz w:val="22"/>
                <w:szCs w:val="22"/>
              </w:rPr>
            </w:pPr>
            <w:r w:rsidRPr="005C0CB8">
              <w:rPr>
                <w:b/>
                <w:sz w:val="22"/>
                <w:szCs w:val="22"/>
              </w:rPr>
              <w:t>Credit risk (losses)</w:t>
            </w:r>
          </w:p>
        </w:tc>
        <w:tc>
          <w:tcPr>
            <w:tcW w:w="5760" w:type="dxa"/>
            <w:tcBorders>
              <w:top w:val="single" w:sz="18" w:space="0" w:color="auto"/>
            </w:tcBorders>
          </w:tcPr>
          <w:p w14:paraId="54EC3B34" w14:textId="127FC6A2" w:rsidR="006550A7" w:rsidRPr="005C0CB8" w:rsidRDefault="006550A7" w:rsidP="00810821">
            <w:pPr>
              <w:rPr>
                <w:sz w:val="22"/>
                <w:szCs w:val="22"/>
              </w:rPr>
            </w:pPr>
            <w:r w:rsidRPr="005C0CB8">
              <w:rPr>
                <w:sz w:val="22"/>
                <w:szCs w:val="22"/>
              </w:rPr>
              <w:t>Total Credit Losses (CCAR 9Q)</w:t>
            </w:r>
          </w:p>
        </w:tc>
        <w:tc>
          <w:tcPr>
            <w:tcW w:w="1710" w:type="dxa"/>
            <w:tcBorders>
              <w:top w:val="single" w:sz="18" w:space="0" w:color="auto"/>
            </w:tcBorders>
          </w:tcPr>
          <w:p w14:paraId="05A80CFD" w14:textId="4AF3FB22" w:rsidR="006550A7" w:rsidRPr="005C0CB8" w:rsidRDefault="006550A7" w:rsidP="00810821">
            <w:pPr>
              <w:jc w:val="center"/>
              <w:rPr>
                <w:sz w:val="22"/>
                <w:szCs w:val="22"/>
              </w:rPr>
            </w:pPr>
            <w:r w:rsidRPr="005C0CB8">
              <w:rPr>
                <w:sz w:val="22"/>
                <w:szCs w:val="22"/>
              </w:rPr>
              <w:t>SHUSA</w:t>
            </w:r>
          </w:p>
        </w:tc>
      </w:tr>
      <w:tr w:rsidR="006550A7" w14:paraId="68FD0BE6" w14:textId="77777777" w:rsidTr="00726B1C">
        <w:trPr>
          <w:jc w:val="center"/>
        </w:trPr>
        <w:tc>
          <w:tcPr>
            <w:tcW w:w="2079" w:type="dxa"/>
            <w:vMerge/>
          </w:tcPr>
          <w:p w14:paraId="66D0F04E" w14:textId="77777777" w:rsidR="006550A7" w:rsidRPr="005C0CB8" w:rsidRDefault="006550A7" w:rsidP="00810821">
            <w:pPr>
              <w:rPr>
                <w:b/>
                <w:sz w:val="22"/>
                <w:szCs w:val="22"/>
              </w:rPr>
            </w:pPr>
          </w:p>
        </w:tc>
        <w:tc>
          <w:tcPr>
            <w:tcW w:w="5760" w:type="dxa"/>
          </w:tcPr>
          <w:p w14:paraId="789FC749" w14:textId="0CF62FBB" w:rsidR="006550A7" w:rsidRPr="005C0CB8" w:rsidRDefault="006550A7" w:rsidP="00810821">
            <w:pPr>
              <w:rPr>
                <w:sz w:val="22"/>
                <w:szCs w:val="22"/>
              </w:rPr>
            </w:pPr>
            <w:r w:rsidRPr="005C0CB8">
              <w:rPr>
                <w:sz w:val="22"/>
                <w:szCs w:val="22"/>
              </w:rPr>
              <w:t>Net Charge-off Rate</w:t>
            </w:r>
          </w:p>
        </w:tc>
        <w:tc>
          <w:tcPr>
            <w:tcW w:w="1710" w:type="dxa"/>
          </w:tcPr>
          <w:p w14:paraId="24AD2B64" w14:textId="5B91CD62" w:rsidR="006550A7" w:rsidRPr="005C0CB8" w:rsidRDefault="006550A7" w:rsidP="00810821">
            <w:pPr>
              <w:jc w:val="center"/>
              <w:rPr>
                <w:sz w:val="22"/>
                <w:szCs w:val="22"/>
              </w:rPr>
            </w:pPr>
            <w:r w:rsidRPr="005C0CB8">
              <w:rPr>
                <w:sz w:val="22"/>
                <w:szCs w:val="22"/>
              </w:rPr>
              <w:t>SBNA, SC, BSPR</w:t>
            </w:r>
          </w:p>
        </w:tc>
      </w:tr>
      <w:tr w:rsidR="006550A7" w14:paraId="0E10FC0A" w14:textId="77777777" w:rsidTr="00726B1C">
        <w:trPr>
          <w:jc w:val="center"/>
        </w:trPr>
        <w:tc>
          <w:tcPr>
            <w:tcW w:w="2079" w:type="dxa"/>
            <w:vMerge/>
          </w:tcPr>
          <w:p w14:paraId="4EBE697E" w14:textId="77777777" w:rsidR="006550A7" w:rsidRPr="005C0CB8" w:rsidRDefault="006550A7" w:rsidP="00810821">
            <w:pPr>
              <w:rPr>
                <w:b/>
                <w:sz w:val="22"/>
                <w:szCs w:val="22"/>
              </w:rPr>
            </w:pPr>
          </w:p>
        </w:tc>
        <w:tc>
          <w:tcPr>
            <w:tcW w:w="5760" w:type="dxa"/>
          </w:tcPr>
          <w:p w14:paraId="79E1F909" w14:textId="7B655F37" w:rsidR="006550A7" w:rsidRPr="005C0CB8" w:rsidRDefault="00810821" w:rsidP="00810821">
            <w:pPr>
              <w:rPr>
                <w:sz w:val="22"/>
                <w:szCs w:val="22"/>
              </w:rPr>
            </w:pPr>
            <w:r w:rsidRPr="005C0CB8">
              <w:rPr>
                <w:sz w:val="22"/>
                <w:szCs w:val="22"/>
              </w:rPr>
              <w:t xml:space="preserve">60/61+ DPD Rate </w:t>
            </w:r>
          </w:p>
        </w:tc>
        <w:tc>
          <w:tcPr>
            <w:tcW w:w="1710" w:type="dxa"/>
          </w:tcPr>
          <w:p w14:paraId="6D1BCE8B" w14:textId="7B02B3FE" w:rsidR="006550A7" w:rsidRPr="005C0CB8" w:rsidRDefault="00810821" w:rsidP="00810821">
            <w:pPr>
              <w:jc w:val="center"/>
              <w:rPr>
                <w:sz w:val="22"/>
                <w:szCs w:val="22"/>
              </w:rPr>
            </w:pPr>
            <w:r w:rsidRPr="005C0CB8">
              <w:rPr>
                <w:sz w:val="22"/>
                <w:szCs w:val="22"/>
              </w:rPr>
              <w:t>SBNA, SC, BSPR</w:t>
            </w:r>
          </w:p>
        </w:tc>
      </w:tr>
      <w:tr w:rsidR="00810821" w14:paraId="11287729" w14:textId="77777777" w:rsidTr="00726B1C">
        <w:trPr>
          <w:jc w:val="center"/>
        </w:trPr>
        <w:tc>
          <w:tcPr>
            <w:tcW w:w="2079" w:type="dxa"/>
            <w:vMerge w:val="restart"/>
          </w:tcPr>
          <w:p w14:paraId="3CA1CFBE" w14:textId="13796BC7" w:rsidR="00810821" w:rsidRPr="005C0CB8" w:rsidRDefault="00810821" w:rsidP="00810821">
            <w:pPr>
              <w:rPr>
                <w:b/>
                <w:sz w:val="22"/>
                <w:szCs w:val="22"/>
              </w:rPr>
            </w:pPr>
            <w:r w:rsidRPr="005C0CB8">
              <w:rPr>
                <w:b/>
                <w:sz w:val="22"/>
                <w:szCs w:val="22"/>
              </w:rPr>
              <w:t xml:space="preserve">Credit risk (concentration) </w:t>
            </w:r>
          </w:p>
        </w:tc>
        <w:tc>
          <w:tcPr>
            <w:tcW w:w="5760" w:type="dxa"/>
          </w:tcPr>
          <w:p w14:paraId="26AB8A23" w14:textId="342871CF" w:rsidR="00810821" w:rsidRPr="005C0CB8" w:rsidRDefault="00810821" w:rsidP="00810821">
            <w:pPr>
              <w:rPr>
                <w:sz w:val="22"/>
                <w:szCs w:val="22"/>
              </w:rPr>
            </w:pPr>
            <w:r w:rsidRPr="005C0CB8">
              <w:rPr>
                <w:sz w:val="22"/>
                <w:szCs w:val="22"/>
              </w:rPr>
              <w:t>Single Obligor Exposure (Corporates &amp; FI)</w:t>
            </w:r>
          </w:p>
        </w:tc>
        <w:tc>
          <w:tcPr>
            <w:tcW w:w="1710" w:type="dxa"/>
          </w:tcPr>
          <w:p w14:paraId="1DDF1996" w14:textId="0EA2D4BD" w:rsidR="00810821" w:rsidRPr="005C0CB8" w:rsidRDefault="00810821" w:rsidP="00810821">
            <w:pPr>
              <w:jc w:val="center"/>
              <w:rPr>
                <w:sz w:val="22"/>
                <w:szCs w:val="22"/>
              </w:rPr>
            </w:pPr>
            <w:r w:rsidRPr="005C0CB8">
              <w:rPr>
                <w:sz w:val="22"/>
                <w:szCs w:val="22"/>
              </w:rPr>
              <w:t>SBNA</w:t>
            </w:r>
          </w:p>
        </w:tc>
      </w:tr>
      <w:tr w:rsidR="00810821" w14:paraId="39B4CAD5" w14:textId="77777777" w:rsidTr="00726B1C">
        <w:trPr>
          <w:jc w:val="center"/>
        </w:trPr>
        <w:tc>
          <w:tcPr>
            <w:tcW w:w="2079" w:type="dxa"/>
            <w:vMerge/>
          </w:tcPr>
          <w:p w14:paraId="58701445" w14:textId="77777777" w:rsidR="00810821" w:rsidRPr="005C0CB8" w:rsidRDefault="00810821" w:rsidP="00810821">
            <w:pPr>
              <w:rPr>
                <w:b/>
                <w:sz w:val="22"/>
                <w:szCs w:val="22"/>
              </w:rPr>
            </w:pPr>
          </w:p>
        </w:tc>
        <w:tc>
          <w:tcPr>
            <w:tcW w:w="5760" w:type="dxa"/>
          </w:tcPr>
          <w:p w14:paraId="5EC673A1" w14:textId="0929652F" w:rsidR="00810821" w:rsidRPr="005C0CB8" w:rsidRDefault="00810821" w:rsidP="00810821">
            <w:pPr>
              <w:rPr>
                <w:sz w:val="22"/>
                <w:szCs w:val="22"/>
              </w:rPr>
            </w:pPr>
            <w:r w:rsidRPr="005C0CB8">
              <w:rPr>
                <w:sz w:val="22"/>
                <w:szCs w:val="22"/>
              </w:rPr>
              <w:t>Top 20 Corporate Exposure</w:t>
            </w:r>
          </w:p>
        </w:tc>
        <w:tc>
          <w:tcPr>
            <w:tcW w:w="1710" w:type="dxa"/>
          </w:tcPr>
          <w:p w14:paraId="7E4EDC26" w14:textId="141B6A3C" w:rsidR="00810821" w:rsidRPr="005C0CB8" w:rsidRDefault="00810821" w:rsidP="00810821">
            <w:pPr>
              <w:jc w:val="center"/>
              <w:rPr>
                <w:sz w:val="22"/>
                <w:szCs w:val="22"/>
              </w:rPr>
            </w:pPr>
            <w:r w:rsidRPr="005C0CB8">
              <w:rPr>
                <w:sz w:val="22"/>
                <w:szCs w:val="22"/>
              </w:rPr>
              <w:t>SBNA</w:t>
            </w:r>
          </w:p>
        </w:tc>
      </w:tr>
      <w:tr w:rsidR="00810821" w14:paraId="445E4CA1" w14:textId="77777777" w:rsidTr="00726B1C">
        <w:trPr>
          <w:jc w:val="center"/>
        </w:trPr>
        <w:tc>
          <w:tcPr>
            <w:tcW w:w="2079" w:type="dxa"/>
            <w:vMerge/>
          </w:tcPr>
          <w:p w14:paraId="67D61E60" w14:textId="77777777" w:rsidR="00810821" w:rsidRPr="005C0CB8" w:rsidRDefault="00810821" w:rsidP="00810821">
            <w:pPr>
              <w:rPr>
                <w:b/>
                <w:sz w:val="22"/>
                <w:szCs w:val="22"/>
              </w:rPr>
            </w:pPr>
          </w:p>
        </w:tc>
        <w:tc>
          <w:tcPr>
            <w:tcW w:w="5760" w:type="dxa"/>
          </w:tcPr>
          <w:p w14:paraId="1C583047" w14:textId="7F3533D9" w:rsidR="00810821" w:rsidRPr="005C0CB8" w:rsidRDefault="00810821" w:rsidP="00810821">
            <w:pPr>
              <w:rPr>
                <w:sz w:val="22"/>
                <w:szCs w:val="22"/>
              </w:rPr>
            </w:pPr>
            <w:r w:rsidRPr="005C0CB8">
              <w:rPr>
                <w:sz w:val="22"/>
                <w:szCs w:val="22"/>
              </w:rPr>
              <w:t>Obligor Rating Exposure</w:t>
            </w:r>
          </w:p>
        </w:tc>
        <w:tc>
          <w:tcPr>
            <w:tcW w:w="1710" w:type="dxa"/>
          </w:tcPr>
          <w:p w14:paraId="7E40E0BE" w14:textId="2408533B" w:rsidR="00810821" w:rsidRPr="005C0CB8" w:rsidRDefault="00810821" w:rsidP="00810821">
            <w:pPr>
              <w:jc w:val="center"/>
              <w:rPr>
                <w:sz w:val="22"/>
                <w:szCs w:val="22"/>
              </w:rPr>
            </w:pPr>
            <w:r w:rsidRPr="005C0CB8">
              <w:rPr>
                <w:sz w:val="22"/>
                <w:szCs w:val="22"/>
              </w:rPr>
              <w:t>SBNA</w:t>
            </w:r>
          </w:p>
        </w:tc>
      </w:tr>
      <w:tr w:rsidR="00810821" w14:paraId="4F18EEBE" w14:textId="77777777" w:rsidTr="00726B1C">
        <w:trPr>
          <w:jc w:val="center"/>
        </w:trPr>
        <w:tc>
          <w:tcPr>
            <w:tcW w:w="2079" w:type="dxa"/>
            <w:vMerge/>
          </w:tcPr>
          <w:p w14:paraId="70AE9E44" w14:textId="70B327BC" w:rsidR="00810821" w:rsidRPr="005C0CB8" w:rsidRDefault="00810821" w:rsidP="00810821">
            <w:pPr>
              <w:rPr>
                <w:b/>
                <w:sz w:val="22"/>
                <w:szCs w:val="22"/>
              </w:rPr>
            </w:pPr>
          </w:p>
        </w:tc>
        <w:tc>
          <w:tcPr>
            <w:tcW w:w="5760" w:type="dxa"/>
            <w:tcBorders>
              <w:bottom w:val="single" w:sz="4" w:space="0" w:color="auto"/>
            </w:tcBorders>
          </w:tcPr>
          <w:p w14:paraId="75FA987A" w14:textId="6E6DC2B1" w:rsidR="00810821" w:rsidRPr="005C0CB8" w:rsidRDefault="00810821" w:rsidP="00810821">
            <w:pPr>
              <w:rPr>
                <w:sz w:val="22"/>
                <w:szCs w:val="22"/>
              </w:rPr>
            </w:pPr>
            <w:r w:rsidRPr="005C0CB8">
              <w:rPr>
                <w:sz w:val="22"/>
                <w:szCs w:val="22"/>
              </w:rPr>
              <w:t>Industry Exposure</w:t>
            </w:r>
          </w:p>
        </w:tc>
        <w:tc>
          <w:tcPr>
            <w:tcW w:w="1710" w:type="dxa"/>
            <w:tcBorders>
              <w:bottom w:val="single" w:sz="4" w:space="0" w:color="auto"/>
            </w:tcBorders>
          </w:tcPr>
          <w:p w14:paraId="29B8713D" w14:textId="03D2EC5A" w:rsidR="00810821" w:rsidRPr="005C0CB8" w:rsidRDefault="00810821" w:rsidP="00810821">
            <w:pPr>
              <w:jc w:val="center"/>
              <w:rPr>
                <w:sz w:val="22"/>
                <w:szCs w:val="22"/>
              </w:rPr>
            </w:pPr>
            <w:r w:rsidRPr="005C0CB8">
              <w:rPr>
                <w:sz w:val="22"/>
                <w:szCs w:val="22"/>
              </w:rPr>
              <w:t>SBNA</w:t>
            </w:r>
          </w:p>
        </w:tc>
      </w:tr>
      <w:tr w:rsidR="00810821" w14:paraId="2762DDD4" w14:textId="77777777" w:rsidTr="00726B1C">
        <w:trPr>
          <w:jc w:val="center"/>
        </w:trPr>
        <w:tc>
          <w:tcPr>
            <w:tcW w:w="2079" w:type="dxa"/>
            <w:vMerge/>
          </w:tcPr>
          <w:p w14:paraId="0A8BD71A" w14:textId="77777777" w:rsidR="00810821" w:rsidRPr="005C0CB8" w:rsidRDefault="00810821" w:rsidP="00810821">
            <w:pPr>
              <w:rPr>
                <w:b/>
                <w:sz w:val="22"/>
                <w:szCs w:val="22"/>
              </w:rPr>
            </w:pPr>
          </w:p>
        </w:tc>
        <w:tc>
          <w:tcPr>
            <w:tcW w:w="5760" w:type="dxa"/>
            <w:tcBorders>
              <w:bottom w:val="single" w:sz="4" w:space="0" w:color="auto"/>
            </w:tcBorders>
          </w:tcPr>
          <w:p w14:paraId="31C7BF63" w14:textId="4DC1E979" w:rsidR="00810821" w:rsidRPr="005C0CB8" w:rsidRDefault="00810821" w:rsidP="00810821">
            <w:pPr>
              <w:rPr>
                <w:sz w:val="22"/>
                <w:szCs w:val="22"/>
              </w:rPr>
            </w:pPr>
            <w:r w:rsidRPr="005C0CB8">
              <w:rPr>
                <w:sz w:val="22"/>
                <w:szCs w:val="22"/>
              </w:rPr>
              <w:t xml:space="preserve">Finance &amp; Insurance Exposure </w:t>
            </w:r>
          </w:p>
        </w:tc>
        <w:tc>
          <w:tcPr>
            <w:tcW w:w="1710" w:type="dxa"/>
            <w:tcBorders>
              <w:bottom w:val="single" w:sz="4" w:space="0" w:color="auto"/>
            </w:tcBorders>
          </w:tcPr>
          <w:p w14:paraId="5706029E" w14:textId="2326AA50" w:rsidR="00810821" w:rsidRPr="005C0CB8" w:rsidRDefault="00810821" w:rsidP="00810821">
            <w:pPr>
              <w:jc w:val="center"/>
              <w:rPr>
                <w:sz w:val="22"/>
                <w:szCs w:val="22"/>
              </w:rPr>
            </w:pPr>
            <w:r w:rsidRPr="005C0CB8">
              <w:rPr>
                <w:sz w:val="22"/>
                <w:szCs w:val="22"/>
              </w:rPr>
              <w:t xml:space="preserve">SBNA </w:t>
            </w:r>
          </w:p>
        </w:tc>
      </w:tr>
      <w:tr w:rsidR="00DB2B0B" w14:paraId="60D332C2" w14:textId="77777777" w:rsidTr="00726B1C">
        <w:trPr>
          <w:jc w:val="center"/>
        </w:trPr>
        <w:tc>
          <w:tcPr>
            <w:tcW w:w="2079" w:type="dxa"/>
            <w:vMerge/>
          </w:tcPr>
          <w:p w14:paraId="0309C540" w14:textId="77777777" w:rsidR="00DB2B0B" w:rsidRPr="005C0CB8" w:rsidRDefault="00DB2B0B" w:rsidP="00810821">
            <w:pPr>
              <w:rPr>
                <w:b/>
              </w:rPr>
            </w:pPr>
          </w:p>
        </w:tc>
        <w:tc>
          <w:tcPr>
            <w:tcW w:w="5760" w:type="dxa"/>
            <w:tcBorders>
              <w:bottom w:val="single" w:sz="4" w:space="0" w:color="auto"/>
            </w:tcBorders>
          </w:tcPr>
          <w:p w14:paraId="28E0DE93" w14:textId="214F363D" w:rsidR="00DB2B0B" w:rsidRPr="005C0CB8" w:rsidRDefault="00DB2B0B" w:rsidP="00810821">
            <w:r>
              <w:t xml:space="preserve">Utilities </w:t>
            </w:r>
          </w:p>
        </w:tc>
        <w:tc>
          <w:tcPr>
            <w:tcW w:w="1710" w:type="dxa"/>
            <w:tcBorders>
              <w:bottom w:val="single" w:sz="4" w:space="0" w:color="auto"/>
            </w:tcBorders>
          </w:tcPr>
          <w:p w14:paraId="55C77B54" w14:textId="76E07C00" w:rsidR="00DB2B0B" w:rsidRPr="005C0CB8" w:rsidRDefault="00DB2B0B" w:rsidP="00810821">
            <w:pPr>
              <w:jc w:val="center"/>
            </w:pPr>
            <w:r>
              <w:t>SBNA</w:t>
            </w:r>
          </w:p>
        </w:tc>
      </w:tr>
      <w:tr w:rsidR="00810821" w14:paraId="6BF80538" w14:textId="77777777" w:rsidTr="00726B1C">
        <w:trPr>
          <w:jc w:val="center"/>
        </w:trPr>
        <w:tc>
          <w:tcPr>
            <w:tcW w:w="2079" w:type="dxa"/>
            <w:vMerge/>
          </w:tcPr>
          <w:p w14:paraId="1BAF2940" w14:textId="77777777" w:rsidR="00810821" w:rsidRPr="005C0CB8" w:rsidRDefault="00810821" w:rsidP="00810821">
            <w:pPr>
              <w:rPr>
                <w:b/>
                <w:sz w:val="22"/>
                <w:szCs w:val="22"/>
              </w:rPr>
            </w:pPr>
          </w:p>
        </w:tc>
        <w:tc>
          <w:tcPr>
            <w:tcW w:w="5760" w:type="dxa"/>
            <w:tcBorders>
              <w:bottom w:val="single" w:sz="4" w:space="0" w:color="auto"/>
            </w:tcBorders>
          </w:tcPr>
          <w:p w14:paraId="29CE4622" w14:textId="1D60935C" w:rsidR="00810821" w:rsidRPr="005C0CB8" w:rsidRDefault="00810821" w:rsidP="00810821">
            <w:pPr>
              <w:rPr>
                <w:sz w:val="22"/>
                <w:szCs w:val="22"/>
              </w:rPr>
            </w:pPr>
            <w:r w:rsidRPr="005C0CB8">
              <w:rPr>
                <w:sz w:val="22"/>
                <w:szCs w:val="22"/>
              </w:rPr>
              <w:t>CRE Exposure</w:t>
            </w:r>
          </w:p>
        </w:tc>
        <w:tc>
          <w:tcPr>
            <w:tcW w:w="1710" w:type="dxa"/>
            <w:tcBorders>
              <w:bottom w:val="single" w:sz="4" w:space="0" w:color="auto"/>
            </w:tcBorders>
          </w:tcPr>
          <w:p w14:paraId="69653D92" w14:textId="46DA811B" w:rsidR="00810821" w:rsidRPr="005C0CB8" w:rsidRDefault="00810821" w:rsidP="00810821">
            <w:pPr>
              <w:jc w:val="center"/>
              <w:rPr>
                <w:sz w:val="22"/>
                <w:szCs w:val="22"/>
              </w:rPr>
            </w:pPr>
            <w:r w:rsidRPr="005C0CB8">
              <w:rPr>
                <w:sz w:val="22"/>
                <w:szCs w:val="22"/>
              </w:rPr>
              <w:t>SBNA</w:t>
            </w:r>
          </w:p>
        </w:tc>
      </w:tr>
      <w:tr w:rsidR="00810821" w14:paraId="7AE1A97B" w14:textId="77777777" w:rsidTr="00726B1C">
        <w:trPr>
          <w:jc w:val="center"/>
        </w:trPr>
        <w:tc>
          <w:tcPr>
            <w:tcW w:w="2079" w:type="dxa"/>
            <w:vMerge/>
          </w:tcPr>
          <w:p w14:paraId="24ED26DD" w14:textId="6E8D8955" w:rsidR="00810821" w:rsidRPr="005C0CB8" w:rsidRDefault="00810821" w:rsidP="00810821">
            <w:pPr>
              <w:rPr>
                <w:b/>
                <w:sz w:val="22"/>
                <w:szCs w:val="22"/>
              </w:rPr>
            </w:pPr>
          </w:p>
        </w:tc>
        <w:tc>
          <w:tcPr>
            <w:tcW w:w="5760" w:type="dxa"/>
            <w:tcBorders>
              <w:bottom w:val="single" w:sz="4" w:space="0" w:color="auto"/>
            </w:tcBorders>
          </w:tcPr>
          <w:p w14:paraId="38F8A6F4" w14:textId="4797D322" w:rsidR="00810821" w:rsidRPr="005C0CB8" w:rsidRDefault="00810821" w:rsidP="00810821">
            <w:pPr>
              <w:rPr>
                <w:sz w:val="22"/>
                <w:szCs w:val="22"/>
              </w:rPr>
            </w:pPr>
            <w:r w:rsidRPr="005C0CB8">
              <w:rPr>
                <w:sz w:val="22"/>
                <w:szCs w:val="22"/>
              </w:rPr>
              <w:t>Multifamily Exposure</w:t>
            </w:r>
          </w:p>
        </w:tc>
        <w:tc>
          <w:tcPr>
            <w:tcW w:w="1710" w:type="dxa"/>
            <w:tcBorders>
              <w:bottom w:val="single" w:sz="4" w:space="0" w:color="auto"/>
            </w:tcBorders>
          </w:tcPr>
          <w:p w14:paraId="3629C119" w14:textId="268B8F87" w:rsidR="00810821" w:rsidRPr="005C0CB8" w:rsidRDefault="00810821" w:rsidP="00810821">
            <w:pPr>
              <w:jc w:val="center"/>
              <w:rPr>
                <w:sz w:val="22"/>
                <w:szCs w:val="22"/>
              </w:rPr>
            </w:pPr>
            <w:r w:rsidRPr="005C0CB8">
              <w:rPr>
                <w:sz w:val="22"/>
                <w:szCs w:val="22"/>
              </w:rPr>
              <w:t>SBNA</w:t>
            </w:r>
          </w:p>
        </w:tc>
      </w:tr>
      <w:tr w:rsidR="00810821" w14:paraId="19B4366D" w14:textId="77777777" w:rsidTr="00726B1C">
        <w:trPr>
          <w:jc w:val="center"/>
        </w:trPr>
        <w:tc>
          <w:tcPr>
            <w:tcW w:w="2079" w:type="dxa"/>
            <w:vMerge/>
          </w:tcPr>
          <w:p w14:paraId="4A00211E" w14:textId="77777777" w:rsidR="00810821" w:rsidRPr="005C0CB8" w:rsidRDefault="00810821" w:rsidP="00810821">
            <w:pPr>
              <w:rPr>
                <w:b/>
                <w:sz w:val="22"/>
                <w:szCs w:val="22"/>
              </w:rPr>
            </w:pPr>
          </w:p>
        </w:tc>
        <w:tc>
          <w:tcPr>
            <w:tcW w:w="5760" w:type="dxa"/>
            <w:tcBorders>
              <w:bottom w:val="single" w:sz="4" w:space="0" w:color="auto"/>
            </w:tcBorders>
          </w:tcPr>
          <w:p w14:paraId="02034E19" w14:textId="530DEF28" w:rsidR="00810821" w:rsidRPr="005C0CB8" w:rsidRDefault="00810821" w:rsidP="00810821">
            <w:pPr>
              <w:rPr>
                <w:sz w:val="22"/>
                <w:szCs w:val="22"/>
              </w:rPr>
            </w:pPr>
            <w:r w:rsidRPr="005C0CB8">
              <w:rPr>
                <w:sz w:val="22"/>
                <w:szCs w:val="22"/>
              </w:rPr>
              <w:t xml:space="preserve">Project Finance Exposure </w:t>
            </w:r>
          </w:p>
        </w:tc>
        <w:tc>
          <w:tcPr>
            <w:tcW w:w="1710" w:type="dxa"/>
            <w:tcBorders>
              <w:bottom w:val="single" w:sz="4" w:space="0" w:color="auto"/>
            </w:tcBorders>
          </w:tcPr>
          <w:p w14:paraId="53D7D286" w14:textId="589CA573" w:rsidR="00810821" w:rsidRPr="005C0CB8" w:rsidRDefault="00810821" w:rsidP="00810821">
            <w:pPr>
              <w:jc w:val="center"/>
              <w:rPr>
                <w:sz w:val="22"/>
                <w:szCs w:val="22"/>
              </w:rPr>
            </w:pPr>
            <w:r w:rsidRPr="005C0CB8">
              <w:rPr>
                <w:sz w:val="22"/>
                <w:szCs w:val="22"/>
              </w:rPr>
              <w:t>SBNA</w:t>
            </w:r>
          </w:p>
        </w:tc>
      </w:tr>
      <w:tr w:rsidR="00810821" w14:paraId="25409633" w14:textId="77777777" w:rsidTr="00726B1C">
        <w:trPr>
          <w:jc w:val="center"/>
        </w:trPr>
        <w:tc>
          <w:tcPr>
            <w:tcW w:w="2079" w:type="dxa"/>
            <w:vMerge/>
          </w:tcPr>
          <w:p w14:paraId="3198B29D" w14:textId="77777777" w:rsidR="00810821" w:rsidRPr="005C0CB8" w:rsidRDefault="00810821" w:rsidP="00810821">
            <w:pPr>
              <w:rPr>
                <w:b/>
                <w:sz w:val="22"/>
                <w:szCs w:val="22"/>
              </w:rPr>
            </w:pPr>
          </w:p>
        </w:tc>
        <w:tc>
          <w:tcPr>
            <w:tcW w:w="5760" w:type="dxa"/>
            <w:tcBorders>
              <w:bottom w:val="single" w:sz="4" w:space="0" w:color="auto"/>
            </w:tcBorders>
          </w:tcPr>
          <w:p w14:paraId="4A0901A8" w14:textId="0C841767" w:rsidR="00810821" w:rsidRPr="005C0CB8" w:rsidRDefault="00810821" w:rsidP="00810821">
            <w:pPr>
              <w:rPr>
                <w:sz w:val="22"/>
                <w:szCs w:val="22"/>
              </w:rPr>
            </w:pPr>
            <w:r w:rsidRPr="005C0CB8">
              <w:rPr>
                <w:sz w:val="22"/>
                <w:szCs w:val="22"/>
              </w:rPr>
              <w:t>Public Sector Exposure</w:t>
            </w:r>
          </w:p>
        </w:tc>
        <w:tc>
          <w:tcPr>
            <w:tcW w:w="1710" w:type="dxa"/>
            <w:tcBorders>
              <w:bottom w:val="single" w:sz="4" w:space="0" w:color="auto"/>
            </w:tcBorders>
          </w:tcPr>
          <w:p w14:paraId="569174F4" w14:textId="4282901A" w:rsidR="00810821" w:rsidRPr="005C0CB8" w:rsidRDefault="00810821" w:rsidP="00810821">
            <w:pPr>
              <w:jc w:val="center"/>
              <w:rPr>
                <w:sz w:val="22"/>
                <w:szCs w:val="22"/>
              </w:rPr>
            </w:pPr>
            <w:r w:rsidRPr="005C0CB8">
              <w:rPr>
                <w:sz w:val="22"/>
                <w:szCs w:val="22"/>
              </w:rPr>
              <w:t>BSPR</w:t>
            </w:r>
          </w:p>
        </w:tc>
      </w:tr>
      <w:tr w:rsidR="00810821" w14:paraId="42F2C51F" w14:textId="77777777" w:rsidTr="00726B1C">
        <w:trPr>
          <w:jc w:val="center"/>
        </w:trPr>
        <w:tc>
          <w:tcPr>
            <w:tcW w:w="2079" w:type="dxa"/>
            <w:vMerge/>
          </w:tcPr>
          <w:p w14:paraId="39CEE909" w14:textId="77777777" w:rsidR="00810821" w:rsidRPr="005C0CB8" w:rsidRDefault="00810821" w:rsidP="00810821">
            <w:pPr>
              <w:rPr>
                <w:b/>
                <w:sz w:val="22"/>
                <w:szCs w:val="22"/>
              </w:rPr>
            </w:pPr>
          </w:p>
        </w:tc>
        <w:tc>
          <w:tcPr>
            <w:tcW w:w="5760" w:type="dxa"/>
            <w:tcBorders>
              <w:bottom w:val="single" w:sz="4" w:space="0" w:color="auto"/>
            </w:tcBorders>
          </w:tcPr>
          <w:p w14:paraId="51CED530" w14:textId="762BA0B4" w:rsidR="00810821" w:rsidRPr="005C0CB8" w:rsidRDefault="00810821" w:rsidP="00810821">
            <w:pPr>
              <w:rPr>
                <w:sz w:val="22"/>
                <w:szCs w:val="22"/>
              </w:rPr>
            </w:pPr>
            <w:r w:rsidRPr="005C0CB8">
              <w:rPr>
                <w:sz w:val="22"/>
                <w:szCs w:val="22"/>
              </w:rPr>
              <w:t>SC Subprime Assets as % SHUSA Credit Exposure</w:t>
            </w:r>
          </w:p>
        </w:tc>
        <w:tc>
          <w:tcPr>
            <w:tcW w:w="1710" w:type="dxa"/>
            <w:tcBorders>
              <w:bottom w:val="single" w:sz="4" w:space="0" w:color="auto"/>
            </w:tcBorders>
          </w:tcPr>
          <w:p w14:paraId="06D560E4" w14:textId="02C121B0" w:rsidR="00810821" w:rsidRPr="005C0CB8" w:rsidRDefault="00810821" w:rsidP="00810821">
            <w:pPr>
              <w:jc w:val="center"/>
              <w:rPr>
                <w:sz w:val="22"/>
                <w:szCs w:val="22"/>
              </w:rPr>
            </w:pPr>
            <w:r w:rsidRPr="005C0CB8">
              <w:rPr>
                <w:sz w:val="22"/>
                <w:szCs w:val="22"/>
              </w:rPr>
              <w:t>SC</w:t>
            </w:r>
          </w:p>
        </w:tc>
      </w:tr>
      <w:tr w:rsidR="00810821" w14:paraId="0EFF9CF6" w14:textId="77777777" w:rsidTr="00726B1C">
        <w:trPr>
          <w:jc w:val="center"/>
        </w:trPr>
        <w:tc>
          <w:tcPr>
            <w:tcW w:w="2079" w:type="dxa"/>
            <w:vMerge/>
          </w:tcPr>
          <w:p w14:paraId="76811C3C" w14:textId="77777777" w:rsidR="00810821" w:rsidRPr="005C0CB8" w:rsidRDefault="00810821" w:rsidP="00810821">
            <w:pPr>
              <w:rPr>
                <w:b/>
                <w:sz w:val="22"/>
                <w:szCs w:val="22"/>
              </w:rPr>
            </w:pPr>
          </w:p>
        </w:tc>
        <w:tc>
          <w:tcPr>
            <w:tcW w:w="5760" w:type="dxa"/>
            <w:tcBorders>
              <w:bottom w:val="single" w:sz="4" w:space="0" w:color="auto"/>
            </w:tcBorders>
          </w:tcPr>
          <w:p w14:paraId="5225322A" w14:textId="46362000" w:rsidR="00810821" w:rsidRPr="005C0CB8" w:rsidRDefault="00810821" w:rsidP="00810821">
            <w:pPr>
              <w:rPr>
                <w:sz w:val="22"/>
                <w:szCs w:val="22"/>
              </w:rPr>
            </w:pPr>
            <w:r w:rsidRPr="005C0CB8">
              <w:rPr>
                <w:sz w:val="22"/>
                <w:szCs w:val="22"/>
              </w:rPr>
              <w:t>Total Subprime Assets as % SHUSA Credit Exposure</w:t>
            </w:r>
          </w:p>
        </w:tc>
        <w:tc>
          <w:tcPr>
            <w:tcW w:w="1710" w:type="dxa"/>
            <w:tcBorders>
              <w:bottom w:val="single" w:sz="4" w:space="0" w:color="auto"/>
            </w:tcBorders>
          </w:tcPr>
          <w:p w14:paraId="78026592" w14:textId="25766949" w:rsidR="00810821" w:rsidRPr="005C0CB8" w:rsidRDefault="00810821" w:rsidP="00810821">
            <w:pPr>
              <w:jc w:val="center"/>
              <w:rPr>
                <w:sz w:val="22"/>
                <w:szCs w:val="22"/>
              </w:rPr>
            </w:pPr>
            <w:r w:rsidRPr="005C0CB8">
              <w:rPr>
                <w:sz w:val="22"/>
                <w:szCs w:val="22"/>
              </w:rPr>
              <w:t>SHUSA</w:t>
            </w:r>
          </w:p>
        </w:tc>
      </w:tr>
      <w:tr w:rsidR="006550A7" w14:paraId="51C1FB97" w14:textId="77777777" w:rsidTr="00726B1C">
        <w:trPr>
          <w:jc w:val="center"/>
        </w:trPr>
        <w:tc>
          <w:tcPr>
            <w:tcW w:w="2079" w:type="dxa"/>
            <w:tcBorders>
              <w:top w:val="single" w:sz="18" w:space="0" w:color="auto"/>
            </w:tcBorders>
          </w:tcPr>
          <w:p w14:paraId="2AFA51E0" w14:textId="77777777" w:rsidR="006550A7" w:rsidRPr="005C0CB8" w:rsidRDefault="006550A7" w:rsidP="00810821">
            <w:pPr>
              <w:rPr>
                <w:b/>
                <w:sz w:val="22"/>
                <w:szCs w:val="22"/>
              </w:rPr>
            </w:pPr>
            <w:r w:rsidRPr="005C0CB8">
              <w:rPr>
                <w:b/>
                <w:sz w:val="22"/>
                <w:szCs w:val="22"/>
              </w:rPr>
              <w:t>Residual value risk</w:t>
            </w:r>
          </w:p>
        </w:tc>
        <w:tc>
          <w:tcPr>
            <w:tcW w:w="5760" w:type="dxa"/>
            <w:tcBorders>
              <w:top w:val="single" w:sz="18" w:space="0" w:color="auto"/>
            </w:tcBorders>
          </w:tcPr>
          <w:p w14:paraId="6023C27C" w14:textId="49CEF862" w:rsidR="006550A7" w:rsidRPr="005C0CB8" w:rsidRDefault="00726B1C" w:rsidP="00810821">
            <w:pPr>
              <w:rPr>
                <w:sz w:val="22"/>
                <w:szCs w:val="22"/>
              </w:rPr>
            </w:pPr>
            <w:r w:rsidRPr="005C0CB8">
              <w:rPr>
                <w:sz w:val="22"/>
                <w:szCs w:val="22"/>
              </w:rPr>
              <w:t>Net Residual Risk/CRLIT</w:t>
            </w:r>
          </w:p>
        </w:tc>
        <w:tc>
          <w:tcPr>
            <w:tcW w:w="1710" w:type="dxa"/>
            <w:tcBorders>
              <w:top w:val="single" w:sz="18" w:space="0" w:color="auto"/>
            </w:tcBorders>
          </w:tcPr>
          <w:p w14:paraId="56E8ED28" w14:textId="54B3CAB6" w:rsidR="006550A7" w:rsidRPr="005C0CB8" w:rsidRDefault="00726B1C" w:rsidP="00810821">
            <w:pPr>
              <w:tabs>
                <w:tab w:val="left" w:pos="195"/>
                <w:tab w:val="center" w:pos="396"/>
              </w:tabs>
              <w:jc w:val="center"/>
              <w:rPr>
                <w:sz w:val="22"/>
                <w:szCs w:val="22"/>
              </w:rPr>
            </w:pPr>
            <w:r w:rsidRPr="005C0CB8">
              <w:rPr>
                <w:sz w:val="22"/>
                <w:szCs w:val="22"/>
              </w:rPr>
              <w:t>SC</w:t>
            </w:r>
          </w:p>
        </w:tc>
      </w:tr>
      <w:tr w:rsidR="006550A7" w14:paraId="65191106" w14:textId="77777777" w:rsidTr="00726B1C">
        <w:trPr>
          <w:jc w:val="center"/>
        </w:trPr>
        <w:tc>
          <w:tcPr>
            <w:tcW w:w="2079" w:type="dxa"/>
            <w:vMerge w:val="restart"/>
            <w:tcBorders>
              <w:top w:val="single" w:sz="18" w:space="0" w:color="auto"/>
            </w:tcBorders>
          </w:tcPr>
          <w:p w14:paraId="5D711A5E" w14:textId="77777777" w:rsidR="006550A7" w:rsidRPr="005C0CB8" w:rsidRDefault="006550A7" w:rsidP="00810821">
            <w:pPr>
              <w:rPr>
                <w:b/>
                <w:sz w:val="22"/>
                <w:szCs w:val="22"/>
              </w:rPr>
            </w:pPr>
            <w:r w:rsidRPr="005C0CB8">
              <w:rPr>
                <w:b/>
                <w:sz w:val="22"/>
                <w:szCs w:val="22"/>
              </w:rPr>
              <w:t>Liquidity / funding risk</w:t>
            </w:r>
          </w:p>
        </w:tc>
        <w:tc>
          <w:tcPr>
            <w:tcW w:w="5760" w:type="dxa"/>
            <w:tcBorders>
              <w:top w:val="single" w:sz="18" w:space="0" w:color="auto"/>
            </w:tcBorders>
          </w:tcPr>
          <w:p w14:paraId="570D601D" w14:textId="22723725" w:rsidR="006550A7" w:rsidRPr="005C0CB8" w:rsidRDefault="00726B1C" w:rsidP="00810821">
            <w:pPr>
              <w:rPr>
                <w:sz w:val="22"/>
                <w:szCs w:val="22"/>
              </w:rPr>
            </w:pPr>
            <w:r w:rsidRPr="005C0CB8">
              <w:rPr>
                <w:sz w:val="22"/>
                <w:szCs w:val="22"/>
              </w:rPr>
              <w:t>Stressed Survival Period (days)</w:t>
            </w:r>
          </w:p>
        </w:tc>
        <w:tc>
          <w:tcPr>
            <w:tcW w:w="1710" w:type="dxa"/>
            <w:tcBorders>
              <w:top w:val="single" w:sz="18" w:space="0" w:color="auto"/>
            </w:tcBorders>
          </w:tcPr>
          <w:p w14:paraId="372D1BD1" w14:textId="12570801" w:rsidR="006550A7" w:rsidRPr="005C0CB8" w:rsidRDefault="00726B1C" w:rsidP="00810821">
            <w:pPr>
              <w:jc w:val="center"/>
              <w:rPr>
                <w:sz w:val="22"/>
                <w:szCs w:val="22"/>
              </w:rPr>
            </w:pPr>
            <w:r w:rsidRPr="005C0CB8">
              <w:rPr>
                <w:sz w:val="22"/>
                <w:szCs w:val="22"/>
              </w:rPr>
              <w:t>SHUSA</w:t>
            </w:r>
          </w:p>
        </w:tc>
      </w:tr>
      <w:tr w:rsidR="006550A7" w14:paraId="7A57F173" w14:textId="77777777" w:rsidTr="00726B1C">
        <w:trPr>
          <w:jc w:val="center"/>
        </w:trPr>
        <w:tc>
          <w:tcPr>
            <w:tcW w:w="2079" w:type="dxa"/>
            <w:vMerge/>
          </w:tcPr>
          <w:p w14:paraId="0DAEEF92" w14:textId="77777777" w:rsidR="006550A7" w:rsidRPr="005C0CB8" w:rsidRDefault="006550A7" w:rsidP="00810821">
            <w:pPr>
              <w:rPr>
                <w:b/>
                <w:sz w:val="22"/>
                <w:szCs w:val="22"/>
              </w:rPr>
            </w:pPr>
          </w:p>
        </w:tc>
        <w:tc>
          <w:tcPr>
            <w:tcW w:w="5760" w:type="dxa"/>
            <w:tcBorders>
              <w:bottom w:val="single" w:sz="4" w:space="0" w:color="auto"/>
            </w:tcBorders>
          </w:tcPr>
          <w:p w14:paraId="0B296618" w14:textId="223A5057" w:rsidR="006550A7" w:rsidRPr="005C0CB8" w:rsidRDefault="006550A7" w:rsidP="00810821">
            <w:pPr>
              <w:rPr>
                <w:sz w:val="22"/>
                <w:szCs w:val="22"/>
              </w:rPr>
            </w:pPr>
            <w:r w:rsidRPr="005C0CB8">
              <w:rPr>
                <w:sz w:val="22"/>
                <w:szCs w:val="22"/>
              </w:rPr>
              <w:t>Liquidity Coverage Ratio</w:t>
            </w:r>
            <w:r w:rsidR="00726B1C" w:rsidRPr="005C0CB8">
              <w:rPr>
                <w:sz w:val="22"/>
                <w:szCs w:val="22"/>
              </w:rPr>
              <w:t xml:space="preserve"> – EUR</w:t>
            </w:r>
          </w:p>
        </w:tc>
        <w:tc>
          <w:tcPr>
            <w:tcW w:w="1710" w:type="dxa"/>
            <w:tcBorders>
              <w:bottom w:val="single" w:sz="4" w:space="0" w:color="auto"/>
            </w:tcBorders>
          </w:tcPr>
          <w:p w14:paraId="4E3E6715" w14:textId="633C25B2" w:rsidR="006550A7" w:rsidRPr="005C0CB8" w:rsidRDefault="00726B1C" w:rsidP="00810821">
            <w:pPr>
              <w:jc w:val="center"/>
              <w:rPr>
                <w:sz w:val="22"/>
                <w:szCs w:val="22"/>
              </w:rPr>
            </w:pPr>
            <w:r w:rsidRPr="005C0CB8">
              <w:rPr>
                <w:sz w:val="22"/>
                <w:szCs w:val="22"/>
              </w:rPr>
              <w:t>SHUSA</w:t>
            </w:r>
          </w:p>
        </w:tc>
      </w:tr>
      <w:tr w:rsidR="006550A7" w14:paraId="2E12483B" w14:textId="77777777" w:rsidTr="00726B1C">
        <w:trPr>
          <w:trHeight w:val="269"/>
          <w:jc w:val="center"/>
        </w:trPr>
        <w:tc>
          <w:tcPr>
            <w:tcW w:w="2079" w:type="dxa"/>
            <w:vMerge/>
          </w:tcPr>
          <w:p w14:paraId="1AD6C2FD" w14:textId="77777777" w:rsidR="006550A7" w:rsidRPr="005C0CB8" w:rsidRDefault="006550A7" w:rsidP="00810821">
            <w:pPr>
              <w:rPr>
                <w:b/>
                <w:sz w:val="22"/>
                <w:szCs w:val="22"/>
              </w:rPr>
            </w:pPr>
          </w:p>
        </w:tc>
        <w:tc>
          <w:tcPr>
            <w:tcW w:w="5760" w:type="dxa"/>
            <w:tcBorders>
              <w:bottom w:val="single" w:sz="4" w:space="0" w:color="auto"/>
            </w:tcBorders>
          </w:tcPr>
          <w:p w14:paraId="3C032147" w14:textId="2DC4ABC7" w:rsidR="006550A7" w:rsidRPr="005C0CB8" w:rsidRDefault="00726B1C" w:rsidP="00810821">
            <w:pPr>
              <w:rPr>
                <w:sz w:val="22"/>
                <w:szCs w:val="22"/>
              </w:rPr>
            </w:pPr>
            <w:r w:rsidRPr="005C0CB8">
              <w:rPr>
                <w:sz w:val="22"/>
                <w:szCs w:val="22"/>
              </w:rPr>
              <w:t>Liquidity Coverage Ratio Modified – US</w:t>
            </w:r>
          </w:p>
        </w:tc>
        <w:tc>
          <w:tcPr>
            <w:tcW w:w="1710" w:type="dxa"/>
            <w:tcBorders>
              <w:bottom w:val="single" w:sz="4" w:space="0" w:color="auto"/>
            </w:tcBorders>
          </w:tcPr>
          <w:p w14:paraId="5F207190" w14:textId="0117DED4" w:rsidR="006550A7" w:rsidRPr="005C0CB8" w:rsidRDefault="00726B1C" w:rsidP="00810821">
            <w:pPr>
              <w:jc w:val="center"/>
              <w:rPr>
                <w:sz w:val="22"/>
                <w:szCs w:val="22"/>
              </w:rPr>
            </w:pPr>
            <w:r w:rsidRPr="005C0CB8">
              <w:rPr>
                <w:sz w:val="22"/>
                <w:szCs w:val="22"/>
              </w:rPr>
              <w:t>SHUSA</w:t>
            </w:r>
          </w:p>
        </w:tc>
      </w:tr>
      <w:tr w:rsidR="00726B1C" w14:paraId="404398C6" w14:textId="77777777" w:rsidTr="00726B1C">
        <w:trPr>
          <w:trHeight w:val="269"/>
          <w:jc w:val="center"/>
        </w:trPr>
        <w:tc>
          <w:tcPr>
            <w:tcW w:w="2079" w:type="dxa"/>
            <w:vMerge/>
          </w:tcPr>
          <w:p w14:paraId="1405D1DE" w14:textId="77777777" w:rsidR="00726B1C" w:rsidRPr="005C0CB8" w:rsidRDefault="00726B1C" w:rsidP="00810821">
            <w:pPr>
              <w:rPr>
                <w:b/>
                <w:sz w:val="22"/>
                <w:szCs w:val="22"/>
              </w:rPr>
            </w:pPr>
          </w:p>
        </w:tc>
        <w:tc>
          <w:tcPr>
            <w:tcW w:w="5760" w:type="dxa"/>
            <w:tcBorders>
              <w:bottom w:val="single" w:sz="4" w:space="0" w:color="auto"/>
            </w:tcBorders>
          </w:tcPr>
          <w:p w14:paraId="3E50F2FD" w14:textId="0BCC1235" w:rsidR="00726B1C" w:rsidRPr="005C0CB8" w:rsidRDefault="00726B1C" w:rsidP="00810821">
            <w:pPr>
              <w:rPr>
                <w:sz w:val="22"/>
                <w:szCs w:val="22"/>
              </w:rPr>
            </w:pPr>
            <w:r w:rsidRPr="005C0CB8">
              <w:rPr>
                <w:sz w:val="22"/>
                <w:szCs w:val="22"/>
              </w:rPr>
              <w:t xml:space="preserve">Structural Funding Ratio </w:t>
            </w:r>
          </w:p>
        </w:tc>
        <w:tc>
          <w:tcPr>
            <w:tcW w:w="1710" w:type="dxa"/>
            <w:tcBorders>
              <w:bottom w:val="single" w:sz="4" w:space="0" w:color="auto"/>
            </w:tcBorders>
          </w:tcPr>
          <w:p w14:paraId="4286965F" w14:textId="2EE32EA8" w:rsidR="00726B1C" w:rsidRPr="005C0CB8" w:rsidRDefault="00726B1C" w:rsidP="00810821">
            <w:pPr>
              <w:jc w:val="center"/>
              <w:rPr>
                <w:sz w:val="22"/>
                <w:szCs w:val="22"/>
              </w:rPr>
            </w:pPr>
            <w:r w:rsidRPr="005C0CB8">
              <w:rPr>
                <w:sz w:val="22"/>
                <w:szCs w:val="22"/>
              </w:rPr>
              <w:t>SHUSA</w:t>
            </w:r>
          </w:p>
        </w:tc>
      </w:tr>
      <w:tr w:rsidR="00726B1C" w14:paraId="778244F1" w14:textId="77777777" w:rsidTr="00726B1C">
        <w:trPr>
          <w:trHeight w:val="269"/>
          <w:jc w:val="center"/>
        </w:trPr>
        <w:tc>
          <w:tcPr>
            <w:tcW w:w="2079" w:type="dxa"/>
            <w:vMerge/>
          </w:tcPr>
          <w:p w14:paraId="7C48AABC" w14:textId="77777777" w:rsidR="00726B1C" w:rsidRPr="005C0CB8" w:rsidRDefault="00726B1C" w:rsidP="00810821">
            <w:pPr>
              <w:rPr>
                <w:b/>
                <w:sz w:val="22"/>
                <w:szCs w:val="22"/>
              </w:rPr>
            </w:pPr>
          </w:p>
        </w:tc>
        <w:tc>
          <w:tcPr>
            <w:tcW w:w="5760" w:type="dxa"/>
            <w:tcBorders>
              <w:bottom w:val="single" w:sz="4" w:space="0" w:color="auto"/>
            </w:tcBorders>
          </w:tcPr>
          <w:p w14:paraId="0ACAE117" w14:textId="1D0FD6DA" w:rsidR="00726B1C" w:rsidRPr="005C0CB8" w:rsidRDefault="00726B1C" w:rsidP="00810821">
            <w:pPr>
              <w:rPr>
                <w:sz w:val="22"/>
                <w:szCs w:val="22"/>
              </w:rPr>
            </w:pPr>
            <w:r w:rsidRPr="005C0CB8">
              <w:rPr>
                <w:sz w:val="22"/>
                <w:szCs w:val="22"/>
              </w:rPr>
              <w:t xml:space="preserve">Liquidity Horizon – Wholesale Scenario </w:t>
            </w:r>
          </w:p>
        </w:tc>
        <w:tc>
          <w:tcPr>
            <w:tcW w:w="1710" w:type="dxa"/>
            <w:tcBorders>
              <w:bottom w:val="single" w:sz="4" w:space="0" w:color="auto"/>
            </w:tcBorders>
          </w:tcPr>
          <w:p w14:paraId="2429ED53" w14:textId="735F0F60" w:rsidR="00726B1C" w:rsidRPr="005C0CB8" w:rsidRDefault="005D1745" w:rsidP="00810821">
            <w:pPr>
              <w:jc w:val="center"/>
              <w:rPr>
                <w:sz w:val="22"/>
                <w:szCs w:val="22"/>
              </w:rPr>
            </w:pPr>
            <w:r w:rsidRPr="005C0CB8">
              <w:rPr>
                <w:sz w:val="22"/>
                <w:szCs w:val="22"/>
              </w:rPr>
              <w:t>SHUSA</w:t>
            </w:r>
          </w:p>
        </w:tc>
      </w:tr>
      <w:tr w:rsidR="00726B1C" w14:paraId="460712FC" w14:textId="77777777" w:rsidTr="00726B1C">
        <w:trPr>
          <w:trHeight w:val="269"/>
          <w:jc w:val="center"/>
        </w:trPr>
        <w:tc>
          <w:tcPr>
            <w:tcW w:w="2079" w:type="dxa"/>
            <w:vMerge/>
          </w:tcPr>
          <w:p w14:paraId="62B060FD" w14:textId="77777777" w:rsidR="00726B1C" w:rsidRPr="005C0CB8" w:rsidRDefault="00726B1C" w:rsidP="00810821">
            <w:pPr>
              <w:rPr>
                <w:b/>
                <w:sz w:val="22"/>
                <w:szCs w:val="22"/>
              </w:rPr>
            </w:pPr>
          </w:p>
        </w:tc>
        <w:tc>
          <w:tcPr>
            <w:tcW w:w="5760" w:type="dxa"/>
            <w:tcBorders>
              <w:bottom w:val="single" w:sz="4" w:space="0" w:color="auto"/>
            </w:tcBorders>
          </w:tcPr>
          <w:p w14:paraId="2385A4E0" w14:textId="64B65264" w:rsidR="00726B1C" w:rsidRPr="005C0CB8" w:rsidRDefault="005D1745" w:rsidP="00810821">
            <w:pPr>
              <w:rPr>
                <w:sz w:val="22"/>
                <w:szCs w:val="22"/>
              </w:rPr>
            </w:pPr>
            <w:r w:rsidRPr="005C0CB8">
              <w:rPr>
                <w:sz w:val="22"/>
                <w:szCs w:val="22"/>
              </w:rPr>
              <w:t>Asset Encumbrance (%)</w:t>
            </w:r>
          </w:p>
        </w:tc>
        <w:tc>
          <w:tcPr>
            <w:tcW w:w="1710" w:type="dxa"/>
            <w:tcBorders>
              <w:bottom w:val="single" w:sz="4" w:space="0" w:color="auto"/>
            </w:tcBorders>
          </w:tcPr>
          <w:p w14:paraId="5912EC7B" w14:textId="4183ABB5" w:rsidR="00726B1C" w:rsidRPr="005C0CB8" w:rsidRDefault="005D1745" w:rsidP="00810821">
            <w:pPr>
              <w:jc w:val="center"/>
              <w:rPr>
                <w:sz w:val="22"/>
                <w:szCs w:val="22"/>
              </w:rPr>
            </w:pPr>
            <w:r w:rsidRPr="005C0CB8">
              <w:rPr>
                <w:sz w:val="22"/>
                <w:szCs w:val="22"/>
              </w:rPr>
              <w:t>SHUSA</w:t>
            </w:r>
          </w:p>
        </w:tc>
      </w:tr>
      <w:tr w:rsidR="006550A7" w14:paraId="5006FA59" w14:textId="77777777" w:rsidTr="00726B1C">
        <w:trPr>
          <w:jc w:val="center"/>
        </w:trPr>
        <w:tc>
          <w:tcPr>
            <w:tcW w:w="2079" w:type="dxa"/>
            <w:vMerge w:val="restart"/>
            <w:tcBorders>
              <w:top w:val="single" w:sz="18" w:space="0" w:color="auto"/>
            </w:tcBorders>
          </w:tcPr>
          <w:p w14:paraId="3A91954D" w14:textId="77777777" w:rsidR="006550A7" w:rsidRPr="005C0CB8" w:rsidRDefault="006550A7" w:rsidP="00810821">
            <w:pPr>
              <w:rPr>
                <w:b/>
                <w:sz w:val="22"/>
                <w:szCs w:val="22"/>
              </w:rPr>
            </w:pPr>
            <w:r w:rsidRPr="005C0CB8">
              <w:rPr>
                <w:b/>
                <w:sz w:val="22"/>
                <w:szCs w:val="22"/>
              </w:rPr>
              <w:t>Interest rate risk</w:t>
            </w:r>
          </w:p>
        </w:tc>
        <w:tc>
          <w:tcPr>
            <w:tcW w:w="5760" w:type="dxa"/>
            <w:tcBorders>
              <w:top w:val="single" w:sz="18" w:space="0" w:color="auto"/>
            </w:tcBorders>
          </w:tcPr>
          <w:p w14:paraId="7E197D77" w14:textId="77777777" w:rsidR="006550A7" w:rsidRPr="005C0CB8" w:rsidRDefault="006550A7" w:rsidP="00810821">
            <w:pPr>
              <w:rPr>
                <w:sz w:val="22"/>
                <w:szCs w:val="22"/>
              </w:rPr>
            </w:pPr>
            <w:r w:rsidRPr="005C0CB8">
              <w:rPr>
                <w:sz w:val="22"/>
                <w:szCs w:val="22"/>
              </w:rPr>
              <w:t>Net interest income sensitivity (+/- 100bps shock)</w:t>
            </w:r>
          </w:p>
        </w:tc>
        <w:tc>
          <w:tcPr>
            <w:tcW w:w="1710" w:type="dxa"/>
            <w:tcBorders>
              <w:top w:val="single" w:sz="18" w:space="0" w:color="auto"/>
            </w:tcBorders>
          </w:tcPr>
          <w:p w14:paraId="32EF3DE9" w14:textId="5B454764" w:rsidR="006550A7" w:rsidRPr="005C0CB8" w:rsidRDefault="005D1745" w:rsidP="00810821">
            <w:pPr>
              <w:jc w:val="center"/>
              <w:rPr>
                <w:sz w:val="22"/>
                <w:szCs w:val="22"/>
              </w:rPr>
            </w:pPr>
            <w:r w:rsidRPr="005C0CB8">
              <w:rPr>
                <w:sz w:val="22"/>
                <w:szCs w:val="22"/>
              </w:rPr>
              <w:t>SHUSA</w:t>
            </w:r>
          </w:p>
        </w:tc>
      </w:tr>
      <w:tr w:rsidR="006550A7" w14:paraId="5804218C" w14:textId="77777777" w:rsidTr="00726B1C">
        <w:trPr>
          <w:jc w:val="center"/>
        </w:trPr>
        <w:tc>
          <w:tcPr>
            <w:tcW w:w="2079" w:type="dxa"/>
            <w:vMerge/>
            <w:tcBorders>
              <w:bottom w:val="single" w:sz="18" w:space="0" w:color="auto"/>
            </w:tcBorders>
          </w:tcPr>
          <w:p w14:paraId="36BF0CBD" w14:textId="77777777" w:rsidR="006550A7" w:rsidRPr="005C0CB8" w:rsidRDefault="006550A7" w:rsidP="00810821">
            <w:pPr>
              <w:rPr>
                <w:b/>
                <w:sz w:val="22"/>
                <w:szCs w:val="22"/>
              </w:rPr>
            </w:pPr>
          </w:p>
        </w:tc>
        <w:tc>
          <w:tcPr>
            <w:tcW w:w="5760" w:type="dxa"/>
            <w:tcBorders>
              <w:bottom w:val="single" w:sz="18" w:space="0" w:color="auto"/>
            </w:tcBorders>
          </w:tcPr>
          <w:p w14:paraId="5A58716C" w14:textId="4C0C73A3" w:rsidR="006550A7" w:rsidRPr="005C0CB8" w:rsidRDefault="006550A7" w:rsidP="00810821">
            <w:pPr>
              <w:rPr>
                <w:sz w:val="22"/>
                <w:szCs w:val="22"/>
              </w:rPr>
            </w:pPr>
            <w:r w:rsidRPr="005C0CB8">
              <w:rPr>
                <w:sz w:val="22"/>
                <w:szCs w:val="22"/>
              </w:rPr>
              <w:t xml:space="preserve">Market value of </w:t>
            </w:r>
            <w:r w:rsidR="005D1745" w:rsidRPr="005C0CB8">
              <w:rPr>
                <w:sz w:val="22"/>
                <w:szCs w:val="22"/>
              </w:rPr>
              <w:t>equity sensitivity (+/- 1</w:t>
            </w:r>
            <w:r w:rsidRPr="005C0CB8">
              <w:rPr>
                <w:sz w:val="22"/>
                <w:szCs w:val="22"/>
              </w:rPr>
              <w:t>00 bps shock)</w:t>
            </w:r>
          </w:p>
        </w:tc>
        <w:tc>
          <w:tcPr>
            <w:tcW w:w="1710" w:type="dxa"/>
            <w:tcBorders>
              <w:bottom w:val="single" w:sz="18" w:space="0" w:color="auto"/>
            </w:tcBorders>
          </w:tcPr>
          <w:p w14:paraId="0E041002" w14:textId="53D6D755" w:rsidR="006550A7" w:rsidRPr="005C0CB8" w:rsidRDefault="005D1745" w:rsidP="00810821">
            <w:pPr>
              <w:jc w:val="center"/>
              <w:rPr>
                <w:sz w:val="22"/>
                <w:szCs w:val="22"/>
              </w:rPr>
            </w:pPr>
            <w:r w:rsidRPr="005C0CB8">
              <w:rPr>
                <w:sz w:val="22"/>
                <w:szCs w:val="22"/>
              </w:rPr>
              <w:t>SHUSA</w:t>
            </w:r>
          </w:p>
        </w:tc>
      </w:tr>
      <w:tr w:rsidR="006550A7" w14:paraId="56BDB172" w14:textId="77777777" w:rsidTr="00726B1C">
        <w:trPr>
          <w:jc w:val="center"/>
        </w:trPr>
        <w:tc>
          <w:tcPr>
            <w:tcW w:w="2079" w:type="dxa"/>
            <w:tcBorders>
              <w:top w:val="single" w:sz="18" w:space="0" w:color="auto"/>
            </w:tcBorders>
          </w:tcPr>
          <w:p w14:paraId="3187D452" w14:textId="77777777" w:rsidR="006550A7" w:rsidRPr="005C0CB8" w:rsidRDefault="006550A7" w:rsidP="00810821">
            <w:pPr>
              <w:rPr>
                <w:b/>
                <w:sz w:val="22"/>
                <w:szCs w:val="22"/>
              </w:rPr>
            </w:pPr>
            <w:proofErr w:type="spellStart"/>
            <w:r w:rsidRPr="005C0CB8">
              <w:rPr>
                <w:b/>
                <w:sz w:val="22"/>
                <w:szCs w:val="22"/>
              </w:rPr>
              <w:t>MtM</w:t>
            </w:r>
            <w:proofErr w:type="spellEnd"/>
            <w:r w:rsidRPr="005C0CB8">
              <w:rPr>
                <w:b/>
                <w:sz w:val="22"/>
                <w:szCs w:val="22"/>
              </w:rPr>
              <w:t xml:space="preserve"> portfolio risk</w:t>
            </w:r>
          </w:p>
        </w:tc>
        <w:tc>
          <w:tcPr>
            <w:tcW w:w="5760" w:type="dxa"/>
            <w:tcBorders>
              <w:top w:val="single" w:sz="18" w:space="0" w:color="auto"/>
            </w:tcBorders>
          </w:tcPr>
          <w:p w14:paraId="42E92D2C" w14:textId="77777777" w:rsidR="006550A7" w:rsidRPr="005C0CB8" w:rsidRDefault="006550A7" w:rsidP="00810821">
            <w:pPr>
              <w:rPr>
                <w:sz w:val="22"/>
                <w:szCs w:val="22"/>
              </w:rPr>
            </w:pPr>
            <w:r w:rsidRPr="005C0CB8">
              <w:rPr>
                <w:sz w:val="22"/>
                <w:szCs w:val="22"/>
              </w:rPr>
              <w:t>Mark-to-market Value at Risk (</w:t>
            </w:r>
            <w:proofErr w:type="spellStart"/>
            <w:r w:rsidRPr="005C0CB8">
              <w:rPr>
                <w:sz w:val="22"/>
                <w:szCs w:val="22"/>
              </w:rPr>
              <w:t>VaR</w:t>
            </w:r>
            <w:proofErr w:type="spellEnd"/>
            <w:r w:rsidRPr="005C0CB8">
              <w:rPr>
                <w:sz w:val="22"/>
                <w:szCs w:val="22"/>
              </w:rPr>
              <w:t>)</w:t>
            </w:r>
          </w:p>
        </w:tc>
        <w:tc>
          <w:tcPr>
            <w:tcW w:w="1710" w:type="dxa"/>
            <w:tcBorders>
              <w:top w:val="single" w:sz="18" w:space="0" w:color="auto"/>
            </w:tcBorders>
          </w:tcPr>
          <w:p w14:paraId="0676D398" w14:textId="008B95F5" w:rsidR="006550A7" w:rsidRPr="005C0CB8" w:rsidRDefault="005D1745" w:rsidP="00810821">
            <w:pPr>
              <w:jc w:val="center"/>
              <w:rPr>
                <w:sz w:val="22"/>
                <w:szCs w:val="22"/>
              </w:rPr>
            </w:pPr>
            <w:r w:rsidRPr="005C0CB8">
              <w:rPr>
                <w:sz w:val="22"/>
                <w:szCs w:val="22"/>
              </w:rPr>
              <w:t>SHUSA</w:t>
            </w:r>
          </w:p>
        </w:tc>
      </w:tr>
      <w:tr w:rsidR="006550A7" w14:paraId="1D9E5086" w14:textId="77777777" w:rsidTr="00726B1C">
        <w:trPr>
          <w:jc w:val="center"/>
        </w:trPr>
        <w:tc>
          <w:tcPr>
            <w:tcW w:w="2079" w:type="dxa"/>
            <w:vMerge w:val="restart"/>
            <w:tcBorders>
              <w:top w:val="single" w:sz="18" w:space="0" w:color="auto"/>
            </w:tcBorders>
          </w:tcPr>
          <w:p w14:paraId="3802FB7C" w14:textId="77777777" w:rsidR="006550A7" w:rsidRPr="005C0CB8" w:rsidRDefault="006550A7" w:rsidP="00810821">
            <w:pPr>
              <w:rPr>
                <w:b/>
                <w:sz w:val="22"/>
                <w:szCs w:val="22"/>
              </w:rPr>
            </w:pPr>
            <w:r w:rsidRPr="005C0CB8">
              <w:rPr>
                <w:b/>
                <w:sz w:val="22"/>
                <w:szCs w:val="22"/>
              </w:rPr>
              <w:t>Operational risk</w:t>
            </w:r>
          </w:p>
        </w:tc>
        <w:tc>
          <w:tcPr>
            <w:tcW w:w="5760" w:type="dxa"/>
            <w:tcBorders>
              <w:top w:val="single" w:sz="18" w:space="0" w:color="auto"/>
              <w:bottom w:val="single" w:sz="4" w:space="0" w:color="auto"/>
            </w:tcBorders>
          </w:tcPr>
          <w:p w14:paraId="657690C6" w14:textId="77777777" w:rsidR="006550A7" w:rsidRPr="005C0CB8" w:rsidRDefault="006550A7" w:rsidP="00810821">
            <w:pPr>
              <w:rPr>
                <w:sz w:val="22"/>
                <w:szCs w:val="22"/>
              </w:rPr>
            </w:pPr>
            <w:r w:rsidRPr="005C0CB8">
              <w:rPr>
                <w:sz w:val="22"/>
                <w:szCs w:val="22"/>
              </w:rPr>
              <w:t>Gross operational risk losses / gross margin</w:t>
            </w:r>
          </w:p>
        </w:tc>
        <w:tc>
          <w:tcPr>
            <w:tcW w:w="1710" w:type="dxa"/>
            <w:tcBorders>
              <w:top w:val="single" w:sz="18" w:space="0" w:color="auto"/>
              <w:bottom w:val="single" w:sz="4" w:space="0" w:color="auto"/>
            </w:tcBorders>
          </w:tcPr>
          <w:p w14:paraId="109CD5C6" w14:textId="3EEF3EB3" w:rsidR="006550A7" w:rsidRPr="005C0CB8" w:rsidRDefault="005C0CB8" w:rsidP="00810821">
            <w:pPr>
              <w:jc w:val="center"/>
              <w:rPr>
                <w:sz w:val="22"/>
                <w:szCs w:val="22"/>
              </w:rPr>
            </w:pPr>
            <w:r w:rsidRPr="005C0CB8">
              <w:rPr>
                <w:sz w:val="22"/>
                <w:szCs w:val="22"/>
              </w:rPr>
              <w:t>SHUSA</w:t>
            </w:r>
          </w:p>
        </w:tc>
      </w:tr>
      <w:tr w:rsidR="006550A7" w14:paraId="37CDB44E" w14:textId="77777777" w:rsidTr="00726B1C">
        <w:trPr>
          <w:jc w:val="center"/>
        </w:trPr>
        <w:tc>
          <w:tcPr>
            <w:tcW w:w="2079" w:type="dxa"/>
            <w:vMerge/>
            <w:tcBorders>
              <w:bottom w:val="single" w:sz="18" w:space="0" w:color="auto"/>
            </w:tcBorders>
          </w:tcPr>
          <w:p w14:paraId="5D83F767" w14:textId="77777777" w:rsidR="006550A7" w:rsidRPr="005C0CB8" w:rsidRDefault="006550A7" w:rsidP="00810821">
            <w:pPr>
              <w:rPr>
                <w:b/>
                <w:sz w:val="22"/>
                <w:szCs w:val="22"/>
              </w:rPr>
            </w:pPr>
          </w:p>
        </w:tc>
        <w:tc>
          <w:tcPr>
            <w:tcW w:w="5760" w:type="dxa"/>
            <w:tcBorders>
              <w:top w:val="single" w:sz="4" w:space="0" w:color="auto"/>
              <w:bottom w:val="single" w:sz="18" w:space="0" w:color="auto"/>
            </w:tcBorders>
          </w:tcPr>
          <w:p w14:paraId="2AB70947" w14:textId="35962849" w:rsidR="006550A7" w:rsidRPr="005C0CB8" w:rsidRDefault="005C0CB8" w:rsidP="00810821">
            <w:pPr>
              <w:rPr>
                <w:sz w:val="22"/>
                <w:szCs w:val="22"/>
              </w:rPr>
            </w:pPr>
            <w:r w:rsidRPr="005C0CB8">
              <w:rPr>
                <w:sz w:val="22"/>
                <w:szCs w:val="22"/>
              </w:rPr>
              <w:t xml:space="preserve">Material Operational Risk Events </w:t>
            </w:r>
          </w:p>
        </w:tc>
        <w:tc>
          <w:tcPr>
            <w:tcW w:w="1710" w:type="dxa"/>
            <w:tcBorders>
              <w:top w:val="single" w:sz="4" w:space="0" w:color="auto"/>
              <w:bottom w:val="single" w:sz="18" w:space="0" w:color="auto"/>
            </w:tcBorders>
          </w:tcPr>
          <w:p w14:paraId="4AEBC0FC" w14:textId="19FE3496" w:rsidR="006550A7" w:rsidRPr="005C0CB8" w:rsidRDefault="005C0CB8" w:rsidP="00810821">
            <w:pPr>
              <w:jc w:val="center"/>
              <w:rPr>
                <w:sz w:val="22"/>
                <w:szCs w:val="22"/>
              </w:rPr>
            </w:pPr>
            <w:r w:rsidRPr="005C0CB8">
              <w:rPr>
                <w:sz w:val="22"/>
                <w:szCs w:val="22"/>
              </w:rPr>
              <w:t>SHUSA</w:t>
            </w:r>
          </w:p>
        </w:tc>
      </w:tr>
      <w:tr w:rsidR="006550A7" w14:paraId="125EFB52" w14:textId="77777777" w:rsidTr="00726B1C">
        <w:trPr>
          <w:jc w:val="center"/>
        </w:trPr>
        <w:tc>
          <w:tcPr>
            <w:tcW w:w="2079" w:type="dxa"/>
            <w:tcBorders>
              <w:top w:val="single" w:sz="18" w:space="0" w:color="auto"/>
              <w:bottom w:val="single" w:sz="18" w:space="0" w:color="auto"/>
            </w:tcBorders>
          </w:tcPr>
          <w:p w14:paraId="698AE0D6" w14:textId="77777777" w:rsidR="006550A7" w:rsidRPr="005C0CB8" w:rsidRDefault="006550A7" w:rsidP="00810821">
            <w:pPr>
              <w:rPr>
                <w:b/>
                <w:sz w:val="22"/>
                <w:szCs w:val="22"/>
              </w:rPr>
            </w:pPr>
            <w:r w:rsidRPr="005C0CB8">
              <w:rPr>
                <w:b/>
                <w:sz w:val="22"/>
                <w:szCs w:val="22"/>
              </w:rPr>
              <w:t>Model risk</w:t>
            </w:r>
          </w:p>
        </w:tc>
        <w:tc>
          <w:tcPr>
            <w:tcW w:w="5760" w:type="dxa"/>
            <w:tcBorders>
              <w:top w:val="single" w:sz="18" w:space="0" w:color="auto"/>
              <w:bottom w:val="single" w:sz="18" w:space="0" w:color="auto"/>
            </w:tcBorders>
          </w:tcPr>
          <w:p w14:paraId="0FE05D0B" w14:textId="4C9AC3AD" w:rsidR="006550A7" w:rsidRPr="005C0CB8" w:rsidRDefault="005C0CB8" w:rsidP="00810821">
            <w:pPr>
              <w:rPr>
                <w:sz w:val="22"/>
                <w:szCs w:val="22"/>
              </w:rPr>
            </w:pPr>
            <w:r w:rsidRPr="005C0CB8">
              <w:rPr>
                <w:sz w:val="22"/>
                <w:szCs w:val="22"/>
              </w:rPr>
              <w:t>Legacy Tier 1 Models in Production w/o Appropriate Approval</w:t>
            </w:r>
            <w:r w:rsidR="006550A7" w:rsidRPr="005C0CB8">
              <w:rPr>
                <w:sz w:val="22"/>
                <w:szCs w:val="22"/>
              </w:rPr>
              <w:t xml:space="preserve"> </w:t>
            </w:r>
          </w:p>
        </w:tc>
        <w:tc>
          <w:tcPr>
            <w:tcW w:w="1710" w:type="dxa"/>
            <w:tcBorders>
              <w:top w:val="single" w:sz="18" w:space="0" w:color="auto"/>
              <w:bottom w:val="single" w:sz="18" w:space="0" w:color="auto"/>
            </w:tcBorders>
          </w:tcPr>
          <w:p w14:paraId="2D5E26AB" w14:textId="65B73137" w:rsidR="006550A7" w:rsidRPr="005C0CB8" w:rsidRDefault="005C0CB8" w:rsidP="00810821">
            <w:pPr>
              <w:jc w:val="center"/>
              <w:rPr>
                <w:sz w:val="22"/>
                <w:szCs w:val="22"/>
              </w:rPr>
            </w:pPr>
            <w:r w:rsidRPr="005C0CB8">
              <w:rPr>
                <w:sz w:val="22"/>
                <w:szCs w:val="22"/>
              </w:rPr>
              <w:t>SHUSA</w:t>
            </w:r>
          </w:p>
        </w:tc>
      </w:tr>
      <w:tr w:rsidR="006550A7" w14:paraId="46DB2645" w14:textId="77777777" w:rsidTr="00726B1C">
        <w:trPr>
          <w:jc w:val="center"/>
        </w:trPr>
        <w:tc>
          <w:tcPr>
            <w:tcW w:w="2079" w:type="dxa"/>
            <w:tcBorders>
              <w:top w:val="single" w:sz="18" w:space="0" w:color="auto"/>
            </w:tcBorders>
          </w:tcPr>
          <w:p w14:paraId="60DC3F25" w14:textId="77777777" w:rsidR="006550A7" w:rsidRPr="005C0CB8" w:rsidRDefault="006550A7" w:rsidP="00810821">
            <w:pPr>
              <w:rPr>
                <w:b/>
                <w:sz w:val="22"/>
                <w:szCs w:val="22"/>
              </w:rPr>
            </w:pPr>
            <w:r w:rsidRPr="005C0CB8">
              <w:rPr>
                <w:b/>
                <w:sz w:val="22"/>
                <w:szCs w:val="22"/>
              </w:rPr>
              <w:t>Compliance and reputational risk</w:t>
            </w:r>
          </w:p>
        </w:tc>
        <w:tc>
          <w:tcPr>
            <w:tcW w:w="5760" w:type="dxa"/>
            <w:tcBorders>
              <w:top w:val="single" w:sz="18" w:space="0" w:color="auto"/>
            </w:tcBorders>
          </w:tcPr>
          <w:p w14:paraId="7C6F5DC8" w14:textId="03A76B5B" w:rsidR="006550A7" w:rsidRPr="005C0CB8" w:rsidRDefault="005C0CB8" w:rsidP="00810821">
            <w:pPr>
              <w:rPr>
                <w:sz w:val="22"/>
                <w:szCs w:val="22"/>
              </w:rPr>
            </w:pPr>
            <w:r w:rsidRPr="005C0CB8">
              <w:rPr>
                <w:sz w:val="22"/>
                <w:szCs w:val="22"/>
              </w:rPr>
              <w:t xml:space="preserve">Open MRIAs and other equivalent matters requiring immediate attention </w:t>
            </w:r>
          </w:p>
        </w:tc>
        <w:tc>
          <w:tcPr>
            <w:tcW w:w="1710" w:type="dxa"/>
            <w:tcBorders>
              <w:top w:val="single" w:sz="18" w:space="0" w:color="auto"/>
            </w:tcBorders>
          </w:tcPr>
          <w:p w14:paraId="576DBEB6" w14:textId="28F16591" w:rsidR="006550A7" w:rsidRPr="005C0CB8" w:rsidRDefault="005C0CB8" w:rsidP="00810821">
            <w:pPr>
              <w:jc w:val="center"/>
              <w:rPr>
                <w:sz w:val="22"/>
                <w:szCs w:val="22"/>
              </w:rPr>
            </w:pPr>
            <w:r w:rsidRPr="005C0CB8">
              <w:rPr>
                <w:sz w:val="22"/>
                <w:szCs w:val="22"/>
              </w:rPr>
              <w:t>SHUSA</w:t>
            </w:r>
          </w:p>
        </w:tc>
      </w:tr>
    </w:tbl>
    <w:p w14:paraId="706CFC32" w14:textId="77777777" w:rsidR="00D4301C" w:rsidRDefault="00D4301C" w:rsidP="00FC6780"/>
    <w:p w14:paraId="6CAE7E3A" w14:textId="77777777" w:rsidR="00FE2804" w:rsidRDefault="00FE2804" w:rsidP="00FC6780"/>
    <w:p w14:paraId="20140FD7" w14:textId="77777777" w:rsidR="004448D1" w:rsidRDefault="00A43D45" w:rsidP="00E74288">
      <w:pPr>
        <w:pStyle w:val="SANUS1"/>
        <w:numPr>
          <w:ilvl w:val="0"/>
          <w:numId w:val="1"/>
        </w:numPr>
      </w:pPr>
      <w:bookmarkStart w:id="21" w:name="_Toc452544006"/>
      <w:bookmarkStart w:id="22" w:name="_Toc453849274"/>
      <w:r>
        <w:t>Capital Adequacy metrics</w:t>
      </w:r>
      <w:bookmarkEnd w:id="21"/>
      <w:bookmarkEnd w:id="22"/>
    </w:p>
    <w:p w14:paraId="3CB06061" w14:textId="77777777" w:rsidR="00452843" w:rsidRPr="00AA4FAF" w:rsidRDefault="00A43D45" w:rsidP="00FD1AD4">
      <w:pPr>
        <w:pStyle w:val="SANUS2"/>
        <w:numPr>
          <w:ilvl w:val="1"/>
          <w:numId w:val="1"/>
        </w:numPr>
        <w:rPr>
          <w:color w:val="000000" w:themeColor="text1"/>
        </w:rPr>
      </w:pPr>
      <w:bookmarkStart w:id="23" w:name="_Toc452544007"/>
      <w:bookmarkStart w:id="24" w:name="_Toc453849275"/>
      <w:r>
        <w:rPr>
          <w:color w:val="000000" w:themeColor="text1"/>
        </w:rPr>
        <w:t>Common Equity Tier 1</w:t>
      </w:r>
      <w:r w:rsidR="001F7A14">
        <w:rPr>
          <w:color w:val="000000" w:themeColor="text1"/>
        </w:rPr>
        <w:t xml:space="preserve"> (CET1)</w:t>
      </w:r>
      <w:r>
        <w:rPr>
          <w:color w:val="000000" w:themeColor="text1"/>
        </w:rPr>
        <w:t xml:space="preserve"> Ratio</w:t>
      </w:r>
      <w:r w:rsidR="00452843">
        <w:rPr>
          <w:color w:val="000000" w:themeColor="text1"/>
        </w:rPr>
        <w:t xml:space="preserve"> (baseline and stress)</w:t>
      </w:r>
      <w:bookmarkEnd w:id="23"/>
      <w:bookmarkEnd w:id="24"/>
      <w:r w:rsidR="00452843">
        <w:rPr>
          <w:color w:val="000000" w:themeColor="text1"/>
        </w:rPr>
        <w:t xml:space="preserve"> </w:t>
      </w:r>
    </w:p>
    <w:tbl>
      <w:tblPr>
        <w:tblpPr w:leftFromText="180" w:rightFromText="180" w:vertAnchor="text" w:tblpX="168" w:tblpY="1"/>
        <w:tblOverlap w:val="never"/>
        <w:tblW w:w="9198"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020" w:firstRow="1" w:lastRow="0" w:firstColumn="0" w:lastColumn="0" w:noHBand="0" w:noVBand="0"/>
      </w:tblPr>
      <w:tblGrid>
        <w:gridCol w:w="1728"/>
        <w:gridCol w:w="7470"/>
      </w:tblGrid>
      <w:tr w:rsidR="00ED05B8" w:rsidRPr="00CB427F" w14:paraId="0F7A0161" w14:textId="77777777" w:rsidTr="00FD587F">
        <w:trPr>
          <w:trHeight w:val="390"/>
        </w:trPr>
        <w:tc>
          <w:tcPr>
            <w:tcW w:w="1728" w:type="dxa"/>
            <w:shd w:val="clear" w:color="auto" w:fill="auto"/>
          </w:tcPr>
          <w:p w14:paraId="556E48B2" w14:textId="77777777" w:rsidR="00ED05B8" w:rsidRPr="00CB427F" w:rsidRDefault="00ED05B8" w:rsidP="00ED05B8">
            <w:pPr>
              <w:rPr>
                <w:rFonts w:asciiTheme="minorHAnsi" w:hAnsiTheme="minorHAnsi"/>
                <w:b/>
                <w:bCs/>
                <w:iCs/>
              </w:rPr>
            </w:pPr>
            <w:r w:rsidRPr="00CB427F">
              <w:rPr>
                <w:rFonts w:asciiTheme="minorHAnsi" w:hAnsiTheme="minorHAnsi"/>
                <w:b/>
                <w:bCs/>
                <w:iCs/>
              </w:rPr>
              <w:t>DEFINITION</w:t>
            </w:r>
          </w:p>
        </w:tc>
        <w:tc>
          <w:tcPr>
            <w:tcW w:w="7470" w:type="dxa"/>
            <w:shd w:val="clear" w:color="auto" w:fill="auto"/>
          </w:tcPr>
          <w:p w14:paraId="02E7BE3E" w14:textId="77777777" w:rsidR="00CB6C62" w:rsidRPr="00CB427F" w:rsidRDefault="00ED05B8" w:rsidP="00C94B5E">
            <w:pPr>
              <w:spacing w:after="0" w:line="240" w:lineRule="auto"/>
              <w:rPr>
                <w:rFonts w:asciiTheme="minorHAnsi" w:hAnsiTheme="minorHAnsi"/>
                <w:bCs/>
                <w:iCs/>
              </w:rPr>
            </w:pPr>
            <w:r w:rsidRPr="00CB427F">
              <w:rPr>
                <w:rFonts w:asciiTheme="minorHAnsi" w:hAnsiTheme="minorHAnsi"/>
                <w:bCs/>
                <w:iCs/>
              </w:rPr>
              <w:t xml:space="preserve">The minimum ratio of CET1 to </w:t>
            </w:r>
            <w:r w:rsidR="00F95F1B" w:rsidRPr="00CB427F">
              <w:rPr>
                <w:rFonts w:asciiTheme="minorHAnsi" w:hAnsiTheme="minorHAnsi"/>
                <w:bCs/>
                <w:iCs/>
              </w:rPr>
              <w:t>Total Risk-Weighted Asset</w:t>
            </w:r>
            <w:r w:rsidRPr="00CB427F">
              <w:rPr>
                <w:rFonts w:asciiTheme="minorHAnsi" w:hAnsiTheme="minorHAnsi"/>
                <w:bCs/>
                <w:iCs/>
              </w:rPr>
              <w:t>s</w:t>
            </w:r>
            <w:r w:rsidR="00F95F1B" w:rsidRPr="00CB427F">
              <w:rPr>
                <w:rFonts w:asciiTheme="minorHAnsi" w:hAnsiTheme="minorHAnsi"/>
                <w:bCs/>
                <w:iCs/>
              </w:rPr>
              <w:t xml:space="preserve"> (RWAs)</w:t>
            </w:r>
            <w:r w:rsidRPr="00CB427F">
              <w:rPr>
                <w:rFonts w:asciiTheme="minorHAnsi" w:hAnsiTheme="minorHAnsi"/>
                <w:bCs/>
                <w:iCs/>
              </w:rPr>
              <w:t xml:space="preserve"> </w:t>
            </w:r>
            <w:r w:rsidR="00302EE5" w:rsidRPr="00CB427F">
              <w:rPr>
                <w:rFonts w:asciiTheme="minorHAnsi" w:hAnsiTheme="minorHAnsi"/>
                <w:bCs/>
                <w:iCs/>
              </w:rPr>
              <w:t xml:space="preserve">required </w:t>
            </w:r>
            <w:r w:rsidRPr="00CB427F">
              <w:rPr>
                <w:rFonts w:asciiTheme="minorHAnsi" w:hAnsiTheme="minorHAnsi"/>
                <w:bCs/>
                <w:iCs/>
              </w:rPr>
              <w:t xml:space="preserve">under </w:t>
            </w:r>
            <w:r w:rsidR="009E6B21" w:rsidRPr="00CB427F">
              <w:rPr>
                <w:rFonts w:asciiTheme="minorHAnsi" w:hAnsiTheme="minorHAnsi"/>
                <w:bCs/>
                <w:iCs/>
              </w:rPr>
              <w:t xml:space="preserve">BHC </w:t>
            </w:r>
            <w:r w:rsidR="00F95F1B" w:rsidRPr="00CB427F">
              <w:rPr>
                <w:rFonts w:asciiTheme="minorHAnsi" w:hAnsiTheme="minorHAnsi"/>
                <w:bCs/>
                <w:iCs/>
              </w:rPr>
              <w:t xml:space="preserve">Baseline </w:t>
            </w:r>
            <w:r w:rsidRPr="00CB427F">
              <w:rPr>
                <w:rFonts w:asciiTheme="minorHAnsi" w:hAnsiTheme="minorHAnsi"/>
                <w:bCs/>
                <w:iCs/>
              </w:rPr>
              <w:t>and Stressed conditions</w:t>
            </w:r>
            <w:r w:rsidR="00302EE5" w:rsidRPr="00CB427F">
              <w:rPr>
                <w:rFonts w:asciiTheme="minorHAnsi" w:hAnsiTheme="minorHAnsi"/>
                <w:bCs/>
                <w:iCs/>
              </w:rPr>
              <w:t>.</w:t>
            </w:r>
          </w:p>
        </w:tc>
      </w:tr>
      <w:tr w:rsidR="00ED05B8" w:rsidRPr="00CB427F" w14:paraId="52B2D0CD" w14:textId="77777777" w:rsidTr="00FD587F">
        <w:trPr>
          <w:trHeight w:val="246"/>
        </w:trPr>
        <w:tc>
          <w:tcPr>
            <w:tcW w:w="1728" w:type="dxa"/>
            <w:shd w:val="clear" w:color="auto" w:fill="auto"/>
          </w:tcPr>
          <w:p w14:paraId="5693AA33" w14:textId="77777777" w:rsidR="00ED05B8" w:rsidRPr="00CB427F" w:rsidRDefault="00ED05B8" w:rsidP="00ED05B8">
            <w:pPr>
              <w:rPr>
                <w:rFonts w:asciiTheme="minorHAnsi" w:hAnsiTheme="minorHAnsi"/>
                <w:b/>
                <w:bCs/>
                <w:iCs/>
              </w:rPr>
            </w:pPr>
            <w:r w:rsidRPr="00CB427F">
              <w:rPr>
                <w:rFonts w:asciiTheme="minorHAnsi" w:hAnsiTheme="minorHAnsi"/>
                <w:b/>
                <w:bCs/>
                <w:iCs/>
              </w:rPr>
              <w:t>RISK TYPE</w:t>
            </w:r>
          </w:p>
        </w:tc>
        <w:tc>
          <w:tcPr>
            <w:tcW w:w="7470" w:type="dxa"/>
            <w:shd w:val="clear" w:color="auto" w:fill="auto"/>
          </w:tcPr>
          <w:p w14:paraId="79F54DB3" w14:textId="77777777" w:rsidR="00ED05B8" w:rsidRPr="00CB427F" w:rsidRDefault="00ED05B8" w:rsidP="00ED05B8">
            <w:pPr>
              <w:spacing w:after="0" w:line="240" w:lineRule="auto"/>
              <w:rPr>
                <w:rFonts w:asciiTheme="minorHAnsi" w:hAnsiTheme="minorHAnsi"/>
                <w:bCs/>
                <w:iCs/>
              </w:rPr>
            </w:pPr>
            <w:r w:rsidRPr="00CB427F">
              <w:rPr>
                <w:rFonts w:asciiTheme="minorHAnsi" w:hAnsiTheme="minorHAnsi"/>
                <w:bCs/>
                <w:iCs/>
              </w:rPr>
              <w:t>Capital Adequacy</w:t>
            </w:r>
            <w:r w:rsidR="00885B82" w:rsidRPr="00CB427F">
              <w:rPr>
                <w:rFonts w:asciiTheme="minorHAnsi" w:hAnsiTheme="minorHAnsi"/>
                <w:bCs/>
                <w:iCs/>
              </w:rPr>
              <w:t xml:space="preserve"> Risk</w:t>
            </w:r>
          </w:p>
        </w:tc>
      </w:tr>
      <w:tr w:rsidR="008579A2" w:rsidRPr="00CB427F" w14:paraId="55AC1960" w14:textId="77777777" w:rsidTr="00FD587F">
        <w:trPr>
          <w:trHeight w:val="246"/>
        </w:trPr>
        <w:tc>
          <w:tcPr>
            <w:tcW w:w="1728" w:type="dxa"/>
            <w:shd w:val="clear" w:color="auto" w:fill="auto"/>
          </w:tcPr>
          <w:p w14:paraId="31011D38" w14:textId="77777777" w:rsidR="008579A2" w:rsidRPr="00CB427F" w:rsidRDefault="008579A2" w:rsidP="00ED05B8">
            <w:pPr>
              <w:rPr>
                <w:rFonts w:asciiTheme="minorHAnsi" w:hAnsiTheme="minorHAnsi"/>
                <w:b/>
                <w:bCs/>
                <w:iCs/>
              </w:rPr>
            </w:pPr>
            <w:r>
              <w:rPr>
                <w:rFonts w:asciiTheme="minorHAnsi" w:hAnsiTheme="minorHAnsi"/>
                <w:b/>
                <w:bCs/>
                <w:iCs/>
              </w:rPr>
              <w:t>RATIONALE</w:t>
            </w:r>
          </w:p>
        </w:tc>
        <w:tc>
          <w:tcPr>
            <w:tcW w:w="7470" w:type="dxa"/>
            <w:shd w:val="clear" w:color="auto" w:fill="auto"/>
          </w:tcPr>
          <w:p w14:paraId="12CAB188" w14:textId="77777777" w:rsidR="000F7334" w:rsidRDefault="000F7334" w:rsidP="00ED05B8">
            <w:pPr>
              <w:spacing w:after="0" w:line="240" w:lineRule="auto"/>
              <w:rPr>
                <w:rFonts w:asciiTheme="minorHAnsi" w:hAnsiTheme="minorHAnsi"/>
                <w:bCs/>
                <w:iCs/>
              </w:rPr>
            </w:pPr>
            <w:r>
              <w:rPr>
                <w:rFonts w:asciiTheme="minorHAnsi" w:hAnsiTheme="minorHAnsi"/>
                <w:bCs/>
                <w:iCs/>
              </w:rPr>
              <w:t>P</w:t>
            </w:r>
            <w:r w:rsidRPr="000F7334">
              <w:rPr>
                <w:rFonts w:asciiTheme="minorHAnsi" w:hAnsiTheme="minorHAnsi"/>
                <w:bCs/>
                <w:iCs/>
              </w:rPr>
              <w:t>art of the</w:t>
            </w:r>
            <w:r>
              <w:rPr>
                <w:rFonts w:asciiTheme="minorHAnsi" w:hAnsiTheme="minorHAnsi"/>
                <w:bCs/>
                <w:iCs/>
              </w:rPr>
              <w:t xml:space="preserve"> FDIC Prompt Corrective Action </w:t>
            </w:r>
            <w:r w:rsidRPr="000F7334">
              <w:rPr>
                <w:rFonts w:asciiTheme="minorHAnsi" w:hAnsiTheme="minorHAnsi"/>
                <w:bCs/>
                <w:iCs/>
              </w:rPr>
              <w:t>(“PCA”) standards</w:t>
            </w:r>
            <w:r>
              <w:rPr>
                <w:rFonts w:asciiTheme="minorHAnsi" w:hAnsiTheme="minorHAnsi"/>
                <w:bCs/>
                <w:iCs/>
              </w:rPr>
              <w:t xml:space="preserve">; if ratios fall below PCA adequately capitalized </w:t>
            </w:r>
            <w:r w:rsidR="00E9447A">
              <w:rPr>
                <w:rFonts w:asciiTheme="minorHAnsi" w:hAnsiTheme="minorHAnsi"/>
                <w:bCs/>
                <w:iCs/>
              </w:rPr>
              <w:t xml:space="preserve">levels, probability is high that SHUSA would not be able </w:t>
            </w:r>
            <w:r w:rsidR="007636BC">
              <w:rPr>
                <w:rFonts w:asciiTheme="minorHAnsi" w:hAnsiTheme="minorHAnsi"/>
                <w:bCs/>
                <w:iCs/>
              </w:rPr>
              <w:t>to act as a financial intermediary.</w:t>
            </w:r>
          </w:p>
          <w:p w14:paraId="05096D20" w14:textId="77777777" w:rsidR="008579A2" w:rsidRPr="00CB427F" w:rsidRDefault="000F7334" w:rsidP="00ED05B8">
            <w:pPr>
              <w:spacing w:after="0" w:line="240" w:lineRule="auto"/>
              <w:rPr>
                <w:rFonts w:asciiTheme="minorHAnsi" w:hAnsiTheme="minorHAnsi"/>
                <w:bCs/>
                <w:iCs/>
              </w:rPr>
            </w:pPr>
            <w:r>
              <w:rPr>
                <w:rFonts w:asciiTheme="minorHAnsi" w:hAnsiTheme="minorHAnsi"/>
                <w:bCs/>
                <w:iCs/>
              </w:rPr>
              <w:t>I</w:t>
            </w:r>
            <w:r w:rsidRPr="000F7334">
              <w:rPr>
                <w:rFonts w:asciiTheme="minorHAnsi" w:hAnsiTheme="minorHAnsi"/>
                <w:bCs/>
                <w:iCs/>
              </w:rPr>
              <w:t>mportant to external stakeholders when making decisions regarding SHUSA in either normal or stressful economic environments</w:t>
            </w:r>
            <w:r w:rsidR="007636BC">
              <w:rPr>
                <w:rFonts w:asciiTheme="minorHAnsi" w:hAnsiTheme="minorHAnsi"/>
                <w:bCs/>
                <w:iCs/>
              </w:rPr>
              <w:t>.</w:t>
            </w:r>
          </w:p>
        </w:tc>
      </w:tr>
      <w:tr w:rsidR="00F3693B" w:rsidRPr="00CB427F" w14:paraId="42DD578E" w14:textId="77777777" w:rsidTr="00090F9A">
        <w:trPr>
          <w:trHeight w:val="358"/>
        </w:trPr>
        <w:tc>
          <w:tcPr>
            <w:tcW w:w="1728" w:type="dxa"/>
            <w:shd w:val="clear" w:color="auto" w:fill="auto"/>
          </w:tcPr>
          <w:p w14:paraId="46564CEB" w14:textId="77777777" w:rsidR="00F3693B" w:rsidRPr="00CB427F" w:rsidRDefault="00F3693B" w:rsidP="007E122B">
            <w:pPr>
              <w:rPr>
                <w:rFonts w:asciiTheme="minorHAnsi" w:hAnsiTheme="minorHAnsi"/>
                <w:b/>
                <w:bCs/>
                <w:iCs/>
              </w:rPr>
            </w:pPr>
            <w:r w:rsidRPr="00CB427F">
              <w:rPr>
                <w:rFonts w:asciiTheme="minorHAnsi" w:hAnsiTheme="minorHAnsi"/>
                <w:b/>
                <w:bCs/>
                <w:iCs/>
              </w:rPr>
              <w:t>ENTITY</w:t>
            </w:r>
          </w:p>
        </w:tc>
        <w:tc>
          <w:tcPr>
            <w:tcW w:w="7470" w:type="dxa"/>
            <w:shd w:val="clear" w:color="auto" w:fill="auto"/>
          </w:tcPr>
          <w:p w14:paraId="77D1B36D" w14:textId="77777777" w:rsidR="00F3693B" w:rsidRPr="00CB427F" w:rsidRDefault="00F3693B" w:rsidP="007E122B">
            <w:pPr>
              <w:spacing w:after="0" w:line="240" w:lineRule="auto"/>
              <w:rPr>
                <w:rFonts w:asciiTheme="minorHAnsi" w:hAnsiTheme="minorHAnsi"/>
                <w:b/>
                <w:bCs/>
                <w:iCs/>
              </w:rPr>
            </w:pPr>
            <w:r w:rsidRPr="00CB427F">
              <w:rPr>
                <w:rFonts w:asciiTheme="minorHAnsi" w:hAnsiTheme="minorHAnsi"/>
                <w:b/>
                <w:bCs/>
                <w:iCs/>
              </w:rPr>
              <w:t>SHUSA</w:t>
            </w:r>
          </w:p>
        </w:tc>
      </w:tr>
      <w:tr w:rsidR="00F3693B" w:rsidRPr="00CB427F" w14:paraId="4920594B" w14:textId="77777777" w:rsidTr="00F3693B">
        <w:trPr>
          <w:trHeight w:val="255"/>
        </w:trPr>
        <w:tc>
          <w:tcPr>
            <w:tcW w:w="1728" w:type="dxa"/>
            <w:shd w:val="clear" w:color="auto" w:fill="auto"/>
          </w:tcPr>
          <w:p w14:paraId="560784C2" w14:textId="17AF5677" w:rsidR="00F3693B" w:rsidRPr="00CB427F" w:rsidRDefault="00090F9A" w:rsidP="00511F11">
            <w:pPr>
              <w:rPr>
                <w:rFonts w:asciiTheme="minorHAnsi" w:hAnsiTheme="minorHAnsi"/>
                <w:b/>
                <w:bCs/>
                <w:iCs/>
              </w:rPr>
            </w:pPr>
            <w:r>
              <w:rPr>
                <w:rFonts w:asciiTheme="minorHAnsi" w:hAnsiTheme="minorHAnsi"/>
                <w:b/>
                <w:bCs/>
                <w:iCs/>
              </w:rPr>
              <w:t xml:space="preserve">METRIC </w:t>
            </w:r>
            <w:r w:rsidR="00511F11">
              <w:rPr>
                <w:rFonts w:asciiTheme="minorHAnsi" w:hAnsiTheme="minorHAnsi"/>
                <w:b/>
                <w:bCs/>
                <w:iCs/>
              </w:rPr>
              <w:t>PROVIDER</w:t>
            </w:r>
          </w:p>
        </w:tc>
        <w:tc>
          <w:tcPr>
            <w:tcW w:w="7470" w:type="dxa"/>
            <w:shd w:val="clear" w:color="auto" w:fill="auto"/>
          </w:tcPr>
          <w:p w14:paraId="797CF06C" w14:textId="77777777" w:rsidR="00F3693B" w:rsidRPr="00090F9A" w:rsidRDefault="00F3693B" w:rsidP="008579A2">
            <w:pPr>
              <w:spacing w:after="0" w:line="240" w:lineRule="auto"/>
              <w:rPr>
                <w:rFonts w:asciiTheme="minorHAnsi" w:hAnsiTheme="minorHAnsi"/>
                <w:b/>
                <w:bCs/>
                <w:iCs/>
              </w:rPr>
            </w:pPr>
            <w:r w:rsidRPr="00090F9A">
              <w:rPr>
                <w:rFonts w:asciiTheme="minorHAnsi" w:hAnsiTheme="minorHAnsi"/>
                <w:b/>
                <w:bCs/>
                <w:iCs/>
              </w:rPr>
              <w:t>SHUSA Director of Capital Policy</w:t>
            </w:r>
          </w:p>
        </w:tc>
      </w:tr>
      <w:tr w:rsidR="008579A2" w:rsidRPr="00CB427F" w14:paraId="7A69F8BB" w14:textId="77777777" w:rsidTr="00FD587F">
        <w:trPr>
          <w:trHeight w:val="692"/>
        </w:trPr>
        <w:tc>
          <w:tcPr>
            <w:tcW w:w="1728" w:type="dxa"/>
            <w:shd w:val="clear" w:color="auto" w:fill="auto"/>
          </w:tcPr>
          <w:p w14:paraId="790E6809" w14:textId="77777777" w:rsidR="008579A2" w:rsidRPr="00CB427F" w:rsidRDefault="008579A2" w:rsidP="00FC6780">
            <w:pPr>
              <w:rPr>
                <w:rFonts w:asciiTheme="minorHAnsi" w:hAnsiTheme="minorHAnsi"/>
                <w:b/>
                <w:bCs/>
                <w:iCs/>
              </w:rPr>
            </w:pPr>
            <w:r w:rsidRPr="00CB427F">
              <w:rPr>
                <w:rFonts w:asciiTheme="minorHAnsi" w:hAnsiTheme="minorHAnsi"/>
                <w:b/>
                <w:bCs/>
                <w:iCs/>
              </w:rPr>
              <w:t>TRIGGER AND LIMIT SETTING</w:t>
            </w:r>
          </w:p>
        </w:tc>
        <w:tc>
          <w:tcPr>
            <w:tcW w:w="7470" w:type="dxa"/>
            <w:shd w:val="clear" w:color="auto" w:fill="auto"/>
          </w:tcPr>
          <w:p w14:paraId="38BA20A6" w14:textId="77777777" w:rsidR="008579A2" w:rsidRPr="00CB427F" w:rsidRDefault="008579A2" w:rsidP="008579A2">
            <w:pPr>
              <w:spacing w:after="0" w:line="240" w:lineRule="auto"/>
              <w:rPr>
                <w:rFonts w:asciiTheme="minorHAnsi" w:hAnsiTheme="minorHAnsi"/>
                <w:iCs/>
                <w:lang w:bidi="en-US"/>
              </w:rPr>
            </w:pPr>
            <w:r w:rsidRPr="00CB427F">
              <w:rPr>
                <w:rFonts w:asciiTheme="minorHAnsi" w:hAnsiTheme="minorHAnsi"/>
                <w:iCs/>
                <w:lang w:bidi="en-US"/>
              </w:rPr>
              <w:t xml:space="preserve">The Amber trigger and Red limit for CET1 are set annually based on </w:t>
            </w:r>
            <w:r w:rsidR="00F3693B">
              <w:rPr>
                <w:rFonts w:asciiTheme="minorHAnsi" w:hAnsiTheme="minorHAnsi"/>
                <w:iCs/>
                <w:lang w:bidi="en-US"/>
              </w:rPr>
              <w:t>SHUSA’s</w:t>
            </w:r>
            <w:r w:rsidRPr="00CB427F">
              <w:rPr>
                <w:rFonts w:asciiTheme="minorHAnsi" w:hAnsiTheme="minorHAnsi"/>
                <w:iCs/>
                <w:lang w:bidi="en-US"/>
              </w:rPr>
              <w:t xml:space="preserve"> approved CET1 Capital Policy ratios at time of RAS setting:</w:t>
            </w:r>
          </w:p>
          <w:p w14:paraId="5783520D" w14:textId="77777777" w:rsidR="008579A2" w:rsidRPr="00CB427F" w:rsidRDefault="008579A2" w:rsidP="008579A2">
            <w:pPr>
              <w:pStyle w:val="ListParagraph"/>
              <w:numPr>
                <w:ilvl w:val="0"/>
                <w:numId w:val="4"/>
              </w:numPr>
              <w:spacing w:after="0" w:line="240" w:lineRule="auto"/>
              <w:rPr>
                <w:rFonts w:eastAsia="Calibri" w:cs="Times New Roman"/>
                <w:iCs/>
                <w:szCs w:val="22"/>
                <w:lang w:val="en-US" w:bidi="en-US"/>
              </w:rPr>
            </w:pPr>
            <w:r w:rsidRPr="00CB427F">
              <w:rPr>
                <w:rFonts w:eastAsia="Calibri" w:cs="Times New Roman"/>
                <w:iCs/>
                <w:szCs w:val="22"/>
                <w:lang w:val="en-US" w:bidi="en-US"/>
              </w:rPr>
              <w:t>BHC Baseline scenario: Trigger is ratio for “use for capital expectations”; Limit is “internal business-as-usual minimum”.</w:t>
            </w:r>
          </w:p>
          <w:p w14:paraId="63EF9D14" w14:textId="77777777" w:rsidR="008579A2" w:rsidRPr="00CB427F" w:rsidRDefault="008579A2" w:rsidP="003360CE">
            <w:pPr>
              <w:pStyle w:val="ListParagraph"/>
              <w:numPr>
                <w:ilvl w:val="0"/>
                <w:numId w:val="4"/>
              </w:numPr>
              <w:spacing w:after="0" w:line="240" w:lineRule="auto"/>
              <w:rPr>
                <w:rFonts w:eastAsia="Calibri" w:cs="Times New Roman"/>
                <w:iCs/>
                <w:szCs w:val="22"/>
                <w:lang w:val="en-US" w:bidi="en-US"/>
              </w:rPr>
            </w:pPr>
            <w:r w:rsidRPr="00CB427F">
              <w:rPr>
                <w:rFonts w:eastAsia="Calibri" w:cs="Times New Roman"/>
                <w:iCs/>
                <w:szCs w:val="22"/>
                <w:lang w:val="en-US" w:bidi="en-US"/>
              </w:rPr>
              <w:t>BHC Stress scenario: Trigger is ratio “internal post-stress minimum level”</w:t>
            </w:r>
            <w:r w:rsidR="003360CE">
              <w:rPr>
                <w:rFonts w:eastAsia="Calibri" w:cs="Times New Roman"/>
                <w:iCs/>
                <w:szCs w:val="22"/>
                <w:lang w:val="en-US" w:bidi="en-US"/>
              </w:rPr>
              <w:t xml:space="preserve"> plus a management adjustment</w:t>
            </w:r>
            <w:r w:rsidRPr="00CB427F">
              <w:rPr>
                <w:rFonts w:eastAsia="Calibri" w:cs="Times New Roman"/>
                <w:iCs/>
                <w:szCs w:val="22"/>
                <w:lang w:val="en-US" w:bidi="en-US"/>
              </w:rPr>
              <w:t>;</w:t>
            </w:r>
            <w:r w:rsidR="003360CE">
              <w:rPr>
                <w:rFonts w:eastAsia="Calibri" w:cs="Times New Roman"/>
                <w:iCs/>
                <w:szCs w:val="22"/>
                <w:lang w:val="en-US" w:bidi="en-US"/>
              </w:rPr>
              <w:t xml:space="preserve"> </w:t>
            </w:r>
            <w:r w:rsidRPr="00CB427F">
              <w:rPr>
                <w:rFonts w:eastAsia="Calibri" w:cs="Times New Roman"/>
                <w:iCs/>
                <w:szCs w:val="22"/>
                <w:lang w:val="en-US" w:bidi="en-US"/>
              </w:rPr>
              <w:t>Limit is “</w:t>
            </w:r>
            <w:r w:rsidR="003360CE">
              <w:rPr>
                <w:rFonts w:eastAsia="Calibri" w:cs="Times New Roman"/>
                <w:iCs/>
                <w:szCs w:val="22"/>
                <w:lang w:val="en-US" w:bidi="en-US"/>
              </w:rPr>
              <w:t>internal post-stress minimum level”.</w:t>
            </w:r>
            <w:r w:rsidR="00861B2D">
              <w:rPr>
                <w:rFonts w:eastAsia="Calibri" w:cs="Times New Roman"/>
                <w:iCs/>
                <w:szCs w:val="22"/>
                <w:lang w:val="en-US" w:bidi="en-US"/>
              </w:rPr>
              <w:t xml:space="preserve"> </w:t>
            </w:r>
          </w:p>
        </w:tc>
      </w:tr>
      <w:tr w:rsidR="008579A2" w:rsidRPr="00CB427F" w14:paraId="0533589F" w14:textId="77777777" w:rsidTr="00FD587F">
        <w:trPr>
          <w:trHeight w:val="692"/>
        </w:trPr>
        <w:tc>
          <w:tcPr>
            <w:tcW w:w="1728" w:type="dxa"/>
            <w:shd w:val="clear" w:color="auto" w:fill="auto"/>
          </w:tcPr>
          <w:p w14:paraId="4E78106C" w14:textId="77777777" w:rsidR="008579A2" w:rsidRPr="00CB427F" w:rsidRDefault="008579A2" w:rsidP="00FC6780">
            <w:pPr>
              <w:rPr>
                <w:rFonts w:asciiTheme="minorHAnsi" w:hAnsiTheme="minorHAnsi"/>
                <w:b/>
                <w:bCs/>
                <w:iCs/>
              </w:rPr>
            </w:pPr>
            <w:r w:rsidRPr="00CB427F">
              <w:rPr>
                <w:rFonts w:asciiTheme="minorHAnsi" w:hAnsiTheme="minorHAnsi"/>
                <w:b/>
                <w:bCs/>
                <w:iCs/>
              </w:rPr>
              <w:t>TESTING FREQUENCY</w:t>
            </w:r>
          </w:p>
        </w:tc>
        <w:tc>
          <w:tcPr>
            <w:tcW w:w="7470" w:type="dxa"/>
            <w:shd w:val="clear" w:color="auto" w:fill="auto"/>
          </w:tcPr>
          <w:p w14:paraId="6F1AEE0D" w14:textId="77777777" w:rsidR="008579A2" w:rsidRPr="00CB427F" w:rsidRDefault="008579A2" w:rsidP="008579A2">
            <w:pPr>
              <w:pStyle w:val="ListParagraph"/>
              <w:numPr>
                <w:ilvl w:val="0"/>
                <w:numId w:val="4"/>
              </w:numPr>
              <w:spacing w:before="120" w:after="120" w:line="240" w:lineRule="auto"/>
              <w:rPr>
                <w:rFonts w:eastAsia="Calibri" w:cs="Times New Roman"/>
                <w:iCs/>
                <w:szCs w:val="22"/>
                <w:lang w:val="en-US" w:bidi="en-US"/>
              </w:rPr>
            </w:pPr>
            <w:r w:rsidRPr="00CB427F">
              <w:rPr>
                <w:rFonts w:eastAsia="Calibri" w:cs="Times New Roman"/>
                <w:iCs/>
                <w:szCs w:val="22"/>
                <w:lang w:val="en-US" w:bidi="en-US"/>
              </w:rPr>
              <w:t>Annually/CCAR output: The lowest value of the 9 quarters covered by the CCAR exercise is compared to the trigger and limit derived from the application of the Capital Policy (see above). The RAS will be presented for annual review with the CCAR outputs compared to the proposed trigger and limit.</w:t>
            </w:r>
          </w:p>
          <w:p w14:paraId="772B5B5C" w14:textId="77777777" w:rsidR="008579A2" w:rsidRPr="00CB427F" w:rsidRDefault="008579A2" w:rsidP="008579A2">
            <w:pPr>
              <w:pStyle w:val="ListParagraph"/>
              <w:numPr>
                <w:ilvl w:val="0"/>
                <w:numId w:val="4"/>
              </w:numPr>
              <w:spacing w:before="120" w:after="120" w:line="240" w:lineRule="auto"/>
              <w:rPr>
                <w:rFonts w:eastAsia="Calibri" w:cs="Times New Roman"/>
                <w:iCs/>
                <w:szCs w:val="22"/>
                <w:lang w:val="en-US" w:bidi="en-US"/>
              </w:rPr>
            </w:pPr>
            <w:r w:rsidRPr="00CB427F">
              <w:rPr>
                <w:rFonts w:eastAsia="Calibri" w:cs="Times New Roman"/>
                <w:iCs/>
                <w:szCs w:val="22"/>
                <w:lang w:val="en-US" w:bidi="en-US"/>
              </w:rPr>
              <w:t>Mid-cycle: The lowest value of the 9 quarters covered  by the Mid-cycle exercise is compared to the trigger and limit derived from the application of the Capital Policy</w:t>
            </w:r>
          </w:p>
          <w:p w14:paraId="555CD554" w14:textId="77777777" w:rsidR="008579A2" w:rsidRPr="00CB427F" w:rsidRDefault="008579A2" w:rsidP="008579A2">
            <w:pPr>
              <w:pStyle w:val="ListParagraph"/>
              <w:numPr>
                <w:ilvl w:val="0"/>
                <w:numId w:val="4"/>
              </w:numPr>
              <w:spacing w:before="120" w:after="120" w:line="240" w:lineRule="auto"/>
              <w:rPr>
                <w:rFonts w:eastAsia="Calibri" w:cs="Times New Roman"/>
                <w:iCs/>
                <w:szCs w:val="22"/>
                <w:lang w:val="en-US" w:bidi="en-US"/>
              </w:rPr>
            </w:pPr>
            <w:r w:rsidRPr="00CB427F">
              <w:rPr>
                <w:rFonts w:eastAsia="Calibri" w:cs="Times New Roman"/>
                <w:iCs/>
                <w:szCs w:val="22"/>
                <w:lang w:val="en-US" w:bidi="en-US"/>
              </w:rPr>
              <w:t xml:space="preserve">Strategic Plan (e.g. P-18): The projected capital levels from the strategic plan are compared to the RAS limits and thresholds </w:t>
            </w:r>
          </w:p>
          <w:p w14:paraId="6570C98F" w14:textId="77777777" w:rsidR="008579A2" w:rsidRPr="00CB427F" w:rsidRDefault="008579A2" w:rsidP="008579A2">
            <w:pPr>
              <w:pStyle w:val="ListParagraph"/>
              <w:numPr>
                <w:ilvl w:val="0"/>
                <w:numId w:val="4"/>
              </w:numPr>
              <w:spacing w:before="240" w:after="120" w:line="240" w:lineRule="auto"/>
              <w:rPr>
                <w:rFonts w:eastAsia="Calibri" w:cs="Times New Roman"/>
                <w:iCs/>
                <w:szCs w:val="22"/>
                <w:lang w:val="en-US" w:bidi="en-US"/>
              </w:rPr>
            </w:pPr>
            <w:r w:rsidRPr="00CB427F">
              <w:rPr>
                <w:rFonts w:eastAsia="Calibri" w:cs="Times New Roman"/>
                <w:iCs/>
                <w:szCs w:val="22"/>
                <w:lang w:val="en-US" w:bidi="en-US"/>
              </w:rPr>
              <w:t xml:space="preserve">Monthly: On a monthly basis the actual level of the metric is compared only to the BHC Baseline scenario limit and trigger. </w:t>
            </w:r>
          </w:p>
          <w:p w14:paraId="32F16F2E" w14:textId="77777777" w:rsidR="00531C85" w:rsidRDefault="00531C85" w:rsidP="008579A2">
            <w:pPr>
              <w:spacing w:after="0" w:line="240" w:lineRule="auto"/>
              <w:jc w:val="center"/>
              <w:rPr>
                <w:rFonts w:asciiTheme="minorHAnsi" w:hAnsiTheme="minorHAnsi"/>
                <w:iCs/>
                <w:sz w:val="28"/>
                <w:szCs w:val="28"/>
              </w:rPr>
            </w:pPr>
          </w:p>
          <w:p w14:paraId="734317B1" w14:textId="77777777" w:rsidR="008579A2" w:rsidRDefault="00DB2B0B" w:rsidP="008579A2">
            <w:pPr>
              <w:spacing w:after="0" w:line="240" w:lineRule="auto"/>
              <w:jc w:val="center"/>
              <w:rPr>
                <w:rFonts w:asciiTheme="minorHAnsi" w:eastAsiaTheme="minorHAnsi" w:hAnsiTheme="minorHAnsi" w:cs="Arial"/>
                <w:iCs/>
              </w:rPr>
            </w:pPr>
            <m:oMath>
              <m:f>
                <m:fPr>
                  <m:ctrlPr>
                    <w:rPr>
                      <w:rFonts w:ascii="Cambria Math" w:eastAsiaTheme="minorHAnsi" w:hAnsi="Cambria Math" w:cs="Arial"/>
                      <w:i/>
                      <w:iCs/>
                      <w:sz w:val="28"/>
                      <w:szCs w:val="28"/>
                    </w:rPr>
                  </m:ctrlPr>
                </m:fPr>
                <m:num>
                  <m:r>
                    <w:rPr>
                      <w:rFonts w:ascii="Cambria Math" w:eastAsiaTheme="minorHAnsi" w:hAnsi="Cambria Math" w:cs="Arial"/>
                      <w:sz w:val="28"/>
                      <w:szCs w:val="28"/>
                    </w:rPr>
                    <m:t>CET1</m:t>
                  </m:r>
                </m:num>
                <m:den>
                  <m:r>
                    <w:rPr>
                      <w:rFonts w:ascii="Cambria Math" w:eastAsiaTheme="minorHAnsi" w:hAnsi="Cambria Math" w:cs="Arial"/>
                      <w:sz w:val="28"/>
                      <w:szCs w:val="28"/>
                    </w:rPr>
                    <m:t>Total Risk Weighted Assets</m:t>
                  </m:r>
                </m:den>
              </m:f>
            </m:oMath>
            <w:r w:rsidR="008579A2" w:rsidRPr="00CB427F">
              <w:rPr>
                <w:rFonts w:asciiTheme="minorHAnsi" w:eastAsiaTheme="minorHAnsi" w:hAnsiTheme="minorHAnsi" w:cs="Arial"/>
                <w:iCs/>
              </w:rPr>
              <w:t xml:space="preserve"> </w:t>
            </w:r>
          </w:p>
          <w:p w14:paraId="6FF0D54A" w14:textId="77777777" w:rsidR="008579A2" w:rsidRPr="00CB427F" w:rsidDel="00744A1B" w:rsidRDefault="008579A2" w:rsidP="008579A2">
            <w:pPr>
              <w:spacing w:after="0" w:line="240" w:lineRule="auto"/>
              <w:jc w:val="center"/>
              <w:rPr>
                <w:rFonts w:asciiTheme="minorHAnsi" w:eastAsiaTheme="minorHAnsi" w:hAnsiTheme="minorHAnsi" w:cs="Arial"/>
                <w:iCs/>
              </w:rPr>
            </w:pPr>
          </w:p>
        </w:tc>
      </w:tr>
      <w:tr w:rsidR="008579A2" w:rsidRPr="00CB427F" w14:paraId="5D0E43D6" w14:textId="77777777" w:rsidTr="00FD587F">
        <w:trPr>
          <w:trHeight w:val="510"/>
        </w:trPr>
        <w:tc>
          <w:tcPr>
            <w:tcW w:w="1728" w:type="dxa"/>
            <w:shd w:val="clear" w:color="auto" w:fill="auto"/>
          </w:tcPr>
          <w:p w14:paraId="1DDB6C0F" w14:textId="77777777" w:rsidR="008579A2" w:rsidRPr="00CB427F" w:rsidRDefault="008579A2" w:rsidP="00FC6780">
            <w:pPr>
              <w:rPr>
                <w:rFonts w:asciiTheme="minorHAnsi" w:hAnsiTheme="minorHAnsi"/>
                <w:b/>
                <w:bCs/>
                <w:iCs/>
              </w:rPr>
            </w:pPr>
            <w:r w:rsidRPr="00CB427F" w:rsidDel="00EA647D">
              <w:rPr>
                <w:rFonts w:asciiTheme="minorHAnsi" w:hAnsiTheme="minorHAnsi"/>
                <w:b/>
                <w:bCs/>
                <w:iCs/>
              </w:rPr>
              <w:t>SOURCE OF INFORMATION</w:t>
            </w:r>
          </w:p>
        </w:tc>
        <w:tc>
          <w:tcPr>
            <w:tcW w:w="7470" w:type="dxa"/>
            <w:shd w:val="clear" w:color="auto" w:fill="auto"/>
          </w:tcPr>
          <w:p w14:paraId="05CD39F1" w14:textId="61F6D233" w:rsidR="008579A2" w:rsidRPr="00CB427F" w:rsidRDefault="008579A2" w:rsidP="008579A2">
            <w:pPr>
              <w:numPr>
                <w:ilvl w:val="0"/>
                <w:numId w:val="4"/>
              </w:numPr>
              <w:spacing w:after="0" w:line="240" w:lineRule="auto"/>
              <w:contextualSpacing/>
              <w:rPr>
                <w:rFonts w:asciiTheme="minorHAnsi" w:eastAsiaTheme="minorHAnsi" w:hAnsiTheme="minorHAnsi" w:cstheme="minorBidi"/>
                <w:bCs/>
                <w:iCs/>
                <w:szCs w:val="24"/>
              </w:rPr>
            </w:pPr>
            <w:r w:rsidRPr="00CB427F">
              <w:rPr>
                <w:rFonts w:asciiTheme="minorHAnsi" w:eastAsiaTheme="minorHAnsi" w:hAnsiTheme="minorHAnsi" w:cstheme="minorBidi"/>
                <w:bCs/>
                <w:iCs/>
                <w:szCs w:val="24"/>
              </w:rPr>
              <w:t xml:space="preserve">Capital Policy levels: Capital team for </w:t>
            </w:r>
            <w:r w:rsidR="005C0CB8">
              <w:rPr>
                <w:rFonts w:asciiTheme="minorHAnsi" w:eastAsiaTheme="minorHAnsi" w:hAnsiTheme="minorHAnsi" w:cstheme="minorBidi"/>
                <w:bCs/>
                <w:iCs/>
                <w:szCs w:val="24"/>
              </w:rPr>
              <w:t>SHUSA</w:t>
            </w:r>
            <w:r w:rsidRPr="00CB427F">
              <w:rPr>
                <w:rFonts w:asciiTheme="minorHAnsi" w:eastAsiaTheme="minorHAnsi" w:hAnsiTheme="minorHAnsi" w:cstheme="minorBidi"/>
                <w:bCs/>
                <w:iCs/>
                <w:szCs w:val="24"/>
              </w:rPr>
              <w:t xml:space="preserve"> based on the capital policy in effect at the time of the RAS submission</w:t>
            </w:r>
          </w:p>
          <w:p w14:paraId="2D3498C3" w14:textId="77777777" w:rsidR="008579A2" w:rsidRPr="00CB427F" w:rsidRDefault="008579A2" w:rsidP="008579A2">
            <w:pPr>
              <w:numPr>
                <w:ilvl w:val="0"/>
                <w:numId w:val="4"/>
              </w:numPr>
              <w:spacing w:after="0" w:line="240" w:lineRule="auto"/>
              <w:contextualSpacing/>
              <w:rPr>
                <w:rFonts w:asciiTheme="minorHAnsi" w:eastAsiaTheme="minorHAnsi" w:hAnsiTheme="minorHAnsi" w:cstheme="minorBidi"/>
                <w:bCs/>
                <w:iCs/>
                <w:szCs w:val="24"/>
              </w:rPr>
            </w:pPr>
            <w:r w:rsidRPr="00CB427F">
              <w:rPr>
                <w:rFonts w:asciiTheme="minorHAnsi" w:eastAsiaTheme="minorHAnsi" w:hAnsiTheme="minorHAnsi" w:cstheme="minorBidi"/>
                <w:bCs/>
                <w:iCs/>
                <w:szCs w:val="24"/>
              </w:rPr>
              <w:t>Annual CCAR: CCAR Team. Taken from the Y14A spreadsheet</w:t>
            </w:r>
          </w:p>
          <w:p w14:paraId="55D52BE2" w14:textId="77777777" w:rsidR="008579A2" w:rsidRPr="00CB427F" w:rsidRDefault="008579A2" w:rsidP="008579A2">
            <w:pPr>
              <w:numPr>
                <w:ilvl w:val="0"/>
                <w:numId w:val="4"/>
              </w:numPr>
              <w:spacing w:after="0" w:line="240" w:lineRule="auto"/>
              <w:contextualSpacing/>
              <w:rPr>
                <w:rFonts w:asciiTheme="minorHAnsi" w:eastAsiaTheme="minorHAnsi" w:hAnsiTheme="minorHAnsi" w:cstheme="minorBidi"/>
                <w:bCs/>
                <w:iCs/>
                <w:szCs w:val="24"/>
              </w:rPr>
            </w:pPr>
            <w:r w:rsidRPr="00CB427F">
              <w:rPr>
                <w:rFonts w:asciiTheme="minorHAnsi" w:eastAsiaTheme="minorHAnsi" w:hAnsiTheme="minorHAnsi" w:cstheme="minorBidi"/>
                <w:bCs/>
                <w:iCs/>
                <w:szCs w:val="24"/>
              </w:rPr>
              <w:t>Mid-cycle: CCAR Team. Taken from the Y14A spreadsheet</w:t>
            </w:r>
          </w:p>
          <w:p w14:paraId="6E015C09" w14:textId="77777777" w:rsidR="008579A2" w:rsidRPr="00CB427F" w:rsidRDefault="008579A2" w:rsidP="008579A2">
            <w:pPr>
              <w:numPr>
                <w:ilvl w:val="0"/>
                <w:numId w:val="4"/>
              </w:numPr>
              <w:spacing w:after="0" w:line="240" w:lineRule="auto"/>
              <w:contextualSpacing/>
              <w:rPr>
                <w:rFonts w:asciiTheme="minorHAnsi" w:hAnsiTheme="minorHAnsi"/>
                <w:bCs/>
                <w:iCs/>
              </w:rPr>
            </w:pPr>
            <w:r w:rsidRPr="00CB427F">
              <w:rPr>
                <w:rFonts w:asciiTheme="minorHAnsi" w:hAnsiTheme="minorHAnsi"/>
                <w:iCs/>
                <w:lang w:bidi="en-US"/>
              </w:rPr>
              <w:t>Strategic Plan</w:t>
            </w:r>
            <w:r w:rsidRPr="00CB427F">
              <w:rPr>
                <w:rFonts w:asciiTheme="minorHAnsi" w:eastAsiaTheme="minorHAnsi" w:hAnsiTheme="minorHAnsi" w:cstheme="minorBidi"/>
                <w:bCs/>
                <w:iCs/>
                <w:szCs w:val="24"/>
              </w:rPr>
              <w:t xml:space="preserve">: Strategic and Capital planning team </w:t>
            </w:r>
          </w:p>
          <w:p w14:paraId="4534A46E" w14:textId="77777777" w:rsidR="008579A2" w:rsidRPr="00CB427F" w:rsidRDefault="008579A2" w:rsidP="008579A2">
            <w:pPr>
              <w:numPr>
                <w:ilvl w:val="0"/>
                <w:numId w:val="4"/>
              </w:numPr>
              <w:spacing w:after="0" w:line="240" w:lineRule="auto"/>
              <w:contextualSpacing/>
              <w:rPr>
                <w:rFonts w:asciiTheme="minorHAnsi" w:hAnsiTheme="minorHAnsi"/>
                <w:bCs/>
                <w:iCs/>
              </w:rPr>
            </w:pPr>
            <w:r w:rsidRPr="00CB427F">
              <w:rPr>
                <w:rFonts w:asciiTheme="minorHAnsi" w:eastAsiaTheme="minorHAnsi" w:hAnsiTheme="minorHAnsi" w:cstheme="minorBidi"/>
                <w:bCs/>
                <w:iCs/>
                <w:szCs w:val="24"/>
              </w:rPr>
              <w:t>The monthly values for SHUSA Capital metrics are generated by Regulatory Capital and are made available through their SharePoint site each month.</w:t>
            </w:r>
          </w:p>
          <w:p w14:paraId="0F94DDD1" w14:textId="77777777" w:rsidR="008579A2" w:rsidRPr="00FD587F" w:rsidRDefault="008579A2" w:rsidP="00F3693B">
            <w:pPr>
              <w:pStyle w:val="ListParagraph"/>
              <w:spacing w:after="0" w:line="240" w:lineRule="auto"/>
              <w:ind w:left="360"/>
              <w:rPr>
                <w:szCs w:val="22"/>
              </w:rPr>
            </w:pPr>
          </w:p>
        </w:tc>
      </w:tr>
    </w:tbl>
    <w:p w14:paraId="074D4954" w14:textId="77777777" w:rsidR="008721F5" w:rsidRDefault="008721F5" w:rsidP="00FC6780">
      <w:pPr>
        <w:pStyle w:val="ListParagraph"/>
        <w:ind w:left="680"/>
        <w:rPr>
          <w:rFonts w:ascii="Calibri" w:eastAsia="Calibri" w:hAnsi="Calibri" w:cs="Times New Roman"/>
          <w:b/>
          <w:bCs/>
          <w:color w:val="000000" w:themeColor="text1"/>
          <w:sz w:val="24"/>
          <w:lang w:val="en-US" w:bidi="en-US"/>
        </w:rPr>
      </w:pPr>
    </w:p>
    <w:p w14:paraId="6A6278A6" w14:textId="77777777" w:rsidR="00090F9A" w:rsidRPr="00A45BA6" w:rsidRDefault="00090F9A" w:rsidP="00090F9A">
      <w:pPr>
        <w:pStyle w:val="SANUS2"/>
        <w:numPr>
          <w:ilvl w:val="1"/>
          <w:numId w:val="1"/>
        </w:numPr>
        <w:rPr>
          <w:color w:val="000000" w:themeColor="text1"/>
        </w:rPr>
      </w:pPr>
      <w:bookmarkStart w:id="25" w:name="_Toc452544008"/>
      <w:bookmarkStart w:id="26" w:name="_Toc453849276"/>
      <w:r>
        <w:rPr>
          <w:color w:val="000000" w:themeColor="text1"/>
        </w:rPr>
        <w:t>Total Risk-Based Capital (TRBC) Ratio (baseline and stress)</w:t>
      </w:r>
      <w:bookmarkEnd w:id="25"/>
      <w:bookmarkEnd w:id="26"/>
    </w:p>
    <w:tbl>
      <w:tblPr>
        <w:tblpPr w:leftFromText="180" w:rightFromText="180" w:vertAnchor="text" w:tblpX="168" w:tblpY="1"/>
        <w:tblOverlap w:val="never"/>
        <w:tblW w:w="9198"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000" w:firstRow="0" w:lastRow="0" w:firstColumn="0" w:lastColumn="0" w:noHBand="0" w:noVBand="0"/>
      </w:tblPr>
      <w:tblGrid>
        <w:gridCol w:w="1728"/>
        <w:gridCol w:w="7470"/>
      </w:tblGrid>
      <w:tr w:rsidR="00090F9A" w:rsidRPr="00206D41" w14:paraId="3D8755D9" w14:textId="77777777" w:rsidTr="00D675A0">
        <w:trPr>
          <w:trHeight w:val="390"/>
        </w:trPr>
        <w:tc>
          <w:tcPr>
            <w:tcW w:w="1728" w:type="dxa"/>
            <w:shd w:val="clear" w:color="auto" w:fill="auto"/>
          </w:tcPr>
          <w:p w14:paraId="5EBB6FAA" w14:textId="77777777" w:rsidR="00090F9A" w:rsidRPr="00206D41" w:rsidRDefault="00090F9A" w:rsidP="00D675A0">
            <w:pPr>
              <w:rPr>
                <w:b/>
                <w:bCs/>
                <w:iCs/>
              </w:rPr>
            </w:pPr>
            <w:r>
              <w:rPr>
                <w:b/>
                <w:bCs/>
                <w:iCs/>
              </w:rPr>
              <w:t>DEFINITION</w:t>
            </w:r>
          </w:p>
        </w:tc>
        <w:tc>
          <w:tcPr>
            <w:tcW w:w="7470" w:type="dxa"/>
            <w:shd w:val="clear" w:color="auto" w:fill="auto"/>
          </w:tcPr>
          <w:p w14:paraId="57B7B428" w14:textId="77777777" w:rsidR="00090F9A" w:rsidRPr="002803BD" w:rsidRDefault="00090F9A" w:rsidP="00D675A0">
            <w:pPr>
              <w:spacing w:after="0" w:line="240" w:lineRule="auto"/>
              <w:rPr>
                <w:bCs/>
                <w:iCs/>
              </w:rPr>
            </w:pPr>
            <w:r>
              <w:rPr>
                <w:rFonts w:asciiTheme="minorHAnsi" w:eastAsiaTheme="minorHAnsi" w:hAnsiTheme="minorHAnsi" w:cstheme="minorBidi"/>
                <w:iCs/>
              </w:rPr>
              <w:t xml:space="preserve">The minimum ratio of TRBC </w:t>
            </w:r>
            <w:r>
              <w:rPr>
                <w:bCs/>
                <w:iCs/>
              </w:rPr>
              <w:t>to Total Risk-Weighted Asset</w:t>
            </w:r>
            <w:r w:rsidRPr="00206D41">
              <w:rPr>
                <w:bCs/>
                <w:iCs/>
              </w:rPr>
              <w:t>s</w:t>
            </w:r>
            <w:r>
              <w:rPr>
                <w:bCs/>
                <w:iCs/>
              </w:rPr>
              <w:t xml:space="preserve"> (RWAs)</w:t>
            </w:r>
            <w:r w:rsidRPr="00206D41">
              <w:rPr>
                <w:bCs/>
                <w:iCs/>
              </w:rPr>
              <w:t xml:space="preserve"> under </w:t>
            </w:r>
            <w:r w:rsidRPr="00216A36">
              <w:rPr>
                <w:bCs/>
                <w:iCs/>
              </w:rPr>
              <w:t>Base</w:t>
            </w:r>
            <w:r>
              <w:rPr>
                <w:bCs/>
                <w:iCs/>
              </w:rPr>
              <w:t>line</w:t>
            </w:r>
            <w:r w:rsidRPr="00216A36">
              <w:rPr>
                <w:bCs/>
                <w:iCs/>
              </w:rPr>
              <w:t xml:space="preserve"> and Stressed </w:t>
            </w:r>
            <w:r w:rsidRPr="00206D41">
              <w:rPr>
                <w:bCs/>
                <w:iCs/>
              </w:rPr>
              <w:t>conditions</w:t>
            </w:r>
          </w:p>
        </w:tc>
      </w:tr>
      <w:tr w:rsidR="00090F9A" w:rsidRPr="00206D41" w14:paraId="48A32665" w14:textId="77777777" w:rsidTr="00D675A0">
        <w:trPr>
          <w:trHeight w:val="462"/>
        </w:trPr>
        <w:tc>
          <w:tcPr>
            <w:tcW w:w="1728" w:type="dxa"/>
            <w:shd w:val="clear" w:color="auto" w:fill="auto"/>
          </w:tcPr>
          <w:p w14:paraId="0BF52E37" w14:textId="77777777" w:rsidR="00090F9A" w:rsidRPr="00206D41" w:rsidRDefault="00090F9A" w:rsidP="00D675A0">
            <w:pPr>
              <w:rPr>
                <w:b/>
                <w:bCs/>
                <w:iCs/>
              </w:rPr>
            </w:pPr>
            <w:r>
              <w:rPr>
                <w:b/>
                <w:bCs/>
                <w:iCs/>
              </w:rPr>
              <w:t>RISK TYPE</w:t>
            </w:r>
          </w:p>
        </w:tc>
        <w:tc>
          <w:tcPr>
            <w:tcW w:w="7470" w:type="dxa"/>
            <w:shd w:val="clear" w:color="auto" w:fill="auto"/>
          </w:tcPr>
          <w:p w14:paraId="57FAB94A" w14:textId="77777777" w:rsidR="00090F9A" w:rsidRPr="00206D41" w:rsidRDefault="00090F9A" w:rsidP="00D675A0">
            <w:pPr>
              <w:spacing w:after="0" w:line="240" w:lineRule="auto"/>
              <w:rPr>
                <w:bCs/>
                <w:iCs/>
              </w:rPr>
            </w:pPr>
            <w:r>
              <w:rPr>
                <w:bCs/>
                <w:iCs/>
              </w:rPr>
              <w:t>Capital Adequacy Risk</w:t>
            </w:r>
          </w:p>
        </w:tc>
      </w:tr>
      <w:tr w:rsidR="00090F9A" w:rsidRPr="00206D41" w14:paraId="38FB1C21" w14:textId="77777777" w:rsidTr="00D675A0">
        <w:trPr>
          <w:trHeight w:val="462"/>
        </w:trPr>
        <w:tc>
          <w:tcPr>
            <w:tcW w:w="1728" w:type="dxa"/>
            <w:shd w:val="clear" w:color="auto" w:fill="auto"/>
          </w:tcPr>
          <w:p w14:paraId="3604DAB7" w14:textId="77777777" w:rsidR="00090F9A" w:rsidRDefault="00090F9A" w:rsidP="00D675A0">
            <w:pPr>
              <w:rPr>
                <w:b/>
                <w:bCs/>
                <w:iCs/>
              </w:rPr>
            </w:pPr>
            <w:r>
              <w:rPr>
                <w:b/>
                <w:bCs/>
                <w:iCs/>
              </w:rPr>
              <w:t>RATIONALE</w:t>
            </w:r>
          </w:p>
        </w:tc>
        <w:tc>
          <w:tcPr>
            <w:tcW w:w="7470" w:type="dxa"/>
            <w:shd w:val="clear" w:color="auto" w:fill="auto"/>
          </w:tcPr>
          <w:p w14:paraId="73477924" w14:textId="77777777" w:rsidR="00090F9A" w:rsidRDefault="00090F9A" w:rsidP="00D675A0">
            <w:pPr>
              <w:spacing w:after="0" w:line="240" w:lineRule="auto"/>
              <w:rPr>
                <w:rFonts w:asciiTheme="minorHAnsi" w:hAnsiTheme="minorHAnsi"/>
                <w:bCs/>
                <w:iCs/>
              </w:rPr>
            </w:pPr>
            <w:r>
              <w:rPr>
                <w:rFonts w:asciiTheme="minorHAnsi" w:hAnsiTheme="minorHAnsi"/>
                <w:bCs/>
                <w:iCs/>
              </w:rPr>
              <w:t>If ratios fall below PCA adequately capitalized levels, probability is high that SHUSA would not be able to act as a financial intermediary.</w:t>
            </w:r>
          </w:p>
          <w:p w14:paraId="17FF520B" w14:textId="77777777" w:rsidR="00090F9A" w:rsidRDefault="00090F9A" w:rsidP="00D675A0">
            <w:pPr>
              <w:spacing w:after="0" w:line="240" w:lineRule="auto"/>
              <w:rPr>
                <w:bCs/>
                <w:iCs/>
              </w:rPr>
            </w:pPr>
            <w:r>
              <w:rPr>
                <w:rFonts w:asciiTheme="minorHAnsi" w:hAnsiTheme="minorHAnsi"/>
                <w:bCs/>
                <w:iCs/>
              </w:rPr>
              <w:t>I</w:t>
            </w:r>
            <w:r w:rsidRPr="000F7334">
              <w:rPr>
                <w:rFonts w:asciiTheme="minorHAnsi" w:hAnsiTheme="minorHAnsi"/>
                <w:bCs/>
                <w:iCs/>
              </w:rPr>
              <w:t>mportant to external stakeholders when making decisions regarding SHUSA in either normal or stressful economic environments</w:t>
            </w:r>
            <w:r>
              <w:rPr>
                <w:rFonts w:asciiTheme="minorHAnsi" w:hAnsiTheme="minorHAnsi"/>
                <w:bCs/>
                <w:iCs/>
              </w:rPr>
              <w:t>.</w:t>
            </w:r>
          </w:p>
        </w:tc>
      </w:tr>
      <w:tr w:rsidR="00090F9A" w:rsidRPr="00206D41" w14:paraId="4C4FC118" w14:textId="77777777" w:rsidTr="00D675A0">
        <w:trPr>
          <w:trHeight w:val="255"/>
        </w:trPr>
        <w:tc>
          <w:tcPr>
            <w:tcW w:w="1728" w:type="dxa"/>
            <w:shd w:val="clear" w:color="auto" w:fill="auto"/>
          </w:tcPr>
          <w:p w14:paraId="1472F74E" w14:textId="77777777" w:rsidR="00090F9A" w:rsidRPr="00206D41" w:rsidRDefault="00090F9A" w:rsidP="00D675A0">
            <w:pPr>
              <w:rPr>
                <w:b/>
                <w:bCs/>
                <w:iCs/>
              </w:rPr>
            </w:pPr>
            <w:r>
              <w:rPr>
                <w:b/>
                <w:bCs/>
                <w:iCs/>
              </w:rPr>
              <w:t>ENTITY</w:t>
            </w:r>
          </w:p>
        </w:tc>
        <w:tc>
          <w:tcPr>
            <w:tcW w:w="7470" w:type="dxa"/>
            <w:shd w:val="clear" w:color="auto" w:fill="auto"/>
          </w:tcPr>
          <w:p w14:paraId="19863298" w14:textId="77777777" w:rsidR="00090F9A" w:rsidRPr="00D663F4" w:rsidRDefault="00090F9A" w:rsidP="00D675A0">
            <w:pPr>
              <w:spacing w:after="0" w:line="240" w:lineRule="auto"/>
              <w:rPr>
                <w:b/>
                <w:bCs/>
                <w:iCs/>
              </w:rPr>
            </w:pPr>
            <w:r w:rsidRPr="00D663F4">
              <w:rPr>
                <w:b/>
                <w:bCs/>
                <w:iCs/>
              </w:rPr>
              <w:t>SHUSA</w:t>
            </w:r>
          </w:p>
        </w:tc>
      </w:tr>
      <w:tr w:rsidR="00090F9A" w:rsidRPr="00206D41" w14:paraId="759D382A" w14:textId="77777777" w:rsidTr="00D675A0">
        <w:trPr>
          <w:trHeight w:val="255"/>
        </w:trPr>
        <w:tc>
          <w:tcPr>
            <w:tcW w:w="1728" w:type="dxa"/>
            <w:shd w:val="clear" w:color="auto" w:fill="auto"/>
          </w:tcPr>
          <w:p w14:paraId="67FC3ADE" w14:textId="7AB1CBAD" w:rsidR="00090F9A" w:rsidRDefault="00511F11" w:rsidP="00D675A0">
            <w:pPr>
              <w:rPr>
                <w:b/>
                <w:bCs/>
                <w:iCs/>
              </w:rPr>
            </w:pPr>
            <w:r>
              <w:rPr>
                <w:rFonts w:asciiTheme="minorHAnsi" w:hAnsiTheme="minorHAnsi"/>
                <w:b/>
                <w:bCs/>
                <w:iCs/>
              </w:rPr>
              <w:t>METRIC PROVIDER</w:t>
            </w:r>
          </w:p>
        </w:tc>
        <w:tc>
          <w:tcPr>
            <w:tcW w:w="7470" w:type="dxa"/>
            <w:shd w:val="clear" w:color="auto" w:fill="auto"/>
          </w:tcPr>
          <w:p w14:paraId="526B3355" w14:textId="6F32ADEB" w:rsidR="00090F9A" w:rsidRPr="00090F9A" w:rsidRDefault="00090F9A" w:rsidP="00D675A0">
            <w:pPr>
              <w:spacing w:after="0" w:line="240" w:lineRule="auto"/>
              <w:rPr>
                <w:b/>
                <w:bCs/>
                <w:iCs/>
              </w:rPr>
            </w:pPr>
            <w:r w:rsidRPr="00090F9A">
              <w:rPr>
                <w:b/>
                <w:bCs/>
                <w:iCs/>
              </w:rPr>
              <w:t>SHUSA Director of Capital Policy</w:t>
            </w:r>
          </w:p>
        </w:tc>
      </w:tr>
      <w:tr w:rsidR="00090F9A" w:rsidRPr="00206D41" w14:paraId="2A32361D" w14:textId="77777777" w:rsidTr="00D675A0">
        <w:trPr>
          <w:trHeight w:val="510"/>
        </w:trPr>
        <w:tc>
          <w:tcPr>
            <w:tcW w:w="1728" w:type="dxa"/>
            <w:shd w:val="clear" w:color="auto" w:fill="auto"/>
          </w:tcPr>
          <w:p w14:paraId="419DFD10" w14:textId="77777777" w:rsidR="00090F9A" w:rsidRPr="005B0BAF" w:rsidRDefault="00090F9A" w:rsidP="00D675A0">
            <w:pPr>
              <w:rPr>
                <w:rFonts w:asciiTheme="minorHAnsi" w:hAnsiTheme="minorHAnsi"/>
                <w:b/>
                <w:bCs/>
                <w:iCs/>
              </w:rPr>
            </w:pPr>
            <w:r w:rsidRPr="005B0BAF">
              <w:rPr>
                <w:rFonts w:asciiTheme="minorHAnsi" w:hAnsiTheme="minorHAnsi"/>
                <w:b/>
                <w:bCs/>
                <w:iCs/>
              </w:rPr>
              <w:t>TRIGGER AND LIMIT SETTING</w:t>
            </w:r>
          </w:p>
        </w:tc>
        <w:tc>
          <w:tcPr>
            <w:tcW w:w="7470" w:type="dxa"/>
            <w:shd w:val="clear" w:color="auto" w:fill="auto"/>
          </w:tcPr>
          <w:p w14:paraId="65023606" w14:textId="67DB095C" w:rsidR="00090F9A" w:rsidRPr="00EB0A0D" w:rsidRDefault="00090F9A" w:rsidP="00D675A0">
            <w:pPr>
              <w:spacing w:after="0" w:line="240" w:lineRule="auto"/>
              <w:rPr>
                <w:iCs/>
                <w:lang w:bidi="en-US"/>
              </w:rPr>
            </w:pPr>
            <w:r w:rsidRPr="00EB0A0D">
              <w:rPr>
                <w:iCs/>
                <w:lang w:bidi="en-US"/>
              </w:rPr>
              <w:t xml:space="preserve">The Amber trigger and Red limit for </w:t>
            </w:r>
            <w:r>
              <w:rPr>
                <w:iCs/>
                <w:lang w:bidi="en-US"/>
              </w:rPr>
              <w:t>TRBC</w:t>
            </w:r>
            <w:r w:rsidRPr="00EB0A0D">
              <w:rPr>
                <w:iCs/>
                <w:lang w:bidi="en-US"/>
              </w:rPr>
              <w:t xml:space="preserve"> are set annually based on </w:t>
            </w:r>
            <w:r>
              <w:rPr>
                <w:iCs/>
                <w:lang w:bidi="en-US"/>
              </w:rPr>
              <w:t>SHUSA’s</w:t>
            </w:r>
            <w:r w:rsidRPr="00EB0A0D">
              <w:rPr>
                <w:iCs/>
                <w:lang w:bidi="en-US"/>
              </w:rPr>
              <w:t xml:space="preserve"> approved </w:t>
            </w:r>
            <w:r>
              <w:rPr>
                <w:iCs/>
                <w:lang w:bidi="en-US"/>
              </w:rPr>
              <w:t>TRBC</w:t>
            </w:r>
            <w:r w:rsidRPr="00EB0A0D">
              <w:rPr>
                <w:iCs/>
                <w:lang w:bidi="en-US"/>
              </w:rPr>
              <w:t xml:space="preserve"> Capital Policy ratios at time of RAS setting:</w:t>
            </w:r>
          </w:p>
          <w:p w14:paraId="20DF7938" w14:textId="77777777" w:rsidR="00090F9A" w:rsidRPr="00F34844" w:rsidRDefault="00090F9A" w:rsidP="00D675A0">
            <w:pPr>
              <w:pStyle w:val="ListParagraph"/>
              <w:numPr>
                <w:ilvl w:val="0"/>
                <w:numId w:val="4"/>
              </w:numPr>
              <w:spacing w:after="0" w:line="240" w:lineRule="auto"/>
              <w:rPr>
                <w:rFonts w:eastAsia="Calibri" w:cs="Times New Roman"/>
                <w:iCs/>
                <w:szCs w:val="22"/>
                <w:lang w:val="en-US" w:bidi="en-US"/>
              </w:rPr>
            </w:pPr>
            <w:r w:rsidRPr="00F34844">
              <w:rPr>
                <w:rFonts w:eastAsia="Calibri" w:cs="Times New Roman"/>
                <w:iCs/>
                <w:szCs w:val="22"/>
                <w:lang w:val="en-US" w:bidi="en-US"/>
              </w:rPr>
              <w:t>BHC Baseline scenario:</w:t>
            </w:r>
            <w:r>
              <w:rPr>
                <w:rFonts w:eastAsia="Calibri" w:cs="Times New Roman"/>
                <w:iCs/>
                <w:szCs w:val="22"/>
                <w:lang w:val="en-US" w:bidi="en-US"/>
              </w:rPr>
              <w:t xml:space="preserve"> Trigger is ratio for </w:t>
            </w:r>
            <w:r w:rsidRPr="00F34844">
              <w:rPr>
                <w:rFonts w:eastAsia="Calibri" w:cs="Times New Roman"/>
                <w:iCs/>
                <w:szCs w:val="22"/>
                <w:lang w:val="en-US" w:bidi="en-US"/>
              </w:rPr>
              <w:t xml:space="preserve">“use for capital expectations”; </w:t>
            </w:r>
            <w:r>
              <w:rPr>
                <w:rFonts w:eastAsia="Calibri" w:cs="Times New Roman"/>
                <w:iCs/>
                <w:szCs w:val="22"/>
                <w:lang w:val="en-US" w:bidi="en-US"/>
              </w:rPr>
              <w:t>L</w:t>
            </w:r>
            <w:r w:rsidRPr="00F34844">
              <w:rPr>
                <w:rFonts w:eastAsia="Calibri" w:cs="Times New Roman"/>
                <w:iCs/>
                <w:szCs w:val="22"/>
                <w:lang w:val="en-US" w:bidi="en-US"/>
              </w:rPr>
              <w:t>imit</w:t>
            </w:r>
            <w:r>
              <w:rPr>
                <w:rFonts w:eastAsia="Calibri" w:cs="Times New Roman"/>
                <w:iCs/>
                <w:szCs w:val="22"/>
                <w:lang w:val="en-US" w:bidi="en-US"/>
              </w:rPr>
              <w:t xml:space="preserve"> is</w:t>
            </w:r>
            <w:r w:rsidRPr="00F34844">
              <w:rPr>
                <w:rFonts w:eastAsia="Calibri" w:cs="Times New Roman"/>
                <w:iCs/>
                <w:szCs w:val="22"/>
                <w:lang w:val="en-US" w:bidi="en-US"/>
              </w:rPr>
              <w:t xml:space="preserve"> </w:t>
            </w:r>
            <w:r>
              <w:rPr>
                <w:rFonts w:eastAsia="Calibri" w:cs="Times New Roman"/>
                <w:iCs/>
                <w:szCs w:val="22"/>
                <w:lang w:val="en-US" w:bidi="en-US"/>
              </w:rPr>
              <w:t>“</w:t>
            </w:r>
            <w:r w:rsidRPr="00F34844">
              <w:rPr>
                <w:rFonts w:eastAsia="Calibri" w:cs="Times New Roman"/>
                <w:iCs/>
                <w:szCs w:val="22"/>
                <w:lang w:val="en-US" w:bidi="en-US"/>
              </w:rPr>
              <w:t>internal business-as-usual minimum</w:t>
            </w:r>
            <w:r>
              <w:rPr>
                <w:rFonts w:eastAsia="Calibri" w:cs="Times New Roman"/>
                <w:iCs/>
                <w:szCs w:val="22"/>
                <w:lang w:val="en-US" w:bidi="en-US"/>
              </w:rPr>
              <w:t>”</w:t>
            </w:r>
            <w:r w:rsidRPr="00F34844">
              <w:rPr>
                <w:rFonts w:eastAsia="Calibri" w:cs="Times New Roman"/>
                <w:iCs/>
                <w:szCs w:val="22"/>
                <w:lang w:val="en-US" w:bidi="en-US"/>
              </w:rPr>
              <w:t>.</w:t>
            </w:r>
          </w:p>
          <w:p w14:paraId="383A288B" w14:textId="77777777" w:rsidR="00090F9A" w:rsidRPr="00F34844" w:rsidRDefault="00090F9A" w:rsidP="00D675A0">
            <w:pPr>
              <w:pStyle w:val="ListParagraph"/>
              <w:numPr>
                <w:ilvl w:val="0"/>
                <w:numId w:val="4"/>
              </w:numPr>
              <w:spacing w:after="0" w:line="240" w:lineRule="auto"/>
              <w:rPr>
                <w:rFonts w:eastAsia="Calibri" w:cs="Times New Roman"/>
                <w:iCs/>
                <w:szCs w:val="22"/>
                <w:lang w:val="en-US" w:bidi="en-US"/>
              </w:rPr>
            </w:pPr>
            <w:r w:rsidRPr="00CB427F">
              <w:rPr>
                <w:rFonts w:eastAsia="Calibri" w:cs="Times New Roman"/>
                <w:iCs/>
                <w:szCs w:val="22"/>
                <w:lang w:val="en-US" w:bidi="en-US"/>
              </w:rPr>
              <w:t>BHC Stress scenario: Trigger is ratio “internal post-stress minimum level”</w:t>
            </w:r>
            <w:r>
              <w:rPr>
                <w:rFonts w:eastAsia="Calibri" w:cs="Times New Roman"/>
                <w:iCs/>
                <w:szCs w:val="22"/>
                <w:lang w:val="en-US" w:bidi="en-US"/>
              </w:rPr>
              <w:t xml:space="preserve"> plus a management adjustment</w:t>
            </w:r>
            <w:r w:rsidRPr="00CB427F">
              <w:rPr>
                <w:rFonts w:eastAsia="Calibri" w:cs="Times New Roman"/>
                <w:iCs/>
                <w:szCs w:val="22"/>
                <w:lang w:val="en-US" w:bidi="en-US"/>
              </w:rPr>
              <w:t>;</w:t>
            </w:r>
            <w:r>
              <w:rPr>
                <w:rFonts w:eastAsia="Calibri" w:cs="Times New Roman"/>
                <w:iCs/>
                <w:szCs w:val="22"/>
                <w:lang w:val="en-US" w:bidi="en-US"/>
              </w:rPr>
              <w:t xml:space="preserve"> </w:t>
            </w:r>
            <w:r w:rsidRPr="00CB427F">
              <w:rPr>
                <w:rFonts w:eastAsia="Calibri" w:cs="Times New Roman"/>
                <w:iCs/>
                <w:szCs w:val="22"/>
                <w:lang w:val="en-US" w:bidi="en-US"/>
              </w:rPr>
              <w:t>Limit is “</w:t>
            </w:r>
            <w:r>
              <w:rPr>
                <w:rFonts w:eastAsia="Calibri" w:cs="Times New Roman"/>
                <w:iCs/>
                <w:szCs w:val="22"/>
                <w:lang w:val="en-US" w:bidi="en-US"/>
              </w:rPr>
              <w:t>internal post-stress minimum level”.</w:t>
            </w:r>
          </w:p>
        </w:tc>
      </w:tr>
      <w:tr w:rsidR="00090F9A" w:rsidRPr="00206D41" w14:paraId="61F075E4" w14:textId="77777777" w:rsidTr="00D675A0">
        <w:trPr>
          <w:trHeight w:val="510"/>
        </w:trPr>
        <w:tc>
          <w:tcPr>
            <w:tcW w:w="1728" w:type="dxa"/>
            <w:shd w:val="clear" w:color="auto" w:fill="auto"/>
          </w:tcPr>
          <w:p w14:paraId="6352B34D" w14:textId="77777777" w:rsidR="00090F9A" w:rsidRPr="005B0BAF" w:rsidRDefault="00090F9A" w:rsidP="00D675A0">
            <w:pPr>
              <w:rPr>
                <w:rFonts w:asciiTheme="minorHAnsi" w:hAnsiTheme="minorHAnsi"/>
                <w:b/>
                <w:bCs/>
                <w:iCs/>
              </w:rPr>
            </w:pPr>
            <w:r w:rsidRPr="005B0BAF">
              <w:rPr>
                <w:rFonts w:asciiTheme="minorHAnsi" w:hAnsiTheme="minorHAnsi"/>
                <w:b/>
                <w:bCs/>
                <w:iCs/>
              </w:rPr>
              <w:t>TESTING FREQUENCY</w:t>
            </w:r>
          </w:p>
        </w:tc>
        <w:tc>
          <w:tcPr>
            <w:tcW w:w="7470" w:type="dxa"/>
            <w:shd w:val="clear" w:color="auto" w:fill="auto"/>
          </w:tcPr>
          <w:p w14:paraId="76B576B9" w14:textId="77777777" w:rsidR="00090F9A" w:rsidRDefault="00090F9A" w:rsidP="00D675A0">
            <w:pPr>
              <w:pStyle w:val="ListParagraph"/>
              <w:numPr>
                <w:ilvl w:val="0"/>
                <w:numId w:val="4"/>
              </w:numPr>
              <w:spacing w:before="120" w:after="120" w:line="240" w:lineRule="auto"/>
              <w:rPr>
                <w:rFonts w:eastAsia="Calibri" w:cs="Times New Roman"/>
                <w:iCs/>
                <w:szCs w:val="22"/>
                <w:lang w:val="en-US" w:bidi="en-US"/>
              </w:rPr>
            </w:pPr>
            <w:r w:rsidRPr="005B0BAF">
              <w:rPr>
                <w:rFonts w:eastAsia="Calibri" w:cs="Times New Roman"/>
                <w:iCs/>
                <w:szCs w:val="22"/>
                <w:lang w:val="en-US" w:bidi="en-US"/>
              </w:rPr>
              <w:t xml:space="preserve">Annually/CCAR output: The lowest value of the 9 quarters covered by the CCAR exercise </w:t>
            </w:r>
            <w:r>
              <w:rPr>
                <w:rFonts w:eastAsia="Calibri" w:cs="Times New Roman"/>
                <w:iCs/>
                <w:szCs w:val="22"/>
                <w:lang w:val="en-US" w:bidi="en-US"/>
              </w:rPr>
              <w:t>is</w:t>
            </w:r>
            <w:r w:rsidRPr="005B0BAF">
              <w:rPr>
                <w:rFonts w:eastAsia="Calibri" w:cs="Times New Roman"/>
                <w:iCs/>
                <w:szCs w:val="22"/>
                <w:lang w:val="en-US" w:bidi="en-US"/>
              </w:rPr>
              <w:t xml:space="preserve"> compared to the trigger</w:t>
            </w:r>
            <w:r>
              <w:rPr>
                <w:rFonts w:eastAsia="Calibri" w:cs="Times New Roman"/>
                <w:iCs/>
                <w:szCs w:val="22"/>
                <w:lang w:val="en-US" w:bidi="en-US"/>
              </w:rPr>
              <w:t xml:space="preserve"> and limit derived from the application of the Capital Policy (see above)</w:t>
            </w:r>
            <w:r w:rsidRPr="005B0BAF">
              <w:rPr>
                <w:rFonts w:eastAsia="Calibri" w:cs="Times New Roman"/>
                <w:iCs/>
                <w:szCs w:val="22"/>
                <w:lang w:val="en-US" w:bidi="en-US"/>
              </w:rPr>
              <w:t xml:space="preserve">. The RAS will be presented for annual review with the CCAR outputs compared to the </w:t>
            </w:r>
            <w:r>
              <w:rPr>
                <w:rFonts w:eastAsia="Calibri" w:cs="Times New Roman"/>
                <w:iCs/>
                <w:szCs w:val="22"/>
                <w:lang w:val="en-US" w:bidi="en-US"/>
              </w:rPr>
              <w:t xml:space="preserve">proposed </w:t>
            </w:r>
            <w:r w:rsidRPr="005B0BAF">
              <w:rPr>
                <w:rFonts w:eastAsia="Calibri" w:cs="Times New Roman"/>
                <w:iCs/>
                <w:szCs w:val="22"/>
                <w:lang w:val="en-US" w:bidi="en-US"/>
              </w:rPr>
              <w:t>trigger and limit.</w:t>
            </w:r>
          </w:p>
          <w:p w14:paraId="2A988AAC" w14:textId="77777777" w:rsidR="00090F9A" w:rsidRDefault="00090F9A" w:rsidP="00D675A0">
            <w:pPr>
              <w:pStyle w:val="ListParagraph"/>
              <w:numPr>
                <w:ilvl w:val="0"/>
                <w:numId w:val="4"/>
              </w:numPr>
              <w:spacing w:before="120" w:after="120" w:line="240" w:lineRule="auto"/>
              <w:rPr>
                <w:rFonts w:eastAsia="Calibri" w:cs="Times New Roman"/>
                <w:iCs/>
                <w:szCs w:val="22"/>
                <w:lang w:val="en-US" w:bidi="en-US"/>
              </w:rPr>
            </w:pPr>
            <w:r>
              <w:rPr>
                <w:rFonts w:eastAsia="Calibri" w:cs="Times New Roman"/>
                <w:iCs/>
                <w:szCs w:val="22"/>
                <w:lang w:val="en-US" w:bidi="en-US"/>
              </w:rPr>
              <w:t>Mid-cycle: The lowest value of the 9 quarters covered  by the Mid-cycle exercise is compared to the trigger and limit derived from the application of the Capital Policy</w:t>
            </w:r>
          </w:p>
          <w:p w14:paraId="390CBEE1" w14:textId="77777777" w:rsidR="00090F9A" w:rsidRPr="005B0BAF" w:rsidRDefault="00090F9A" w:rsidP="00D675A0">
            <w:pPr>
              <w:pStyle w:val="ListParagraph"/>
              <w:numPr>
                <w:ilvl w:val="0"/>
                <w:numId w:val="4"/>
              </w:numPr>
              <w:spacing w:before="120" w:after="120" w:line="240" w:lineRule="auto"/>
              <w:rPr>
                <w:rFonts w:eastAsia="Calibri" w:cs="Times New Roman"/>
                <w:iCs/>
                <w:szCs w:val="22"/>
                <w:lang w:val="en-US" w:bidi="en-US"/>
              </w:rPr>
            </w:pPr>
            <w:r>
              <w:rPr>
                <w:rFonts w:eastAsia="Calibri" w:cs="Times New Roman"/>
                <w:iCs/>
                <w:szCs w:val="22"/>
                <w:lang w:val="en-US" w:bidi="en-US"/>
              </w:rPr>
              <w:t xml:space="preserve">Strategic Plan (e.g. P-18): The projected capital levels from the strategic plan are compared to the RAS limits and thresholds </w:t>
            </w:r>
          </w:p>
          <w:p w14:paraId="390381C6" w14:textId="77777777" w:rsidR="00090F9A" w:rsidRPr="00C05360" w:rsidRDefault="00090F9A" w:rsidP="00D675A0">
            <w:pPr>
              <w:pStyle w:val="ListParagraph"/>
              <w:numPr>
                <w:ilvl w:val="0"/>
                <w:numId w:val="4"/>
              </w:numPr>
              <w:spacing w:before="240" w:after="120" w:line="240" w:lineRule="auto"/>
              <w:rPr>
                <w:rFonts w:eastAsia="Calibri" w:cs="Times New Roman"/>
                <w:iCs/>
                <w:szCs w:val="22"/>
                <w:lang w:val="en-US" w:bidi="en-US"/>
              </w:rPr>
            </w:pPr>
            <w:r w:rsidRPr="005B0BAF">
              <w:rPr>
                <w:rFonts w:eastAsia="Calibri" w:cs="Times New Roman"/>
                <w:iCs/>
                <w:szCs w:val="22"/>
                <w:lang w:val="en-US" w:bidi="en-US"/>
              </w:rPr>
              <w:t xml:space="preserve">Monthly: On a monthly basis the actual level of </w:t>
            </w:r>
            <w:r>
              <w:rPr>
                <w:rFonts w:eastAsia="Calibri" w:cs="Times New Roman"/>
                <w:iCs/>
                <w:szCs w:val="22"/>
                <w:lang w:val="en-US" w:bidi="en-US"/>
              </w:rPr>
              <w:t xml:space="preserve">the </w:t>
            </w:r>
            <w:r w:rsidRPr="005B0BAF">
              <w:rPr>
                <w:rFonts w:eastAsia="Calibri" w:cs="Times New Roman"/>
                <w:iCs/>
                <w:szCs w:val="22"/>
                <w:lang w:val="en-US" w:bidi="en-US"/>
              </w:rPr>
              <w:t xml:space="preserve">metric </w:t>
            </w:r>
            <w:r>
              <w:rPr>
                <w:rFonts w:eastAsia="Calibri" w:cs="Times New Roman"/>
                <w:iCs/>
                <w:szCs w:val="22"/>
                <w:lang w:val="en-US" w:bidi="en-US"/>
              </w:rPr>
              <w:t>is</w:t>
            </w:r>
            <w:r w:rsidRPr="005B0BAF">
              <w:rPr>
                <w:rFonts w:eastAsia="Calibri" w:cs="Times New Roman"/>
                <w:iCs/>
                <w:szCs w:val="22"/>
                <w:lang w:val="en-US" w:bidi="en-US"/>
              </w:rPr>
              <w:t xml:space="preserve"> compared only to the BHC Baseline scenario limit</w:t>
            </w:r>
            <w:r>
              <w:rPr>
                <w:rFonts w:eastAsia="Calibri" w:cs="Times New Roman"/>
                <w:iCs/>
                <w:szCs w:val="22"/>
                <w:lang w:val="en-US" w:bidi="en-US"/>
              </w:rPr>
              <w:t xml:space="preserve"> and trigger</w:t>
            </w:r>
            <w:r w:rsidRPr="005B0BAF">
              <w:rPr>
                <w:rFonts w:eastAsia="Calibri" w:cs="Times New Roman"/>
                <w:iCs/>
                <w:szCs w:val="22"/>
                <w:lang w:val="en-US" w:bidi="en-US"/>
              </w:rPr>
              <w:t xml:space="preserve">. </w:t>
            </w:r>
          </w:p>
          <w:p w14:paraId="56966012" w14:textId="77777777" w:rsidR="00090F9A" w:rsidRPr="00446561" w:rsidDel="00744A1B" w:rsidRDefault="00DB2B0B" w:rsidP="00D675A0">
            <w:pPr>
              <w:spacing w:before="240" w:after="120" w:line="240" w:lineRule="auto"/>
              <w:jc w:val="center"/>
              <w:rPr>
                <w:iCs/>
                <w:lang w:bidi="en-US"/>
              </w:rPr>
            </w:pPr>
            <m:oMath>
              <m:f>
                <m:fPr>
                  <m:ctrlPr>
                    <w:rPr>
                      <w:rFonts w:ascii="Cambria Math" w:hAnsi="Cambria Math" w:cs="Arial"/>
                      <w:i/>
                      <w:iCs/>
                      <w:sz w:val="28"/>
                      <w:szCs w:val="28"/>
                    </w:rPr>
                  </m:ctrlPr>
                </m:fPr>
                <m:num>
                  <m:r>
                    <w:rPr>
                      <w:rFonts w:ascii="Cambria Math" w:hAnsi="Cambria Math" w:cs="Arial"/>
                      <w:sz w:val="28"/>
                      <w:szCs w:val="28"/>
                    </w:rPr>
                    <m:t>Total Risk Based Capital</m:t>
                  </m:r>
                </m:num>
                <m:den>
                  <m:r>
                    <w:rPr>
                      <w:rFonts w:ascii="Cambria Math" w:hAnsi="Cambria Math" w:cs="Arial"/>
                      <w:sz w:val="28"/>
                      <w:szCs w:val="28"/>
                    </w:rPr>
                    <m:t>Total Risk Weighted Assets</m:t>
                  </m:r>
                </m:den>
              </m:f>
            </m:oMath>
            <w:r w:rsidR="00090F9A">
              <w:rPr>
                <w:iCs/>
                <w:lang w:bidi="en-US"/>
              </w:rPr>
              <w:t xml:space="preserve"> </w:t>
            </w:r>
          </w:p>
        </w:tc>
      </w:tr>
      <w:tr w:rsidR="00090F9A" w:rsidRPr="00ED05B8" w14:paraId="0A64A979" w14:textId="77777777" w:rsidTr="00090F9A">
        <w:trPr>
          <w:trHeight w:val="2057"/>
        </w:trPr>
        <w:tc>
          <w:tcPr>
            <w:tcW w:w="1728" w:type="dxa"/>
            <w:shd w:val="clear" w:color="auto" w:fill="auto"/>
          </w:tcPr>
          <w:p w14:paraId="60E7A67C" w14:textId="77777777" w:rsidR="00090F9A" w:rsidRPr="00206D41" w:rsidRDefault="00090F9A" w:rsidP="00D675A0">
            <w:pPr>
              <w:rPr>
                <w:b/>
                <w:bCs/>
                <w:iCs/>
              </w:rPr>
            </w:pPr>
            <w:r w:rsidRPr="00206D41">
              <w:rPr>
                <w:b/>
                <w:bCs/>
                <w:iCs/>
              </w:rPr>
              <w:t>SOURCE OF INFORMATION</w:t>
            </w:r>
          </w:p>
        </w:tc>
        <w:tc>
          <w:tcPr>
            <w:tcW w:w="7470" w:type="dxa"/>
            <w:shd w:val="clear" w:color="auto" w:fill="auto"/>
          </w:tcPr>
          <w:p w14:paraId="31EACA26" w14:textId="61A04C79" w:rsidR="00090F9A" w:rsidRPr="00DF3739" w:rsidRDefault="00090F9A" w:rsidP="00D675A0">
            <w:pPr>
              <w:numPr>
                <w:ilvl w:val="0"/>
                <w:numId w:val="4"/>
              </w:numPr>
              <w:spacing w:after="0" w:line="240" w:lineRule="auto"/>
              <w:contextualSpacing/>
              <w:rPr>
                <w:rFonts w:asciiTheme="minorHAnsi" w:eastAsiaTheme="minorHAnsi" w:hAnsiTheme="minorHAnsi" w:cstheme="minorBidi"/>
                <w:bCs/>
                <w:iCs/>
                <w:szCs w:val="24"/>
              </w:rPr>
            </w:pPr>
            <w:r w:rsidRPr="00DF3739">
              <w:rPr>
                <w:rFonts w:asciiTheme="minorHAnsi" w:eastAsiaTheme="minorHAnsi" w:hAnsiTheme="minorHAnsi" w:cstheme="minorBidi"/>
                <w:bCs/>
                <w:iCs/>
                <w:szCs w:val="24"/>
              </w:rPr>
              <w:t xml:space="preserve">Capital Policy levels: Capital team </w:t>
            </w:r>
            <w:r>
              <w:rPr>
                <w:rFonts w:asciiTheme="minorHAnsi" w:eastAsiaTheme="minorHAnsi" w:hAnsiTheme="minorHAnsi" w:cstheme="minorBidi"/>
                <w:bCs/>
                <w:iCs/>
                <w:szCs w:val="24"/>
              </w:rPr>
              <w:t>at SHUSA</w:t>
            </w:r>
            <w:r w:rsidRPr="00DF3739">
              <w:rPr>
                <w:rFonts w:asciiTheme="minorHAnsi" w:eastAsiaTheme="minorHAnsi" w:hAnsiTheme="minorHAnsi" w:cstheme="minorBidi"/>
                <w:bCs/>
                <w:iCs/>
                <w:szCs w:val="24"/>
              </w:rPr>
              <w:t>, based on the capital policy in effect at the time of the RAS submission</w:t>
            </w:r>
          </w:p>
          <w:p w14:paraId="1759EB40" w14:textId="77777777" w:rsidR="00090F9A" w:rsidRDefault="00090F9A" w:rsidP="00D675A0">
            <w:pPr>
              <w:numPr>
                <w:ilvl w:val="0"/>
                <w:numId w:val="4"/>
              </w:numPr>
              <w:spacing w:after="0" w:line="240" w:lineRule="auto"/>
              <w:contextualSpacing/>
              <w:rPr>
                <w:rFonts w:asciiTheme="minorHAnsi" w:eastAsiaTheme="minorHAnsi" w:hAnsiTheme="minorHAnsi" w:cstheme="minorBidi"/>
                <w:bCs/>
                <w:iCs/>
                <w:szCs w:val="24"/>
              </w:rPr>
            </w:pPr>
            <w:r w:rsidRPr="00DF3739">
              <w:rPr>
                <w:rFonts w:asciiTheme="minorHAnsi" w:eastAsiaTheme="minorHAnsi" w:hAnsiTheme="minorHAnsi" w:cstheme="minorBidi"/>
                <w:bCs/>
                <w:iCs/>
                <w:szCs w:val="24"/>
              </w:rPr>
              <w:t xml:space="preserve">Annual CCAR: CCAR Team. </w:t>
            </w:r>
            <w:r>
              <w:rPr>
                <w:rFonts w:asciiTheme="minorHAnsi" w:eastAsiaTheme="minorHAnsi" w:hAnsiTheme="minorHAnsi" w:cstheme="minorBidi"/>
                <w:bCs/>
                <w:iCs/>
                <w:szCs w:val="24"/>
              </w:rPr>
              <w:t>Taken from the Y14A spreadsheet</w:t>
            </w:r>
          </w:p>
          <w:p w14:paraId="6FA2A8C0" w14:textId="77777777" w:rsidR="00090F9A" w:rsidRDefault="00090F9A" w:rsidP="00D675A0">
            <w:pPr>
              <w:numPr>
                <w:ilvl w:val="0"/>
                <w:numId w:val="4"/>
              </w:numPr>
              <w:spacing w:after="0" w:line="240" w:lineRule="auto"/>
              <w:contextualSpacing/>
              <w:rPr>
                <w:rFonts w:asciiTheme="minorHAnsi" w:eastAsiaTheme="minorHAnsi" w:hAnsiTheme="minorHAnsi" w:cstheme="minorBidi"/>
                <w:bCs/>
                <w:iCs/>
                <w:szCs w:val="24"/>
              </w:rPr>
            </w:pPr>
            <w:r>
              <w:rPr>
                <w:rFonts w:asciiTheme="minorHAnsi" w:eastAsiaTheme="minorHAnsi" w:hAnsiTheme="minorHAnsi" w:cstheme="minorBidi"/>
                <w:bCs/>
                <w:iCs/>
                <w:szCs w:val="24"/>
              </w:rPr>
              <w:t>Mid-cycle: CCAR Team. Taken from the Y14A spreadsheet</w:t>
            </w:r>
          </w:p>
          <w:p w14:paraId="4E30B7EC" w14:textId="77777777" w:rsidR="00090F9A" w:rsidRDefault="00090F9A" w:rsidP="00D675A0">
            <w:pPr>
              <w:numPr>
                <w:ilvl w:val="0"/>
                <w:numId w:val="4"/>
              </w:numPr>
              <w:spacing w:after="0" w:line="240" w:lineRule="auto"/>
              <w:contextualSpacing/>
              <w:rPr>
                <w:rFonts w:asciiTheme="minorHAnsi" w:eastAsiaTheme="minorHAnsi" w:hAnsiTheme="minorHAnsi" w:cstheme="minorBidi"/>
                <w:bCs/>
                <w:iCs/>
                <w:szCs w:val="24"/>
              </w:rPr>
            </w:pPr>
            <w:r>
              <w:rPr>
                <w:rFonts w:asciiTheme="minorHAnsi" w:eastAsiaTheme="minorHAnsi" w:hAnsiTheme="minorHAnsi" w:cstheme="minorBidi"/>
                <w:bCs/>
                <w:iCs/>
                <w:szCs w:val="24"/>
              </w:rPr>
              <w:t xml:space="preserve">Strategic Plan: Strategic and Capital planning team </w:t>
            </w:r>
          </w:p>
          <w:p w14:paraId="3E0CC169" w14:textId="5DA2A894" w:rsidR="00090F9A" w:rsidRPr="00304EC5" w:rsidRDefault="00090F9A" w:rsidP="00D675A0">
            <w:pPr>
              <w:numPr>
                <w:ilvl w:val="0"/>
                <w:numId w:val="4"/>
              </w:numPr>
              <w:spacing w:after="0" w:line="240" w:lineRule="auto"/>
              <w:contextualSpacing/>
              <w:rPr>
                <w:rFonts w:asciiTheme="minorHAnsi" w:eastAsiaTheme="minorHAnsi" w:hAnsiTheme="minorHAnsi" w:cstheme="minorBidi"/>
                <w:bCs/>
                <w:iCs/>
                <w:szCs w:val="24"/>
              </w:rPr>
            </w:pPr>
            <w:r w:rsidRPr="003B43F2">
              <w:rPr>
                <w:rFonts w:asciiTheme="minorHAnsi" w:eastAsiaTheme="minorHAnsi" w:hAnsiTheme="minorHAnsi" w:cstheme="minorBidi"/>
                <w:bCs/>
                <w:iCs/>
                <w:szCs w:val="24"/>
              </w:rPr>
              <w:t>The monthly values for SHUSA Capital metrics are generated by Regulatory Capital and are made available through their SharePoint site each month</w:t>
            </w:r>
            <w:r>
              <w:rPr>
                <w:rFonts w:asciiTheme="minorHAnsi" w:eastAsiaTheme="minorHAnsi" w:hAnsiTheme="minorHAnsi" w:cstheme="minorBidi"/>
                <w:bCs/>
                <w:iCs/>
                <w:szCs w:val="24"/>
              </w:rPr>
              <w:t>.</w:t>
            </w:r>
          </w:p>
        </w:tc>
      </w:tr>
    </w:tbl>
    <w:p w14:paraId="12F9A92C" w14:textId="77777777" w:rsidR="00090F9A" w:rsidRDefault="00090F9A" w:rsidP="00FC6780">
      <w:pPr>
        <w:pStyle w:val="ListParagraph"/>
        <w:ind w:left="680"/>
        <w:rPr>
          <w:rFonts w:ascii="Calibri" w:eastAsia="Calibri" w:hAnsi="Calibri" w:cs="Times New Roman"/>
          <w:b/>
          <w:bCs/>
          <w:color w:val="000000" w:themeColor="text1"/>
          <w:sz w:val="24"/>
          <w:lang w:val="en-US" w:bidi="en-US"/>
        </w:rPr>
      </w:pPr>
    </w:p>
    <w:p w14:paraId="07BA0019" w14:textId="77777777" w:rsidR="00921A3D" w:rsidRPr="005A588A" w:rsidRDefault="00921A3D" w:rsidP="00921A3D">
      <w:pPr>
        <w:pStyle w:val="SANUS2"/>
        <w:numPr>
          <w:ilvl w:val="1"/>
          <w:numId w:val="1"/>
        </w:numPr>
        <w:rPr>
          <w:color w:val="000000" w:themeColor="text1"/>
        </w:rPr>
      </w:pPr>
      <w:bookmarkStart w:id="27" w:name="_Toc452544009"/>
      <w:bookmarkStart w:id="28" w:name="_Toc453849277"/>
      <w:r w:rsidRPr="005A588A">
        <w:rPr>
          <w:color w:val="000000" w:themeColor="text1"/>
        </w:rPr>
        <w:t>Tier 1 Leverage (T1L) Ratio (baseline and stress)</w:t>
      </w:r>
      <w:bookmarkEnd w:id="27"/>
      <w:bookmarkEnd w:id="28"/>
      <w:r w:rsidRPr="005A588A">
        <w:rPr>
          <w:color w:val="000000" w:themeColor="text1"/>
        </w:rPr>
        <w:t xml:space="preserve"> </w:t>
      </w:r>
    </w:p>
    <w:tbl>
      <w:tblPr>
        <w:tblpPr w:leftFromText="180" w:rightFromText="180" w:vertAnchor="text" w:tblpX="168" w:tblpY="1"/>
        <w:tblOverlap w:val="never"/>
        <w:tblW w:w="9198"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Look w:val="0000" w:firstRow="0" w:lastRow="0" w:firstColumn="0" w:lastColumn="0" w:noHBand="0" w:noVBand="0"/>
      </w:tblPr>
      <w:tblGrid>
        <w:gridCol w:w="1728"/>
        <w:gridCol w:w="7470"/>
      </w:tblGrid>
      <w:tr w:rsidR="00921A3D" w:rsidRPr="00206D41" w14:paraId="4B1FE26B" w14:textId="77777777" w:rsidTr="00D675A0">
        <w:trPr>
          <w:trHeight w:val="390"/>
        </w:trPr>
        <w:tc>
          <w:tcPr>
            <w:tcW w:w="1728" w:type="dxa"/>
            <w:shd w:val="clear" w:color="auto" w:fill="auto"/>
          </w:tcPr>
          <w:p w14:paraId="05A2793B" w14:textId="77777777" w:rsidR="00921A3D" w:rsidRPr="00206D41" w:rsidRDefault="00921A3D" w:rsidP="00D675A0">
            <w:pPr>
              <w:rPr>
                <w:b/>
                <w:bCs/>
                <w:iCs/>
              </w:rPr>
            </w:pPr>
            <w:r>
              <w:rPr>
                <w:b/>
                <w:bCs/>
                <w:iCs/>
              </w:rPr>
              <w:t>DEFINITION</w:t>
            </w:r>
          </w:p>
        </w:tc>
        <w:tc>
          <w:tcPr>
            <w:tcW w:w="7470" w:type="dxa"/>
            <w:shd w:val="clear" w:color="auto" w:fill="auto"/>
          </w:tcPr>
          <w:p w14:paraId="45117E1C" w14:textId="77777777" w:rsidR="00921A3D" w:rsidRPr="00206D41" w:rsidRDefault="00921A3D" w:rsidP="00D675A0">
            <w:pPr>
              <w:spacing w:after="0" w:line="240" w:lineRule="auto"/>
              <w:rPr>
                <w:b/>
                <w:color w:val="000000" w:themeColor="text1"/>
              </w:rPr>
            </w:pPr>
            <w:r>
              <w:rPr>
                <w:rFonts w:asciiTheme="minorHAnsi" w:eastAsiaTheme="minorHAnsi" w:hAnsiTheme="minorHAnsi" w:cstheme="minorBidi"/>
                <w:iCs/>
              </w:rPr>
              <w:t xml:space="preserve">The minimum ratio of T1L </w:t>
            </w:r>
            <w:r>
              <w:rPr>
                <w:bCs/>
                <w:iCs/>
              </w:rPr>
              <w:t>to Adjusted Average Assets</w:t>
            </w:r>
            <w:r w:rsidRPr="00206D41">
              <w:rPr>
                <w:bCs/>
                <w:iCs/>
              </w:rPr>
              <w:t xml:space="preserve"> under </w:t>
            </w:r>
            <w:r w:rsidRPr="00216A36">
              <w:rPr>
                <w:bCs/>
                <w:iCs/>
              </w:rPr>
              <w:t>Base</w:t>
            </w:r>
            <w:r>
              <w:rPr>
                <w:bCs/>
                <w:iCs/>
              </w:rPr>
              <w:t>line</w:t>
            </w:r>
            <w:r w:rsidRPr="00216A36">
              <w:rPr>
                <w:bCs/>
                <w:iCs/>
              </w:rPr>
              <w:t xml:space="preserve"> and Stressed </w:t>
            </w:r>
            <w:r w:rsidRPr="00206D41">
              <w:rPr>
                <w:bCs/>
                <w:iCs/>
              </w:rPr>
              <w:t>conditions</w:t>
            </w:r>
          </w:p>
        </w:tc>
      </w:tr>
      <w:tr w:rsidR="00921A3D" w:rsidRPr="00206D41" w14:paraId="38A04A11" w14:textId="77777777" w:rsidTr="00D675A0">
        <w:trPr>
          <w:trHeight w:val="462"/>
        </w:trPr>
        <w:tc>
          <w:tcPr>
            <w:tcW w:w="1728" w:type="dxa"/>
            <w:shd w:val="clear" w:color="auto" w:fill="auto"/>
          </w:tcPr>
          <w:p w14:paraId="213E1271" w14:textId="77777777" w:rsidR="00921A3D" w:rsidRPr="00206D41" w:rsidRDefault="00921A3D" w:rsidP="00D675A0">
            <w:pPr>
              <w:rPr>
                <w:b/>
                <w:bCs/>
                <w:iCs/>
              </w:rPr>
            </w:pPr>
            <w:r>
              <w:rPr>
                <w:b/>
                <w:bCs/>
                <w:iCs/>
              </w:rPr>
              <w:t>RISK TYPE</w:t>
            </w:r>
          </w:p>
        </w:tc>
        <w:tc>
          <w:tcPr>
            <w:tcW w:w="7470" w:type="dxa"/>
            <w:shd w:val="clear" w:color="auto" w:fill="auto"/>
          </w:tcPr>
          <w:p w14:paraId="65563E48" w14:textId="77777777" w:rsidR="00921A3D" w:rsidRPr="00206D41" w:rsidRDefault="00921A3D" w:rsidP="00D675A0">
            <w:pPr>
              <w:spacing w:after="0" w:line="240" w:lineRule="auto"/>
              <w:rPr>
                <w:bCs/>
                <w:iCs/>
              </w:rPr>
            </w:pPr>
            <w:r>
              <w:rPr>
                <w:bCs/>
                <w:iCs/>
              </w:rPr>
              <w:t>Capital Adequacy Risk</w:t>
            </w:r>
          </w:p>
        </w:tc>
      </w:tr>
      <w:tr w:rsidR="00921A3D" w:rsidRPr="00206D41" w14:paraId="084722B0" w14:textId="77777777" w:rsidTr="00D675A0">
        <w:trPr>
          <w:trHeight w:val="462"/>
        </w:trPr>
        <w:tc>
          <w:tcPr>
            <w:tcW w:w="1728" w:type="dxa"/>
            <w:shd w:val="clear" w:color="auto" w:fill="auto"/>
          </w:tcPr>
          <w:p w14:paraId="784635F4" w14:textId="77777777" w:rsidR="00921A3D" w:rsidRDefault="00921A3D" w:rsidP="00D675A0">
            <w:pPr>
              <w:rPr>
                <w:b/>
                <w:bCs/>
                <w:iCs/>
              </w:rPr>
            </w:pPr>
            <w:r>
              <w:rPr>
                <w:b/>
                <w:bCs/>
                <w:iCs/>
              </w:rPr>
              <w:t>RATIONALE</w:t>
            </w:r>
          </w:p>
        </w:tc>
        <w:tc>
          <w:tcPr>
            <w:tcW w:w="7470" w:type="dxa"/>
            <w:shd w:val="clear" w:color="auto" w:fill="auto"/>
          </w:tcPr>
          <w:p w14:paraId="3890D24B" w14:textId="77777777" w:rsidR="00921A3D" w:rsidRDefault="00921A3D" w:rsidP="00D675A0">
            <w:pPr>
              <w:spacing w:after="0" w:line="240" w:lineRule="auto"/>
              <w:rPr>
                <w:rFonts w:asciiTheme="minorHAnsi" w:hAnsiTheme="minorHAnsi"/>
                <w:bCs/>
                <w:iCs/>
              </w:rPr>
            </w:pPr>
            <w:r>
              <w:rPr>
                <w:rFonts w:asciiTheme="minorHAnsi" w:hAnsiTheme="minorHAnsi"/>
                <w:bCs/>
                <w:iCs/>
              </w:rPr>
              <w:t>If ratios fall below PCA adequately capitalized levels, probability is high that SHUSA would not be able to act as a financial intermediary.</w:t>
            </w:r>
          </w:p>
          <w:p w14:paraId="26E05C71" w14:textId="77777777" w:rsidR="00921A3D" w:rsidRDefault="00921A3D" w:rsidP="00D675A0">
            <w:pPr>
              <w:spacing w:after="0" w:line="240" w:lineRule="auto"/>
              <w:rPr>
                <w:bCs/>
                <w:iCs/>
              </w:rPr>
            </w:pPr>
            <w:r>
              <w:rPr>
                <w:rFonts w:asciiTheme="minorHAnsi" w:hAnsiTheme="minorHAnsi"/>
                <w:bCs/>
                <w:iCs/>
              </w:rPr>
              <w:t>I</w:t>
            </w:r>
            <w:r w:rsidRPr="000F7334">
              <w:rPr>
                <w:rFonts w:asciiTheme="minorHAnsi" w:hAnsiTheme="minorHAnsi"/>
                <w:bCs/>
                <w:iCs/>
              </w:rPr>
              <w:t>mportant to external stakeholders when making decisions regarding SHUSA in either normal or stressful economic environments</w:t>
            </w:r>
            <w:r>
              <w:rPr>
                <w:rFonts w:asciiTheme="minorHAnsi" w:hAnsiTheme="minorHAnsi"/>
                <w:bCs/>
                <w:iCs/>
              </w:rPr>
              <w:t>.</w:t>
            </w:r>
          </w:p>
        </w:tc>
      </w:tr>
      <w:tr w:rsidR="00921A3D" w:rsidRPr="00206D41" w14:paraId="475F42C8" w14:textId="77777777" w:rsidTr="00D675A0">
        <w:trPr>
          <w:trHeight w:val="270"/>
        </w:trPr>
        <w:tc>
          <w:tcPr>
            <w:tcW w:w="1728" w:type="dxa"/>
            <w:shd w:val="clear" w:color="auto" w:fill="auto"/>
          </w:tcPr>
          <w:p w14:paraId="2C0A5FED" w14:textId="77777777" w:rsidR="00921A3D" w:rsidRPr="00206D41" w:rsidRDefault="00921A3D" w:rsidP="00D675A0">
            <w:pPr>
              <w:rPr>
                <w:b/>
                <w:bCs/>
                <w:iCs/>
              </w:rPr>
            </w:pPr>
            <w:r>
              <w:rPr>
                <w:b/>
                <w:bCs/>
                <w:iCs/>
              </w:rPr>
              <w:t>ENTITY</w:t>
            </w:r>
          </w:p>
        </w:tc>
        <w:tc>
          <w:tcPr>
            <w:tcW w:w="7470" w:type="dxa"/>
            <w:shd w:val="clear" w:color="auto" w:fill="auto"/>
          </w:tcPr>
          <w:p w14:paraId="250EE476" w14:textId="77777777" w:rsidR="00921A3D" w:rsidRPr="00037DD3" w:rsidRDefault="00921A3D" w:rsidP="00D675A0">
            <w:pPr>
              <w:spacing w:after="0" w:line="240" w:lineRule="auto"/>
              <w:rPr>
                <w:b/>
                <w:bCs/>
                <w:iCs/>
              </w:rPr>
            </w:pPr>
            <w:r w:rsidRPr="00037DD3">
              <w:rPr>
                <w:b/>
                <w:bCs/>
                <w:iCs/>
              </w:rPr>
              <w:t>SHUSA</w:t>
            </w:r>
          </w:p>
        </w:tc>
      </w:tr>
      <w:tr w:rsidR="00921A3D" w:rsidRPr="00206D41" w14:paraId="08004444" w14:textId="77777777" w:rsidTr="00D675A0">
        <w:trPr>
          <w:trHeight w:val="270"/>
        </w:trPr>
        <w:tc>
          <w:tcPr>
            <w:tcW w:w="1728" w:type="dxa"/>
            <w:shd w:val="clear" w:color="auto" w:fill="auto"/>
          </w:tcPr>
          <w:p w14:paraId="3738BBF2" w14:textId="4C7F2467" w:rsidR="00921A3D" w:rsidRPr="00206D41" w:rsidRDefault="00511F11" w:rsidP="00D675A0">
            <w:pPr>
              <w:rPr>
                <w:b/>
                <w:bCs/>
                <w:iCs/>
              </w:rPr>
            </w:pPr>
            <w:r>
              <w:rPr>
                <w:rFonts w:asciiTheme="minorHAnsi" w:hAnsiTheme="minorHAnsi"/>
                <w:b/>
                <w:bCs/>
                <w:iCs/>
              </w:rPr>
              <w:t>METRIC PROVIDER</w:t>
            </w:r>
          </w:p>
        </w:tc>
        <w:tc>
          <w:tcPr>
            <w:tcW w:w="7470" w:type="dxa"/>
            <w:shd w:val="clear" w:color="auto" w:fill="auto"/>
          </w:tcPr>
          <w:p w14:paraId="168F06B0" w14:textId="57DA4BB4" w:rsidR="00921A3D" w:rsidRPr="00037DD3" w:rsidRDefault="00921A3D" w:rsidP="00D675A0">
            <w:pPr>
              <w:spacing w:after="0" w:line="240" w:lineRule="auto"/>
              <w:rPr>
                <w:b/>
                <w:bCs/>
                <w:iCs/>
              </w:rPr>
            </w:pPr>
            <w:r w:rsidRPr="00921A3D">
              <w:rPr>
                <w:b/>
                <w:bCs/>
                <w:iCs/>
              </w:rPr>
              <w:t>SHUSA Director of Capital Policy</w:t>
            </w:r>
          </w:p>
        </w:tc>
      </w:tr>
      <w:tr w:rsidR="00921A3D" w:rsidRPr="00206D41" w14:paraId="5F097467" w14:textId="77777777" w:rsidTr="00D675A0">
        <w:trPr>
          <w:trHeight w:val="510"/>
        </w:trPr>
        <w:tc>
          <w:tcPr>
            <w:tcW w:w="1728" w:type="dxa"/>
            <w:shd w:val="clear" w:color="auto" w:fill="auto"/>
          </w:tcPr>
          <w:p w14:paraId="10FB5443" w14:textId="77777777" w:rsidR="00921A3D" w:rsidRPr="005B0BAF" w:rsidRDefault="00921A3D" w:rsidP="00D675A0">
            <w:pPr>
              <w:rPr>
                <w:rFonts w:asciiTheme="minorHAnsi" w:hAnsiTheme="minorHAnsi"/>
                <w:b/>
                <w:bCs/>
                <w:iCs/>
              </w:rPr>
            </w:pPr>
            <w:r w:rsidRPr="005B0BAF">
              <w:rPr>
                <w:rFonts w:asciiTheme="minorHAnsi" w:hAnsiTheme="minorHAnsi"/>
                <w:b/>
                <w:bCs/>
                <w:iCs/>
              </w:rPr>
              <w:t>TRIGGER AND LIMIT SETTING</w:t>
            </w:r>
          </w:p>
        </w:tc>
        <w:tc>
          <w:tcPr>
            <w:tcW w:w="7470" w:type="dxa"/>
            <w:shd w:val="clear" w:color="auto" w:fill="auto"/>
          </w:tcPr>
          <w:p w14:paraId="14DC4A96" w14:textId="0856D7EE" w:rsidR="00921A3D" w:rsidRPr="00EB0A0D" w:rsidRDefault="00921A3D" w:rsidP="00D675A0">
            <w:pPr>
              <w:spacing w:after="0" w:line="240" w:lineRule="auto"/>
              <w:rPr>
                <w:iCs/>
                <w:lang w:bidi="en-US"/>
              </w:rPr>
            </w:pPr>
            <w:r w:rsidRPr="00EB0A0D">
              <w:rPr>
                <w:iCs/>
                <w:lang w:bidi="en-US"/>
              </w:rPr>
              <w:t xml:space="preserve">The Amber trigger and Red limit for </w:t>
            </w:r>
            <w:r>
              <w:rPr>
                <w:iCs/>
                <w:lang w:bidi="en-US"/>
              </w:rPr>
              <w:t>T1L</w:t>
            </w:r>
            <w:r w:rsidRPr="00EB0A0D">
              <w:rPr>
                <w:iCs/>
                <w:lang w:bidi="en-US"/>
              </w:rPr>
              <w:t xml:space="preserve"> are set annually based on </w:t>
            </w:r>
            <w:r>
              <w:rPr>
                <w:iCs/>
                <w:lang w:bidi="en-US"/>
              </w:rPr>
              <w:t>SHUSA</w:t>
            </w:r>
            <w:r w:rsidRPr="00EB0A0D">
              <w:rPr>
                <w:iCs/>
                <w:lang w:bidi="en-US"/>
              </w:rPr>
              <w:t xml:space="preserve">’s approved </w:t>
            </w:r>
            <w:r>
              <w:rPr>
                <w:iCs/>
                <w:lang w:bidi="en-US"/>
              </w:rPr>
              <w:t>T1L</w:t>
            </w:r>
            <w:r w:rsidRPr="00EB0A0D">
              <w:rPr>
                <w:iCs/>
                <w:lang w:bidi="en-US"/>
              </w:rPr>
              <w:t xml:space="preserve"> Capital Policy ratios at time of RAS setting:</w:t>
            </w:r>
          </w:p>
          <w:p w14:paraId="62261177" w14:textId="77777777" w:rsidR="00921A3D" w:rsidRPr="00F34844" w:rsidRDefault="00921A3D" w:rsidP="00D675A0">
            <w:pPr>
              <w:pStyle w:val="ListParagraph"/>
              <w:numPr>
                <w:ilvl w:val="0"/>
                <w:numId w:val="4"/>
              </w:numPr>
              <w:spacing w:after="0" w:line="240" w:lineRule="auto"/>
              <w:rPr>
                <w:rFonts w:eastAsia="Calibri" w:cs="Times New Roman"/>
                <w:iCs/>
                <w:szCs w:val="22"/>
                <w:lang w:val="en-US" w:bidi="en-US"/>
              </w:rPr>
            </w:pPr>
            <w:r w:rsidRPr="00F34844">
              <w:rPr>
                <w:rFonts w:eastAsia="Calibri" w:cs="Times New Roman"/>
                <w:iCs/>
                <w:szCs w:val="22"/>
                <w:lang w:val="en-US" w:bidi="en-US"/>
              </w:rPr>
              <w:t>BHC Baseline scenario:</w:t>
            </w:r>
            <w:r>
              <w:rPr>
                <w:rFonts w:eastAsia="Calibri" w:cs="Times New Roman"/>
                <w:iCs/>
                <w:szCs w:val="22"/>
                <w:lang w:val="en-US" w:bidi="en-US"/>
              </w:rPr>
              <w:t xml:space="preserve"> Trigger is ratio for </w:t>
            </w:r>
            <w:r w:rsidRPr="00F34844">
              <w:rPr>
                <w:rFonts w:eastAsia="Calibri" w:cs="Times New Roman"/>
                <w:iCs/>
                <w:szCs w:val="22"/>
                <w:lang w:val="en-US" w:bidi="en-US"/>
              </w:rPr>
              <w:t xml:space="preserve">“use for capital expectations”; </w:t>
            </w:r>
            <w:r>
              <w:rPr>
                <w:rFonts w:eastAsia="Calibri" w:cs="Times New Roman"/>
                <w:iCs/>
                <w:szCs w:val="22"/>
                <w:lang w:val="en-US" w:bidi="en-US"/>
              </w:rPr>
              <w:t>L</w:t>
            </w:r>
            <w:r w:rsidRPr="00F34844">
              <w:rPr>
                <w:rFonts w:eastAsia="Calibri" w:cs="Times New Roman"/>
                <w:iCs/>
                <w:szCs w:val="22"/>
                <w:lang w:val="en-US" w:bidi="en-US"/>
              </w:rPr>
              <w:t>imit</w:t>
            </w:r>
            <w:r>
              <w:rPr>
                <w:rFonts w:eastAsia="Calibri" w:cs="Times New Roman"/>
                <w:iCs/>
                <w:szCs w:val="22"/>
                <w:lang w:val="en-US" w:bidi="en-US"/>
              </w:rPr>
              <w:t xml:space="preserve"> is</w:t>
            </w:r>
            <w:r w:rsidRPr="00F34844">
              <w:rPr>
                <w:rFonts w:eastAsia="Calibri" w:cs="Times New Roman"/>
                <w:iCs/>
                <w:szCs w:val="22"/>
                <w:lang w:val="en-US" w:bidi="en-US"/>
              </w:rPr>
              <w:t xml:space="preserve"> </w:t>
            </w:r>
            <w:r>
              <w:rPr>
                <w:rFonts w:eastAsia="Calibri" w:cs="Times New Roman"/>
                <w:iCs/>
                <w:szCs w:val="22"/>
                <w:lang w:val="en-US" w:bidi="en-US"/>
              </w:rPr>
              <w:t>“</w:t>
            </w:r>
            <w:r w:rsidRPr="00F34844">
              <w:rPr>
                <w:rFonts w:eastAsia="Calibri" w:cs="Times New Roman"/>
                <w:iCs/>
                <w:szCs w:val="22"/>
                <w:lang w:val="en-US" w:bidi="en-US"/>
              </w:rPr>
              <w:t>internal business-as-usual minimum</w:t>
            </w:r>
            <w:r>
              <w:rPr>
                <w:rFonts w:eastAsia="Calibri" w:cs="Times New Roman"/>
                <w:iCs/>
                <w:szCs w:val="22"/>
                <w:lang w:val="en-US" w:bidi="en-US"/>
              </w:rPr>
              <w:t>”</w:t>
            </w:r>
            <w:r w:rsidRPr="00F34844">
              <w:rPr>
                <w:rFonts w:eastAsia="Calibri" w:cs="Times New Roman"/>
                <w:iCs/>
                <w:szCs w:val="22"/>
                <w:lang w:val="en-US" w:bidi="en-US"/>
              </w:rPr>
              <w:t>.</w:t>
            </w:r>
          </w:p>
          <w:p w14:paraId="6978EC2D" w14:textId="77777777" w:rsidR="00921A3D" w:rsidRPr="00F34844" w:rsidRDefault="00921A3D" w:rsidP="00D675A0">
            <w:pPr>
              <w:pStyle w:val="ListParagraph"/>
              <w:numPr>
                <w:ilvl w:val="0"/>
                <w:numId w:val="4"/>
              </w:numPr>
              <w:spacing w:after="0" w:line="240" w:lineRule="auto"/>
              <w:rPr>
                <w:rFonts w:eastAsia="Calibri" w:cs="Times New Roman"/>
                <w:iCs/>
                <w:szCs w:val="22"/>
                <w:lang w:val="en-US" w:bidi="en-US"/>
              </w:rPr>
            </w:pPr>
            <w:r w:rsidRPr="00CB427F">
              <w:rPr>
                <w:rFonts w:eastAsia="Calibri" w:cs="Times New Roman"/>
                <w:iCs/>
                <w:szCs w:val="22"/>
                <w:lang w:val="en-US" w:bidi="en-US"/>
              </w:rPr>
              <w:t>BHC Stress scenario: Trigger is ratio “internal post-stress minimum level”</w:t>
            </w:r>
            <w:r>
              <w:rPr>
                <w:rFonts w:eastAsia="Calibri" w:cs="Times New Roman"/>
                <w:iCs/>
                <w:szCs w:val="22"/>
                <w:lang w:val="en-US" w:bidi="en-US"/>
              </w:rPr>
              <w:t xml:space="preserve"> plus a management adjustment</w:t>
            </w:r>
            <w:r w:rsidRPr="00CB427F">
              <w:rPr>
                <w:rFonts w:eastAsia="Calibri" w:cs="Times New Roman"/>
                <w:iCs/>
                <w:szCs w:val="22"/>
                <w:lang w:val="en-US" w:bidi="en-US"/>
              </w:rPr>
              <w:t>;</w:t>
            </w:r>
            <w:r>
              <w:rPr>
                <w:rFonts w:eastAsia="Calibri" w:cs="Times New Roman"/>
                <w:iCs/>
                <w:szCs w:val="22"/>
                <w:lang w:val="en-US" w:bidi="en-US"/>
              </w:rPr>
              <w:t xml:space="preserve"> </w:t>
            </w:r>
            <w:r w:rsidRPr="00CB427F">
              <w:rPr>
                <w:rFonts w:eastAsia="Calibri" w:cs="Times New Roman"/>
                <w:iCs/>
                <w:szCs w:val="22"/>
                <w:lang w:val="en-US" w:bidi="en-US"/>
              </w:rPr>
              <w:t>Limit is “</w:t>
            </w:r>
            <w:r>
              <w:rPr>
                <w:rFonts w:eastAsia="Calibri" w:cs="Times New Roman"/>
                <w:iCs/>
                <w:szCs w:val="22"/>
                <w:lang w:val="en-US" w:bidi="en-US"/>
              </w:rPr>
              <w:t>internal post-stress minimum level”.</w:t>
            </w:r>
          </w:p>
        </w:tc>
      </w:tr>
      <w:tr w:rsidR="00921A3D" w:rsidRPr="00206D41" w14:paraId="63035A47" w14:textId="77777777" w:rsidTr="00D675A0">
        <w:trPr>
          <w:trHeight w:val="510"/>
        </w:trPr>
        <w:tc>
          <w:tcPr>
            <w:tcW w:w="1728" w:type="dxa"/>
            <w:shd w:val="clear" w:color="auto" w:fill="auto"/>
          </w:tcPr>
          <w:p w14:paraId="08C38F81" w14:textId="77777777" w:rsidR="00921A3D" w:rsidRPr="005B0BAF" w:rsidRDefault="00921A3D" w:rsidP="00D675A0">
            <w:pPr>
              <w:rPr>
                <w:rFonts w:asciiTheme="minorHAnsi" w:hAnsiTheme="minorHAnsi"/>
                <w:b/>
                <w:bCs/>
                <w:iCs/>
              </w:rPr>
            </w:pPr>
            <w:r w:rsidRPr="005B0BAF">
              <w:rPr>
                <w:rFonts w:asciiTheme="minorHAnsi" w:hAnsiTheme="minorHAnsi"/>
                <w:b/>
                <w:bCs/>
                <w:iCs/>
              </w:rPr>
              <w:t>TESTING FREQUENCY</w:t>
            </w:r>
          </w:p>
        </w:tc>
        <w:tc>
          <w:tcPr>
            <w:tcW w:w="7470" w:type="dxa"/>
            <w:shd w:val="clear" w:color="auto" w:fill="auto"/>
          </w:tcPr>
          <w:p w14:paraId="5164F38C" w14:textId="77777777" w:rsidR="00921A3D" w:rsidRDefault="00921A3D" w:rsidP="00D675A0">
            <w:pPr>
              <w:pStyle w:val="ListParagraph"/>
              <w:numPr>
                <w:ilvl w:val="0"/>
                <w:numId w:val="4"/>
              </w:numPr>
              <w:spacing w:before="120" w:after="120" w:line="240" w:lineRule="auto"/>
              <w:rPr>
                <w:rFonts w:eastAsia="Calibri" w:cs="Times New Roman"/>
                <w:iCs/>
                <w:szCs w:val="22"/>
                <w:lang w:val="en-US" w:bidi="en-US"/>
              </w:rPr>
            </w:pPr>
            <w:r w:rsidRPr="005B0BAF">
              <w:rPr>
                <w:rFonts w:eastAsia="Calibri" w:cs="Times New Roman"/>
                <w:iCs/>
                <w:szCs w:val="22"/>
                <w:lang w:val="en-US" w:bidi="en-US"/>
              </w:rPr>
              <w:t xml:space="preserve">Annually/CCAR output: The lowest value of the 9 quarters covered by the CCAR exercise </w:t>
            </w:r>
            <w:r>
              <w:rPr>
                <w:rFonts w:eastAsia="Calibri" w:cs="Times New Roman"/>
                <w:iCs/>
                <w:szCs w:val="22"/>
                <w:lang w:val="en-US" w:bidi="en-US"/>
              </w:rPr>
              <w:t>is</w:t>
            </w:r>
            <w:r w:rsidRPr="005B0BAF">
              <w:rPr>
                <w:rFonts w:eastAsia="Calibri" w:cs="Times New Roman"/>
                <w:iCs/>
                <w:szCs w:val="22"/>
                <w:lang w:val="en-US" w:bidi="en-US"/>
              </w:rPr>
              <w:t xml:space="preserve"> compared to the trigger</w:t>
            </w:r>
            <w:r>
              <w:rPr>
                <w:rFonts w:eastAsia="Calibri" w:cs="Times New Roman"/>
                <w:iCs/>
                <w:szCs w:val="22"/>
                <w:lang w:val="en-US" w:bidi="en-US"/>
              </w:rPr>
              <w:t xml:space="preserve"> and limit derived from the application of the Capital Policy (see above)</w:t>
            </w:r>
            <w:r w:rsidRPr="005B0BAF">
              <w:rPr>
                <w:rFonts w:eastAsia="Calibri" w:cs="Times New Roman"/>
                <w:iCs/>
                <w:szCs w:val="22"/>
                <w:lang w:val="en-US" w:bidi="en-US"/>
              </w:rPr>
              <w:t xml:space="preserve">. The RAS will be presented for annual review with the CCAR outputs compared to the </w:t>
            </w:r>
            <w:r>
              <w:rPr>
                <w:rFonts w:eastAsia="Calibri" w:cs="Times New Roman"/>
                <w:iCs/>
                <w:szCs w:val="22"/>
                <w:lang w:val="en-US" w:bidi="en-US"/>
              </w:rPr>
              <w:t xml:space="preserve">proposed </w:t>
            </w:r>
            <w:r w:rsidRPr="005B0BAF">
              <w:rPr>
                <w:rFonts w:eastAsia="Calibri" w:cs="Times New Roman"/>
                <w:iCs/>
                <w:szCs w:val="22"/>
                <w:lang w:val="en-US" w:bidi="en-US"/>
              </w:rPr>
              <w:t>trigger and limit.</w:t>
            </w:r>
          </w:p>
          <w:p w14:paraId="28E017BB" w14:textId="77777777" w:rsidR="00921A3D" w:rsidRDefault="00921A3D" w:rsidP="00D675A0">
            <w:pPr>
              <w:pStyle w:val="ListParagraph"/>
              <w:numPr>
                <w:ilvl w:val="0"/>
                <w:numId w:val="4"/>
              </w:numPr>
              <w:spacing w:before="120" w:after="120" w:line="240" w:lineRule="auto"/>
              <w:rPr>
                <w:rFonts w:eastAsia="Calibri" w:cs="Times New Roman"/>
                <w:iCs/>
                <w:szCs w:val="22"/>
                <w:lang w:val="en-US" w:bidi="en-US"/>
              </w:rPr>
            </w:pPr>
            <w:r>
              <w:rPr>
                <w:rFonts w:eastAsia="Calibri" w:cs="Times New Roman"/>
                <w:iCs/>
                <w:szCs w:val="22"/>
                <w:lang w:val="en-US" w:bidi="en-US"/>
              </w:rPr>
              <w:t>Mid-cycle: The lowest value of the 9 quarters covered  by the Mid-cycle exercise is compared to the trigger and limit derived from the application of the Capital Policy</w:t>
            </w:r>
          </w:p>
          <w:p w14:paraId="37FB1A8E" w14:textId="77777777" w:rsidR="00921A3D" w:rsidRPr="005B0BAF" w:rsidRDefault="00921A3D" w:rsidP="00D675A0">
            <w:pPr>
              <w:pStyle w:val="ListParagraph"/>
              <w:numPr>
                <w:ilvl w:val="0"/>
                <w:numId w:val="4"/>
              </w:numPr>
              <w:spacing w:before="120" w:after="120" w:line="240" w:lineRule="auto"/>
              <w:rPr>
                <w:rFonts w:eastAsia="Calibri" w:cs="Times New Roman"/>
                <w:iCs/>
                <w:szCs w:val="22"/>
                <w:lang w:val="en-US" w:bidi="en-US"/>
              </w:rPr>
            </w:pPr>
            <w:r>
              <w:rPr>
                <w:rFonts w:eastAsia="Calibri" w:cs="Times New Roman"/>
                <w:iCs/>
                <w:szCs w:val="22"/>
                <w:lang w:val="en-US" w:bidi="en-US"/>
              </w:rPr>
              <w:t xml:space="preserve">Strategic Plan (e.g. P-18): The projected capital levels from the strategic plan are compared to the RAS limits and thresholds </w:t>
            </w:r>
          </w:p>
          <w:p w14:paraId="37368736" w14:textId="77777777" w:rsidR="00921A3D" w:rsidRDefault="00921A3D" w:rsidP="00D675A0">
            <w:pPr>
              <w:pStyle w:val="ListParagraph"/>
              <w:numPr>
                <w:ilvl w:val="0"/>
                <w:numId w:val="4"/>
              </w:numPr>
              <w:spacing w:before="240" w:after="120" w:line="240" w:lineRule="auto"/>
              <w:rPr>
                <w:rFonts w:eastAsia="Calibri" w:cs="Times New Roman"/>
                <w:iCs/>
                <w:szCs w:val="22"/>
                <w:lang w:val="en-US" w:bidi="en-US"/>
              </w:rPr>
            </w:pPr>
            <w:r w:rsidRPr="005B0BAF">
              <w:rPr>
                <w:rFonts w:eastAsia="Calibri" w:cs="Times New Roman"/>
                <w:iCs/>
                <w:szCs w:val="22"/>
                <w:lang w:val="en-US" w:bidi="en-US"/>
              </w:rPr>
              <w:t xml:space="preserve">Monthly: On a monthly basis the actual level of </w:t>
            </w:r>
            <w:r>
              <w:rPr>
                <w:rFonts w:eastAsia="Calibri" w:cs="Times New Roman"/>
                <w:iCs/>
                <w:szCs w:val="22"/>
                <w:lang w:val="en-US" w:bidi="en-US"/>
              </w:rPr>
              <w:t xml:space="preserve">the </w:t>
            </w:r>
            <w:r w:rsidRPr="005B0BAF">
              <w:rPr>
                <w:rFonts w:eastAsia="Calibri" w:cs="Times New Roman"/>
                <w:iCs/>
                <w:szCs w:val="22"/>
                <w:lang w:val="en-US" w:bidi="en-US"/>
              </w:rPr>
              <w:t xml:space="preserve">metric </w:t>
            </w:r>
            <w:r>
              <w:rPr>
                <w:rFonts w:eastAsia="Calibri" w:cs="Times New Roman"/>
                <w:iCs/>
                <w:szCs w:val="22"/>
                <w:lang w:val="en-US" w:bidi="en-US"/>
              </w:rPr>
              <w:t>is</w:t>
            </w:r>
            <w:r w:rsidRPr="005B0BAF">
              <w:rPr>
                <w:rFonts w:eastAsia="Calibri" w:cs="Times New Roman"/>
                <w:iCs/>
                <w:szCs w:val="22"/>
                <w:lang w:val="en-US" w:bidi="en-US"/>
              </w:rPr>
              <w:t xml:space="preserve"> compared only to the BHC Baseline scenario limit</w:t>
            </w:r>
            <w:r>
              <w:rPr>
                <w:rFonts w:eastAsia="Calibri" w:cs="Times New Roman"/>
                <w:iCs/>
                <w:szCs w:val="22"/>
                <w:lang w:val="en-US" w:bidi="en-US"/>
              </w:rPr>
              <w:t xml:space="preserve"> and trigger</w:t>
            </w:r>
            <w:r w:rsidRPr="005B0BAF">
              <w:rPr>
                <w:rFonts w:eastAsia="Calibri" w:cs="Times New Roman"/>
                <w:iCs/>
                <w:szCs w:val="22"/>
                <w:lang w:val="en-US" w:bidi="en-US"/>
              </w:rPr>
              <w:t xml:space="preserve">. </w:t>
            </w:r>
          </w:p>
          <w:p w14:paraId="41EE035A" w14:textId="77777777" w:rsidR="00921A3D" w:rsidRPr="008F032D" w:rsidDel="00744A1B" w:rsidRDefault="00DB2B0B" w:rsidP="00D675A0">
            <w:pPr>
              <w:spacing w:before="240" w:after="120" w:line="240" w:lineRule="auto"/>
              <w:jc w:val="center"/>
              <w:rPr>
                <w:iCs/>
                <w:sz w:val="28"/>
                <w:szCs w:val="28"/>
                <w:lang w:bidi="en-US"/>
              </w:rPr>
            </w:pPr>
            <m:oMath>
              <m:f>
                <m:fPr>
                  <m:ctrlPr>
                    <w:rPr>
                      <w:rFonts w:ascii="Cambria Math" w:hAnsi="Cambria Math" w:cs="Arial"/>
                      <w:i/>
                      <w:iCs/>
                      <w:sz w:val="28"/>
                      <w:szCs w:val="28"/>
                    </w:rPr>
                  </m:ctrlPr>
                </m:fPr>
                <m:num>
                  <m:r>
                    <w:rPr>
                      <w:rFonts w:ascii="Cambria Math" w:hAnsi="Cambria Math" w:cs="Arial"/>
                      <w:sz w:val="28"/>
                      <w:szCs w:val="28"/>
                    </w:rPr>
                    <m:t>Tier 1 Risk Based Capital</m:t>
                  </m:r>
                </m:num>
                <m:den>
                  <m:r>
                    <w:rPr>
                      <w:rFonts w:ascii="Cambria Math" w:hAnsi="Cambria Math" w:cs="Arial"/>
                      <w:sz w:val="28"/>
                      <w:szCs w:val="28"/>
                    </w:rPr>
                    <m:t>Adjusted Average Assets</m:t>
                  </m:r>
                </m:den>
              </m:f>
            </m:oMath>
            <w:r w:rsidR="00921A3D" w:rsidRPr="008F032D">
              <w:rPr>
                <w:iCs/>
                <w:sz w:val="28"/>
                <w:szCs w:val="28"/>
                <w:lang w:bidi="en-US"/>
              </w:rPr>
              <w:t xml:space="preserve"> </w:t>
            </w:r>
          </w:p>
        </w:tc>
      </w:tr>
      <w:tr w:rsidR="00921A3D" w:rsidRPr="00ED05B8" w14:paraId="3C42F76F" w14:textId="77777777" w:rsidTr="00D675A0">
        <w:trPr>
          <w:trHeight w:val="525"/>
        </w:trPr>
        <w:tc>
          <w:tcPr>
            <w:tcW w:w="1728" w:type="dxa"/>
            <w:shd w:val="clear" w:color="auto" w:fill="auto"/>
          </w:tcPr>
          <w:p w14:paraId="12AB33AE" w14:textId="77777777" w:rsidR="00921A3D" w:rsidRPr="00206D41" w:rsidRDefault="00921A3D" w:rsidP="00D675A0">
            <w:pPr>
              <w:rPr>
                <w:b/>
                <w:bCs/>
                <w:iCs/>
              </w:rPr>
            </w:pPr>
            <w:r w:rsidRPr="00206D41">
              <w:rPr>
                <w:b/>
                <w:bCs/>
                <w:iCs/>
              </w:rPr>
              <w:t>SOURCE OF INFORMATION</w:t>
            </w:r>
          </w:p>
        </w:tc>
        <w:tc>
          <w:tcPr>
            <w:tcW w:w="7470" w:type="dxa"/>
            <w:shd w:val="clear" w:color="auto" w:fill="auto"/>
          </w:tcPr>
          <w:p w14:paraId="4CEA648A" w14:textId="24A6DD43" w:rsidR="00921A3D" w:rsidRPr="00DF3739" w:rsidRDefault="00921A3D" w:rsidP="00D675A0">
            <w:pPr>
              <w:numPr>
                <w:ilvl w:val="0"/>
                <w:numId w:val="4"/>
              </w:numPr>
              <w:spacing w:after="0" w:line="240" w:lineRule="auto"/>
              <w:contextualSpacing/>
              <w:rPr>
                <w:rFonts w:asciiTheme="minorHAnsi" w:eastAsiaTheme="minorHAnsi" w:hAnsiTheme="minorHAnsi" w:cstheme="minorBidi"/>
                <w:bCs/>
                <w:iCs/>
                <w:szCs w:val="24"/>
              </w:rPr>
            </w:pPr>
            <w:r w:rsidRPr="00DF3739">
              <w:rPr>
                <w:rFonts w:asciiTheme="minorHAnsi" w:eastAsiaTheme="minorHAnsi" w:hAnsiTheme="minorHAnsi" w:cstheme="minorBidi"/>
                <w:bCs/>
                <w:iCs/>
                <w:szCs w:val="24"/>
              </w:rPr>
              <w:t xml:space="preserve">Capital Policy levels: Capital team for </w:t>
            </w:r>
            <w:r w:rsidR="005F1E23">
              <w:rPr>
                <w:rFonts w:asciiTheme="minorHAnsi" w:eastAsiaTheme="minorHAnsi" w:hAnsiTheme="minorHAnsi" w:cstheme="minorBidi"/>
                <w:bCs/>
                <w:iCs/>
                <w:szCs w:val="24"/>
              </w:rPr>
              <w:t>SHUSA</w:t>
            </w:r>
            <w:r w:rsidRPr="00DF3739">
              <w:rPr>
                <w:rFonts w:asciiTheme="minorHAnsi" w:eastAsiaTheme="minorHAnsi" w:hAnsiTheme="minorHAnsi" w:cstheme="minorBidi"/>
                <w:bCs/>
                <w:iCs/>
                <w:szCs w:val="24"/>
              </w:rPr>
              <w:t>, based on the capital policy in effect at the time of the RAS submission</w:t>
            </w:r>
          </w:p>
          <w:p w14:paraId="571FE32A" w14:textId="77777777" w:rsidR="00921A3D" w:rsidRDefault="00921A3D" w:rsidP="00D675A0">
            <w:pPr>
              <w:numPr>
                <w:ilvl w:val="0"/>
                <w:numId w:val="4"/>
              </w:numPr>
              <w:spacing w:after="0" w:line="240" w:lineRule="auto"/>
              <w:contextualSpacing/>
              <w:rPr>
                <w:rFonts w:asciiTheme="minorHAnsi" w:eastAsiaTheme="minorHAnsi" w:hAnsiTheme="minorHAnsi" w:cstheme="minorBidi"/>
                <w:bCs/>
                <w:iCs/>
                <w:szCs w:val="24"/>
              </w:rPr>
            </w:pPr>
            <w:r w:rsidRPr="00DF3739">
              <w:rPr>
                <w:rFonts w:asciiTheme="minorHAnsi" w:eastAsiaTheme="minorHAnsi" w:hAnsiTheme="minorHAnsi" w:cstheme="minorBidi"/>
                <w:bCs/>
                <w:iCs/>
                <w:szCs w:val="24"/>
              </w:rPr>
              <w:t xml:space="preserve">Annual CCAR: CCAR Team. </w:t>
            </w:r>
            <w:r>
              <w:rPr>
                <w:rFonts w:asciiTheme="minorHAnsi" w:eastAsiaTheme="minorHAnsi" w:hAnsiTheme="minorHAnsi" w:cstheme="minorBidi"/>
                <w:bCs/>
                <w:iCs/>
                <w:szCs w:val="24"/>
              </w:rPr>
              <w:t>Taken from the Y14A spreadsheet</w:t>
            </w:r>
          </w:p>
          <w:p w14:paraId="7D5AA4B6" w14:textId="77777777" w:rsidR="00921A3D" w:rsidRDefault="00921A3D" w:rsidP="00D675A0">
            <w:pPr>
              <w:numPr>
                <w:ilvl w:val="0"/>
                <w:numId w:val="4"/>
              </w:numPr>
              <w:spacing w:after="0" w:line="240" w:lineRule="auto"/>
              <w:contextualSpacing/>
              <w:rPr>
                <w:rFonts w:asciiTheme="minorHAnsi" w:eastAsiaTheme="minorHAnsi" w:hAnsiTheme="minorHAnsi" w:cstheme="minorBidi"/>
                <w:bCs/>
                <w:iCs/>
                <w:szCs w:val="24"/>
              </w:rPr>
            </w:pPr>
            <w:r>
              <w:rPr>
                <w:rFonts w:asciiTheme="minorHAnsi" w:eastAsiaTheme="minorHAnsi" w:hAnsiTheme="minorHAnsi" w:cstheme="minorBidi"/>
                <w:bCs/>
                <w:iCs/>
                <w:szCs w:val="24"/>
              </w:rPr>
              <w:t>Mid-cycle: CCAR Team. Taken from the Y14A spreadsheet</w:t>
            </w:r>
          </w:p>
          <w:p w14:paraId="196DCDE2" w14:textId="77777777" w:rsidR="00921A3D" w:rsidRDefault="00921A3D" w:rsidP="00D675A0">
            <w:pPr>
              <w:numPr>
                <w:ilvl w:val="0"/>
                <w:numId w:val="4"/>
              </w:numPr>
              <w:spacing w:after="0" w:line="240" w:lineRule="auto"/>
              <w:contextualSpacing/>
              <w:rPr>
                <w:rFonts w:asciiTheme="minorHAnsi" w:eastAsiaTheme="minorHAnsi" w:hAnsiTheme="minorHAnsi" w:cstheme="minorBidi"/>
                <w:bCs/>
                <w:iCs/>
                <w:szCs w:val="24"/>
              </w:rPr>
            </w:pPr>
            <w:r>
              <w:rPr>
                <w:rFonts w:asciiTheme="minorHAnsi" w:eastAsiaTheme="minorHAnsi" w:hAnsiTheme="minorHAnsi" w:cstheme="minorBidi"/>
                <w:bCs/>
                <w:iCs/>
                <w:szCs w:val="24"/>
              </w:rPr>
              <w:t xml:space="preserve">Strategic Plan: Strategic and Capital planning team </w:t>
            </w:r>
          </w:p>
          <w:p w14:paraId="24802302" w14:textId="77777777" w:rsidR="00921A3D" w:rsidRDefault="00921A3D" w:rsidP="00D675A0">
            <w:pPr>
              <w:pStyle w:val="ListParagraph"/>
              <w:numPr>
                <w:ilvl w:val="0"/>
                <w:numId w:val="4"/>
              </w:numPr>
              <w:spacing w:after="0" w:line="240" w:lineRule="auto"/>
              <w:rPr>
                <w:bCs/>
                <w:iCs/>
              </w:rPr>
            </w:pPr>
            <w:r w:rsidRPr="00FD587F">
              <w:rPr>
                <w:bCs/>
                <w:iCs/>
              </w:rPr>
              <w:t>The monthly values for SHUSA Capital metrics are generated by Regulatory Capital and are made available through their SharePoint site each month</w:t>
            </w:r>
          </w:p>
          <w:p w14:paraId="62CBB747" w14:textId="77777777" w:rsidR="00921A3D" w:rsidRPr="00FD587F" w:rsidRDefault="00921A3D" w:rsidP="00D675A0">
            <w:pPr>
              <w:pStyle w:val="ListParagraph"/>
              <w:spacing w:after="0" w:line="240" w:lineRule="auto"/>
              <w:ind w:left="360"/>
              <w:rPr>
                <w:bCs/>
                <w:iCs/>
              </w:rPr>
            </w:pPr>
          </w:p>
        </w:tc>
      </w:tr>
    </w:tbl>
    <w:p w14:paraId="604D120A" w14:textId="77777777" w:rsidR="00921A3D" w:rsidRDefault="00921A3D" w:rsidP="00FC6780">
      <w:pPr>
        <w:pStyle w:val="ListParagraph"/>
        <w:ind w:left="680"/>
        <w:rPr>
          <w:rFonts w:ascii="Calibri" w:eastAsia="Calibri" w:hAnsi="Calibri" w:cs="Times New Roman"/>
          <w:b/>
          <w:bCs/>
          <w:color w:val="000000" w:themeColor="text1"/>
          <w:sz w:val="24"/>
          <w:lang w:val="en-US" w:bidi="en-US"/>
        </w:rPr>
      </w:pPr>
    </w:p>
    <w:p w14:paraId="3B02D429" w14:textId="77777777" w:rsidR="00F67296" w:rsidRPr="005A588A" w:rsidRDefault="00F67296" w:rsidP="005A588A">
      <w:pPr>
        <w:pStyle w:val="ListParagraph"/>
        <w:numPr>
          <w:ilvl w:val="1"/>
          <w:numId w:val="1"/>
        </w:numPr>
        <w:rPr>
          <w:rFonts w:ascii="Calibri" w:eastAsia="Calibri" w:hAnsi="Calibri" w:cs="Times New Roman"/>
          <w:b/>
          <w:bCs/>
          <w:color w:val="000000" w:themeColor="text1"/>
          <w:sz w:val="24"/>
          <w:lang w:val="en-US" w:bidi="en-US"/>
        </w:rPr>
      </w:pPr>
      <w:r w:rsidRPr="00F67296">
        <w:rPr>
          <w:rFonts w:ascii="Calibri" w:eastAsia="Calibri" w:hAnsi="Calibri" w:cs="Times New Roman"/>
          <w:b/>
          <w:bCs/>
          <w:color w:val="000000" w:themeColor="text1"/>
          <w:sz w:val="24"/>
          <w:lang w:val="en-US" w:bidi="en-US"/>
        </w:rPr>
        <w:t>Tier 1 Risk-based Capital (T1RBC) Ratio</w:t>
      </w:r>
      <w:r w:rsidR="00EB0A0D">
        <w:rPr>
          <w:rFonts w:ascii="Calibri" w:eastAsia="Calibri" w:hAnsi="Calibri" w:cs="Times New Roman"/>
          <w:b/>
          <w:bCs/>
          <w:color w:val="000000" w:themeColor="text1"/>
          <w:sz w:val="24"/>
          <w:lang w:val="en-US" w:bidi="en-US"/>
        </w:rPr>
        <w:t xml:space="preserve"> </w:t>
      </w:r>
      <w:r w:rsidRPr="00F67296">
        <w:rPr>
          <w:rFonts w:ascii="Calibri" w:eastAsia="Calibri" w:hAnsi="Calibri" w:cs="Times New Roman"/>
          <w:b/>
          <w:bCs/>
          <w:color w:val="000000" w:themeColor="text1"/>
          <w:sz w:val="24"/>
          <w:lang w:val="en-US" w:bidi="en-US"/>
        </w:rPr>
        <w:t xml:space="preserve">(baseline and stress) </w:t>
      </w:r>
    </w:p>
    <w:tbl>
      <w:tblPr>
        <w:tblpPr w:leftFromText="180" w:rightFromText="180" w:vertAnchor="text" w:tblpX="168" w:tblpY="1"/>
        <w:tblOverlap w:val="never"/>
        <w:tblW w:w="9198"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000" w:firstRow="0" w:lastRow="0" w:firstColumn="0" w:lastColumn="0" w:noHBand="0" w:noVBand="0"/>
      </w:tblPr>
      <w:tblGrid>
        <w:gridCol w:w="1728"/>
        <w:gridCol w:w="7470"/>
      </w:tblGrid>
      <w:tr w:rsidR="00ED05B8" w:rsidRPr="00206D41" w14:paraId="15DD54B4" w14:textId="77777777" w:rsidTr="00FD587F">
        <w:trPr>
          <w:trHeight w:val="390"/>
        </w:trPr>
        <w:tc>
          <w:tcPr>
            <w:tcW w:w="1728" w:type="dxa"/>
            <w:shd w:val="clear" w:color="auto" w:fill="auto"/>
          </w:tcPr>
          <w:p w14:paraId="76920F05" w14:textId="77777777" w:rsidR="00ED05B8" w:rsidRPr="00206D41" w:rsidRDefault="00ED05B8" w:rsidP="00ED05B8">
            <w:pPr>
              <w:rPr>
                <w:b/>
                <w:bCs/>
                <w:iCs/>
              </w:rPr>
            </w:pPr>
            <w:r>
              <w:rPr>
                <w:b/>
                <w:bCs/>
                <w:iCs/>
              </w:rPr>
              <w:t>DEFINITION</w:t>
            </w:r>
          </w:p>
        </w:tc>
        <w:tc>
          <w:tcPr>
            <w:tcW w:w="7470" w:type="dxa"/>
            <w:shd w:val="clear" w:color="auto" w:fill="auto"/>
          </w:tcPr>
          <w:p w14:paraId="5C5722C2" w14:textId="77777777" w:rsidR="00ED05B8" w:rsidRPr="00206D41" w:rsidRDefault="00ED05B8" w:rsidP="00AE6EDD">
            <w:pPr>
              <w:spacing w:after="0" w:line="240" w:lineRule="auto"/>
              <w:rPr>
                <w:b/>
                <w:color w:val="000000" w:themeColor="text1"/>
              </w:rPr>
            </w:pPr>
            <w:r>
              <w:rPr>
                <w:rFonts w:asciiTheme="minorHAnsi" w:eastAsiaTheme="minorHAnsi" w:hAnsiTheme="minorHAnsi" w:cstheme="minorBidi"/>
                <w:iCs/>
              </w:rPr>
              <w:t xml:space="preserve">The minimum ratio of </w:t>
            </w:r>
            <w:r w:rsidR="00AE6EDD">
              <w:rPr>
                <w:rFonts w:asciiTheme="minorHAnsi" w:eastAsiaTheme="minorHAnsi" w:hAnsiTheme="minorHAnsi" w:cstheme="minorBidi"/>
                <w:iCs/>
              </w:rPr>
              <w:t xml:space="preserve"> T1RBC</w:t>
            </w:r>
            <w:r>
              <w:rPr>
                <w:rFonts w:asciiTheme="minorHAnsi" w:eastAsiaTheme="minorHAnsi" w:hAnsiTheme="minorHAnsi" w:cstheme="minorBidi"/>
                <w:iCs/>
              </w:rPr>
              <w:t xml:space="preserve"> </w:t>
            </w:r>
            <w:r w:rsidR="00F95F1B">
              <w:rPr>
                <w:bCs/>
                <w:iCs/>
              </w:rPr>
              <w:t>to Total Risk-Weighted Asset</w:t>
            </w:r>
            <w:r w:rsidR="00F95F1B" w:rsidRPr="00206D41">
              <w:rPr>
                <w:bCs/>
                <w:iCs/>
              </w:rPr>
              <w:t>s</w:t>
            </w:r>
            <w:r w:rsidR="00F95F1B">
              <w:rPr>
                <w:bCs/>
                <w:iCs/>
              </w:rPr>
              <w:t xml:space="preserve"> (RWAs)</w:t>
            </w:r>
            <w:r w:rsidR="00F95F1B" w:rsidRPr="00206D41">
              <w:rPr>
                <w:bCs/>
                <w:iCs/>
              </w:rPr>
              <w:t xml:space="preserve"> under </w:t>
            </w:r>
            <w:r w:rsidR="00F95F1B" w:rsidRPr="00216A36">
              <w:rPr>
                <w:bCs/>
                <w:iCs/>
              </w:rPr>
              <w:t>Base</w:t>
            </w:r>
            <w:r w:rsidR="00F95F1B">
              <w:rPr>
                <w:bCs/>
                <w:iCs/>
              </w:rPr>
              <w:t>line</w:t>
            </w:r>
            <w:r w:rsidR="00F95F1B" w:rsidRPr="00216A36">
              <w:rPr>
                <w:bCs/>
                <w:iCs/>
              </w:rPr>
              <w:t xml:space="preserve"> and Stressed </w:t>
            </w:r>
            <w:r w:rsidR="00F95F1B" w:rsidRPr="00206D41">
              <w:rPr>
                <w:bCs/>
                <w:iCs/>
              </w:rPr>
              <w:t>conditions</w:t>
            </w:r>
          </w:p>
        </w:tc>
      </w:tr>
      <w:tr w:rsidR="00ED05B8" w:rsidRPr="00206D41" w14:paraId="5C6E0A1D" w14:textId="77777777" w:rsidTr="00FD587F">
        <w:trPr>
          <w:trHeight w:val="462"/>
        </w:trPr>
        <w:tc>
          <w:tcPr>
            <w:tcW w:w="1728" w:type="dxa"/>
            <w:shd w:val="clear" w:color="auto" w:fill="auto"/>
          </w:tcPr>
          <w:p w14:paraId="67074A44" w14:textId="77777777" w:rsidR="00ED05B8" w:rsidRPr="00206D41" w:rsidRDefault="00ED05B8" w:rsidP="00ED05B8">
            <w:pPr>
              <w:rPr>
                <w:b/>
                <w:bCs/>
                <w:iCs/>
              </w:rPr>
            </w:pPr>
            <w:r>
              <w:rPr>
                <w:b/>
                <w:bCs/>
                <w:iCs/>
              </w:rPr>
              <w:t>RISK TYPE</w:t>
            </w:r>
          </w:p>
        </w:tc>
        <w:tc>
          <w:tcPr>
            <w:tcW w:w="7470" w:type="dxa"/>
            <w:shd w:val="clear" w:color="auto" w:fill="auto"/>
          </w:tcPr>
          <w:p w14:paraId="1DB8FA7B" w14:textId="77777777" w:rsidR="00ED05B8" w:rsidRPr="00206D41" w:rsidRDefault="00885B82" w:rsidP="00ED05B8">
            <w:pPr>
              <w:spacing w:after="0" w:line="240" w:lineRule="auto"/>
              <w:rPr>
                <w:bCs/>
                <w:iCs/>
              </w:rPr>
            </w:pPr>
            <w:r>
              <w:rPr>
                <w:bCs/>
                <w:iCs/>
              </w:rPr>
              <w:t>Capital Adequacy Risk</w:t>
            </w:r>
          </w:p>
        </w:tc>
      </w:tr>
      <w:tr w:rsidR="006856C5" w:rsidRPr="00206D41" w14:paraId="5B0BA249" w14:textId="77777777" w:rsidTr="00FD587F">
        <w:trPr>
          <w:trHeight w:val="462"/>
        </w:trPr>
        <w:tc>
          <w:tcPr>
            <w:tcW w:w="1728" w:type="dxa"/>
            <w:shd w:val="clear" w:color="auto" w:fill="auto"/>
          </w:tcPr>
          <w:p w14:paraId="0486D4AE" w14:textId="77777777" w:rsidR="006856C5" w:rsidRDefault="006856C5" w:rsidP="00ED05B8">
            <w:pPr>
              <w:rPr>
                <w:b/>
                <w:bCs/>
                <w:iCs/>
              </w:rPr>
            </w:pPr>
            <w:r>
              <w:rPr>
                <w:b/>
                <w:bCs/>
                <w:iCs/>
              </w:rPr>
              <w:t>RATIONALE</w:t>
            </w:r>
          </w:p>
        </w:tc>
        <w:tc>
          <w:tcPr>
            <w:tcW w:w="7470" w:type="dxa"/>
            <w:shd w:val="clear" w:color="auto" w:fill="auto"/>
          </w:tcPr>
          <w:p w14:paraId="4399B808" w14:textId="77777777" w:rsidR="007636BC" w:rsidRDefault="007636BC" w:rsidP="007636BC">
            <w:pPr>
              <w:spacing w:after="0" w:line="240" w:lineRule="auto"/>
              <w:rPr>
                <w:rFonts w:asciiTheme="minorHAnsi" w:hAnsiTheme="minorHAnsi"/>
                <w:bCs/>
                <w:iCs/>
              </w:rPr>
            </w:pPr>
            <w:r>
              <w:rPr>
                <w:rFonts w:asciiTheme="minorHAnsi" w:hAnsiTheme="minorHAnsi"/>
                <w:bCs/>
                <w:iCs/>
              </w:rPr>
              <w:t>If ratios fall below PCA adequately capitalized levels, probability is high that SHUSA would not be able to act as a financial intermediary.</w:t>
            </w:r>
          </w:p>
          <w:p w14:paraId="7B35D3CF" w14:textId="77777777" w:rsidR="006856C5" w:rsidRDefault="007636BC" w:rsidP="007636BC">
            <w:pPr>
              <w:spacing w:after="0" w:line="240" w:lineRule="auto"/>
              <w:rPr>
                <w:bCs/>
                <w:iCs/>
              </w:rPr>
            </w:pPr>
            <w:r>
              <w:rPr>
                <w:rFonts w:asciiTheme="minorHAnsi" w:hAnsiTheme="minorHAnsi"/>
                <w:bCs/>
                <w:iCs/>
              </w:rPr>
              <w:t>I</w:t>
            </w:r>
            <w:r w:rsidRPr="000F7334">
              <w:rPr>
                <w:rFonts w:asciiTheme="minorHAnsi" w:hAnsiTheme="minorHAnsi"/>
                <w:bCs/>
                <w:iCs/>
              </w:rPr>
              <w:t>mportant to external stakeholders when making decisions regarding SHUSA in either normal or stressful economic environments</w:t>
            </w:r>
            <w:r>
              <w:rPr>
                <w:rFonts w:asciiTheme="minorHAnsi" w:hAnsiTheme="minorHAnsi"/>
                <w:bCs/>
                <w:iCs/>
              </w:rPr>
              <w:t>.</w:t>
            </w:r>
          </w:p>
        </w:tc>
      </w:tr>
      <w:tr w:rsidR="00304EC5" w:rsidRPr="00206D41" w14:paraId="6BBEC63C" w14:textId="77777777" w:rsidTr="006B6E1C">
        <w:trPr>
          <w:trHeight w:val="270"/>
        </w:trPr>
        <w:tc>
          <w:tcPr>
            <w:tcW w:w="1728" w:type="dxa"/>
            <w:shd w:val="clear" w:color="auto" w:fill="auto"/>
          </w:tcPr>
          <w:p w14:paraId="685DAE8C" w14:textId="77777777" w:rsidR="00304EC5" w:rsidRPr="00206D41" w:rsidRDefault="00304EC5" w:rsidP="007E122B">
            <w:pPr>
              <w:rPr>
                <w:b/>
                <w:bCs/>
                <w:iCs/>
              </w:rPr>
            </w:pPr>
            <w:r>
              <w:rPr>
                <w:b/>
                <w:bCs/>
                <w:iCs/>
              </w:rPr>
              <w:t>ENTITY</w:t>
            </w:r>
          </w:p>
        </w:tc>
        <w:tc>
          <w:tcPr>
            <w:tcW w:w="7470" w:type="dxa"/>
            <w:shd w:val="clear" w:color="auto" w:fill="auto"/>
          </w:tcPr>
          <w:p w14:paraId="6CFE1D81" w14:textId="77777777" w:rsidR="00304EC5" w:rsidRPr="00A45BA6" w:rsidRDefault="00304EC5" w:rsidP="007E122B">
            <w:pPr>
              <w:spacing w:after="0" w:line="240" w:lineRule="auto"/>
              <w:rPr>
                <w:b/>
                <w:bCs/>
                <w:iCs/>
              </w:rPr>
            </w:pPr>
            <w:r w:rsidRPr="00A45BA6">
              <w:rPr>
                <w:b/>
                <w:bCs/>
                <w:iCs/>
              </w:rPr>
              <w:t>SHUSA</w:t>
            </w:r>
            <w:r w:rsidRPr="00A45BA6">
              <w:rPr>
                <w:b/>
                <w:bCs/>
                <w:iCs/>
              </w:rPr>
              <w:tab/>
            </w:r>
          </w:p>
        </w:tc>
      </w:tr>
      <w:tr w:rsidR="00304EC5" w:rsidRPr="00206D41" w14:paraId="1BF9F137" w14:textId="77777777" w:rsidTr="006B6E1C">
        <w:trPr>
          <w:trHeight w:val="270"/>
        </w:trPr>
        <w:tc>
          <w:tcPr>
            <w:tcW w:w="1728" w:type="dxa"/>
            <w:shd w:val="clear" w:color="auto" w:fill="auto"/>
          </w:tcPr>
          <w:p w14:paraId="7AE7A454" w14:textId="726F0991" w:rsidR="00304EC5" w:rsidRPr="00206D41" w:rsidRDefault="00511F11" w:rsidP="008579A2">
            <w:pPr>
              <w:rPr>
                <w:b/>
                <w:bCs/>
                <w:iCs/>
              </w:rPr>
            </w:pPr>
            <w:r>
              <w:rPr>
                <w:rFonts w:asciiTheme="minorHAnsi" w:hAnsiTheme="minorHAnsi"/>
                <w:b/>
                <w:bCs/>
                <w:iCs/>
              </w:rPr>
              <w:t>METRIC PROVIDER</w:t>
            </w:r>
          </w:p>
        </w:tc>
        <w:tc>
          <w:tcPr>
            <w:tcW w:w="7470" w:type="dxa"/>
            <w:shd w:val="clear" w:color="auto" w:fill="auto"/>
          </w:tcPr>
          <w:p w14:paraId="23981212" w14:textId="1BBA7DDB" w:rsidR="00304EC5" w:rsidRPr="00090F9A" w:rsidRDefault="00090F9A" w:rsidP="008579A2">
            <w:pPr>
              <w:spacing w:after="0" w:line="240" w:lineRule="auto"/>
              <w:rPr>
                <w:b/>
                <w:bCs/>
                <w:iCs/>
              </w:rPr>
            </w:pPr>
            <w:r w:rsidRPr="00090F9A">
              <w:rPr>
                <w:b/>
                <w:bCs/>
                <w:iCs/>
              </w:rPr>
              <w:t>SHUSA Director of Capital Policy</w:t>
            </w:r>
          </w:p>
        </w:tc>
      </w:tr>
      <w:tr w:rsidR="008579A2" w:rsidRPr="00206D41" w14:paraId="5BF35393" w14:textId="77777777" w:rsidTr="00FD587F">
        <w:trPr>
          <w:trHeight w:val="510"/>
        </w:trPr>
        <w:tc>
          <w:tcPr>
            <w:tcW w:w="1728" w:type="dxa"/>
            <w:shd w:val="clear" w:color="auto" w:fill="auto"/>
          </w:tcPr>
          <w:p w14:paraId="538053DE" w14:textId="77777777" w:rsidR="008579A2" w:rsidRPr="00206D41" w:rsidRDefault="008579A2" w:rsidP="00FC6780">
            <w:pPr>
              <w:rPr>
                <w:b/>
                <w:bCs/>
                <w:iCs/>
              </w:rPr>
            </w:pPr>
            <w:r w:rsidRPr="005B0BAF">
              <w:rPr>
                <w:rFonts w:asciiTheme="minorHAnsi" w:hAnsiTheme="minorHAnsi"/>
                <w:b/>
                <w:bCs/>
                <w:iCs/>
              </w:rPr>
              <w:t>TRIGGER AND LIMIT SETTING</w:t>
            </w:r>
          </w:p>
        </w:tc>
        <w:tc>
          <w:tcPr>
            <w:tcW w:w="7470" w:type="dxa"/>
            <w:shd w:val="clear" w:color="auto" w:fill="auto"/>
          </w:tcPr>
          <w:p w14:paraId="7D1E4735" w14:textId="36957D62" w:rsidR="008579A2" w:rsidRPr="00EB0A0D" w:rsidRDefault="008579A2" w:rsidP="008579A2">
            <w:pPr>
              <w:spacing w:after="0" w:line="240" w:lineRule="auto"/>
              <w:rPr>
                <w:iCs/>
                <w:lang w:bidi="en-US"/>
              </w:rPr>
            </w:pPr>
            <w:r w:rsidRPr="00EB0A0D">
              <w:rPr>
                <w:iCs/>
                <w:lang w:bidi="en-US"/>
              </w:rPr>
              <w:t xml:space="preserve">The Amber trigger and Red limit for T1RBC are set annually based on </w:t>
            </w:r>
            <w:r w:rsidR="00921A3D">
              <w:rPr>
                <w:iCs/>
                <w:lang w:bidi="en-US"/>
              </w:rPr>
              <w:t>SHUSA’s</w:t>
            </w:r>
            <w:r w:rsidRPr="00EB0A0D">
              <w:rPr>
                <w:iCs/>
                <w:lang w:bidi="en-US"/>
              </w:rPr>
              <w:t xml:space="preserve"> approved T1RBC Capital Policy ratios at time of RAS setting:</w:t>
            </w:r>
          </w:p>
          <w:p w14:paraId="0D9EBB1C" w14:textId="77777777" w:rsidR="008579A2" w:rsidRPr="00F34844" w:rsidRDefault="008579A2" w:rsidP="008579A2">
            <w:pPr>
              <w:pStyle w:val="ListParagraph"/>
              <w:numPr>
                <w:ilvl w:val="0"/>
                <w:numId w:val="4"/>
              </w:numPr>
              <w:spacing w:after="0" w:line="240" w:lineRule="auto"/>
              <w:rPr>
                <w:rFonts w:eastAsia="Calibri" w:cs="Times New Roman"/>
                <w:iCs/>
                <w:szCs w:val="22"/>
                <w:lang w:val="en-US" w:bidi="en-US"/>
              </w:rPr>
            </w:pPr>
            <w:r w:rsidRPr="00F34844">
              <w:rPr>
                <w:rFonts w:eastAsia="Calibri" w:cs="Times New Roman"/>
                <w:iCs/>
                <w:szCs w:val="22"/>
                <w:lang w:val="en-US" w:bidi="en-US"/>
              </w:rPr>
              <w:t>BHC Baseline scenario:</w:t>
            </w:r>
            <w:r>
              <w:rPr>
                <w:rFonts w:eastAsia="Calibri" w:cs="Times New Roman"/>
                <w:iCs/>
                <w:szCs w:val="22"/>
                <w:lang w:val="en-US" w:bidi="en-US"/>
              </w:rPr>
              <w:t xml:space="preserve"> Trigger is ratio for </w:t>
            </w:r>
            <w:r w:rsidRPr="00F34844">
              <w:rPr>
                <w:rFonts w:eastAsia="Calibri" w:cs="Times New Roman"/>
                <w:iCs/>
                <w:szCs w:val="22"/>
                <w:lang w:val="en-US" w:bidi="en-US"/>
              </w:rPr>
              <w:t xml:space="preserve">“use for capital expectations”; </w:t>
            </w:r>
            <w:r>
              <w:rPr>
                <w:rFonts w:eastAsia="Calibri" w:cs="Times New Roman"/>
                <w:iCs/>
                <w:szCs w:val="22"/>
                <w:lang w:val="en-US" w:bidi="en-US"/>
              </w:rPr>
              <w:t>L</w:t>
            </w:r>
            <w:r w:rsidRPr="00F34844">
              <w:rPr>
                <w:rFonts w:eastAsia="Calibri" w:cs="Times New Roman"/>
                <w:iCs/>
                <w:szCs w:val="22"/>
                <w:lang w:val="en-US" w:bidi="en-US"/>
              </w:rPr>
              <w:t>imit</w:t>
            </w:r>
            <w:r>
              <w:rPr>
                <w:rFonts w:eastAsia="Calibri" w:cs="Times New Roman"/>
                <w:iCs/>
                <w:szCs w:val="22"/>
                <w:lang w:val="en-US" w:bidi="en-US"/>
              </w:rPr>
              <w:t xml:space="preserve"> is</w:t>
            </w:r>
            <w:r w:rsidRPr="00F34844">
              <w:rPr>
                <w:rFonts w:eastAsia="Calibri" w:cs="Times New Roman"/>
                <w:iCs/>
                <w:szCs w:val="22"/>
                <w:lang w:val="en-US" w:bidi="en-US"/>
              </w:rPr>
              <w:t xml:space="preserve"> </w:t>
            </w:r>
            <w:r>
              <w:rPr>
                <w:rFonts w:eastAsia="Calibri" w:cs="Times New Roman"/>
                <w:iCs/>
                <w:szCs w:val="22"/>
                <w:lang w:val="en-US" w:bidi="en-US"/>
              </w:rPr>
              <w:t>“</w:t>
            </w:r>
            <w:r w:rsidRPr="00F34844">
              <w:rPr>
                <w:rFonts w:eastAsia="Calibri" w:cs="Times New Roman"/>
                <w:iCs/>
                <w:szCs w:val="22"/>
                <w:lang w:val="en-US" w:bidi="en-US"/>
              </w:rPr>
              <w:t>internal business-as-usual minimum</w:t>
            </w:r>
            <w:r>
              <w:rPr>
                <w:rFonts w:eastAsia="Calibri" w:cs="Times New Roman"/>
                <w:iCs/>
                <w:szCs w:val="22"/>
                <w:lang w:val="en-US" w:bidi="en-US"/>
              </w:rPr>
              <w:t>”</w:t>
            </w:r>
            <w:r w:rsidRPr="00F34844">
              <w:rPr>
                <w:rFonts w:eastAsia="Calibri" w:cs="Times New Roman"/>
                <w:iCs/>
                <w:szCs w:val="22"/>
                <w:lang w:val="en-US" w:bidi="en-US"/>
              </w:rPr>
              <w:t>.</w:t>
            </w:r>
          </w:p>
          <w:p w14:paraId="1D7CE895" w14:textId="77777777" w:rsidR="008579A2" w:rsidRPr="00EB0A0D" w:rsidRDefault="003360CE" w:rsidP="008579A2">
            <w:pPr>
              <w:pStyle w:val="ListParagraph"/>
              <w:numPr>
                <w:ilvl w:val="0"/>
                <w:numId w:val="4"/>
              </w:numPr>
              <w:spacing w:after="0" w:line="240" w:lineRule="auto"/>
              <w:rPr>
                <w:rFonts w:eastAsia="Calibri" w:cs="Times New Roman"/>
                <w:iCs/>
                <w:szCs w:val="22"/>
                <w:lang w:val="en-US" w:bidi="en-US"/>
              </w:rPr>
            </w:pPr>
            <w:r w:rsidRPr="00CB427F">
              <w:rPr>
                <w:rFonts w:eastAsia="Calibri" w:cs="Times New Roman"/>
                <w:iCs/>
                <w:szCs w:val="22"/>
                <w:lang w:val="en-US" w:bidi="en-US"/>
              </w:rPr>
              <w:t>BHC Stress scenario: Trigger is ratio “internal post-stress minimum level”</w:t>
            </w:r>
            <w:r>
              <w:rPr>
                <w:rFonts w:eastAsia="Calibri" w:cs="Times New Roman"/>
                <w:iCs/>
                <w:szCs w:val="22"/>
                <w:lang w:val="en-US" w:bidi="en-US"/>
              </w:rPr>
              <w:t xml:space="preserve"> plus a management adjustment</w:t>
            </w:r>
            <w:r w:rsidRPr="00CB427F">
              <w:rPr>
                <w:rFonts w:eastAsia="Calibri" w:cs="Times New Roman"/>
                <w:iCs/>
                <w:szCs w:val="22"/>
                <w:lang w:val="en-US" w:bidi="en-US"/>
              </w:rPr>
              <w:t>;</w:t>
            </w:r>
            <w:r>
              <w:rPr>
                <w:rFonts w:eastAsia="Calibri" w:cs="Times New Roman"/>
                <w:iCs/>
                <w:szCs w:val="22"/>
                <w:lang w:val="en-US" w:bidi="en-US"/>
              </w:rPr>
              <w:t xml:space="preserve"> </w:t>
            </w:r>
            <w:r w:rsidRPr="00CB427F">
              <w:rPr>
                <w:rFonts w:eastAsia="Calibri" w:cs="Times New Roman"/>
                <w:iCs/>
                <w:szCs w:val="22"/>
                <w:lang w:val="en-US" w:bidi="en-US"/>
              </w:rPr>
              <w:t>Limit is “</w:t>
            </w:r>
            <w:r>
              <w:rPr>
                <w:rFonts w:eastAsia="Calibri" w:cs="Times New Roman"/>
                <w:iCs/>
                <w:szCs w:val="22"/>
                <w:lang w:val="en-US" w:bidi="en-US"/>
              </w:rPr>
              <w:t>internal post-stress minimum level”.</w:t>
            </w:r>
          </w:p>
        </w:tc>
      </w:tr>
      <w:tr w:rsidR="008579A2" w:rsidRPr="00206D41" w14:paraId="0A593031" w14:textId="77777777" w:rsidTr="00FD587F">
        <w:trPr>
          <w:trHeight w:val="525"/>
        </w:trPr>
        <w:tc>
          <w:tcPr>
            <w:tcW w:w="1728" w:type="dxa"/>
            <w:shd w:val="clear" w:color="auto" w:fill="auto"/>
          </w:tcPr>
          <w:p w14:paraId="20DA1821" w14:textId="77777777" w:rsidR="008579A2" w:rsidRPr="005B0BAF" w:rsidRDefault="008579A2" w:rsidP="00FC6780">
            <w:pPr>
              <w:rPr>
                <w:rFonts w:asciiTheme="minorHAnsi" w:hAnsiTheme="minorHAnsi"/>
                <w:b/>
                <w:bCs/>
                <w:iCs/>
              </w:rPr>
            </w:pPr>
            <w:r w:rsidRPr="005B0BAF">
              <w:rPr>
                <w:rFonts w:asciiTheme="minorHAnsi" w:hAnsiTheme="minorHAnsi"/>
                <w:b/>
                <w:bCs/>
                <w:iCs/>
              </w:rPr>
              <w:t>TESTING FREQUENCY</w:t>
            </w:r>
          </w:p>
        </w:tc>
        <w:tc>
          <w:tcPr>
            <w:tcW w:w="7470" w:type="dxa"/>
            <w:shd w:val="clear" w:color="auto" w:fill="auto"/>
          </w:tcPr>
          <w:p w14:paraId="69DC68C7" w14:textId="77777777" w:rsidR="008579A2" w:rsidRDefault="008579A2" w:rsidP="008579A2">
            <w:pPr>
              <w:pStyle w:val="ListParagraph"/>
              <w:numPr>
                <w:ilvl w:val="0"/>
                <w:numId w:val="4"/>
              </w:numPr>
              <w:spacing w:before="120" w:after="120" w:line="240" w:lineRule="auto"/>
              <w:rPr>
                <w:rFonts w:eastAsia="Calibri" w:cs="Times New Roman"/>
                <w:iCs/>
                <w:szCs w:val="22"/>
                <w:lang w:val="en-US" w:bidi="en-US"/>
              </w:rPr>
            </w:pPr>
            <w:r w:rsidRPr="005B0BAF">
              <w:rPr>
                <w:rFonts w:eastAsia="Calibri" w:cs="Times New Roman"/>
                <w:iCs/>
                <w:szCs w:val="22"/>
                <w:lang w:val="en-US" w:bidi="en-US"/>
              </w:rPr>
              <w:t xml:space="preserve">Annually/CCAR output: The lowest value of the 9 quarters covered by the CCAR exercise </w:t>
            </w:r>
            <w:r>
              <w:rPr>
                <w:rFonts w:eastAsia="Calibri" w:cs="Times New Roman"/>
                <w:iCs/>
                <w:szCs w:val="22"/>
                <w:lang w:val="en-US" w:bidi="en-US"/>
              </w:rPr>
              <w:t>is</w:t>
            </w:r>
            <w:r w:rsidRPr="005B0BAF">
              <w:rPr>
                <w:rFonts w:eastAsia="Calibri" w:cs="Times New Roman"/>
                <w:iCs/>
                <w:szCs w:val="22"/>
                <w:lang w:val="en-US" w:bidi="en-US"/>
              </w:rPr>
              <w:t xml:space="preserve"> compared to the trigger</w:t>
            </w:r>
            <w:r>
              <w:rPr>
                <w:rFonts w:eastAsia="Calibri" w:cs="Times New Roman"/>
                <w:iCs/>
                <w:szCs w:val="22"/>
                <w:lang w:val="en-US" w:bidi="en-US"/>
              </w:rPr>
              <w:t xml:space="preserve"> and limit derived from the application of the Capital Policy (see above)</w:t>
            </w:r>
            <w:r w:rsidRPr="005B0BAF">
              <w:rPr>
                <w:rFonts w:eastAsia="Calibri" w:cs="Times New Roman"/>
                <w:iCs/>
                <w:szCs w:val="22"/>
                <w:lang w:val="en-US" w:bidi="en-US"/>
              </w:rPr>
              <w:t xml:space="preserve">. The RAS will be presented for annual review with the CCAR outputs compared to the </w:t>
            </w:r>
            <w:r>
              <w:rPr>
                <w:rFonts w:eastAsia="Calibri" w:cs="Times New Roman"/>
                <w:iCs/>
                <w:szCs w:val="22"/>
                <w:lang w:val="en-US" w:bidi="en-US"/>
              </w:rPr>
              <w:t xml:space="preserve">proposed </w:t>
            </w:r>
            <w:r w:rsidRPr="005B0BAF">
              <w:rPr>
                <w:rFonts w:eastAsia="Calibri" w:cs="Times New Roman"/>
                <w:iCs/>
                <w:szCs w:val="22"/>
                <w:lang w:val="en-US" w:bidi="en-US"/>
              </w:rPr>
              <w:t>trigger and limit.</w:t>
            </w:r>
          </w:p>
          <w:p w14:paraId="47AC7C60" w14:textId="77777777" w:rsidR="008579A2" w:rsidRDefault="008579A2" w:rsidP="008579A2">
            <w:pPr>
              <w:pStyle w:val="ListParagraph"/>
              <w:numPr>
                <w:ilvl w:val="0"/>
                <w:numId w:val="4"/>
              </w:numPr>
              <w:spacing w:before="120" w:after="120" w:line="240" w:lineRule="auto"/>
              <w:rPr>
                <w:rFonts w:eastAsia="Calibri" w:cs="Times New Roman"/>
                <w:iCs/>
                <w:szCs w:val="22"/>
                <w:lang w:val="en-US" w:bidi="en-US"/>
              </w:rPr>
            </w:pPr>
            <w:r>
              <w:rPr>
                <w:rFonts w:eastAsia="Calibri" w:cs="Times New Roman"/>
                <w:iCs/>
                <w:szCs w:val="22"/>
                <w:lang w:val="en-US" w:bidi="en-US"/>
              </w:rPr>
              <w:t>Mid-cycle: The lowest value of the 9 quarters covered  by the Mid-cycle exercise is compared to the trigger and limit derived from the application of the Capital Policy</w:t>
            </w:r>
          </w:p>
          <w:p w14:paraId="3F2C3FCC" w14:textId="77777777" w:rsidR="008579A2" w:rsidRPr="005B0BAF" w:rsidRDefault="008579A2" w:rsidP="008579A2">
            <w:pPr>
              <w:pStyle w:val="ListParagraph"/>
              <w:numPr>
                <w:ilvl w:val="0"/>
                <w:numId w:val="4"/>
              </w:numPr>
              <w:spacing w:before="120" w:after="120" w:line="240" w:lineRule="auto"/>
              <w:rPr>
                <w:rFonts w:eastAsia="Calibri" w:cs="Times New Roman"/>
                <w:iCs/>
                <w:szCs w:val="22"/>
                <w:lang w:val="en-US" w:bidi="en-US"/>
              </w:rPr>
            </w:pPr>
            <w:r>
              <w:rPr>
                <w:rFonts w:eastAsia="Calibri" w:cs="Times New Roman"/>
                <w:iCs/>
                <w:szCs w:val="22"/>
                <w:lang w:val="en-US" w:bidi="en-US"/>
              </w:rPr>
              <w:t xml:space="preserve">Strategic Plan (e.g. P-18): The projected capital levels from the strategic plan are compared to the RAS limits and thresholds </w:t>
            </w:r>
          </w:p>
          <w:p w14:paraId="1F98558B" w14:textId="77777777" w:rsidR="008579A2" w:rsidRDefault="008579A2" w:rsidP="008579A2">
            <w:pPr>
              <w:pStyle w:val="ListParagraph"/>
              <w:numPr>
                <w:ilvl w:val="0"/>
                <w:numId w:val="4"/>
              </w:numPr>
              <w:spacing w:before="240" w:after="120" w:line="240" w:lineRule="auto"/>
              <w:rPr>
                <w:rFonts w:eastAsia="Calibri" w:cs="Times New Roman"/>
                <w:iCs/>
                <w:szCs w:val="22"/>
                <w:lang w:val="en-US" w:bidi="en-US"/>
              </w:rPr>
            </w:pPr>
            <w:r w:rsidRPr="005B0BAF">
              <w:rPr>
                <w:rFonts w:eastAsia="Calibri" w:cs="Times New Roman"/>
                <w:iCs/>
                <w:szCs w:val="22"/>
                <w:lang w:val="en-US" w:bidi="en-US"/>
              </w:rPr>
              <w:t xml:space="preserve">Monthly: On a monthly basis the actual level of </w:t>
            </w:r>
            <w:r>
              <w:rPr>
                <w:rFonts w:eastAsia="Calibri" w:cs="Times New Roman"/>
                <w:iCs/>
                <w:szCs w:val="22"/>
                <w:lang w:val="en-US" w:bidi="en-US"/>
              </w:rPr>
              <w:t xml:space="preserve">the </w:t>
            </w:r>
            <w:r w:rsidRPr="005B0BAF">
              <w:rPr>
                <w:rFonts w:eastAsia="Calibri" w:cs="Times New Roman"/>
                <w:iCs/>
                <w:szCs w:val="22"/>
                <w:lang w:val="en-US" w:bidi="en-US"/>
              </w:rPr>
              <w:t xml:space="preserve">metric </w:t>
            </w:r>
            <w:r>
              <w:rPr>
                <w:rFonts w:eastAsia="Calibri" w:cs="Times New Roman"/>
                <w:iCs/>
                <w:szCs w:val="22"/>
                <w:lang w:val="en-US" w:bidi="en-US"/>
              </w:rPr>
              <w:t>is</w:t>
            </w:r>
            <w:r w:rsidRPr="005B0BAF">
              <w:rPr>
                <w:rFonts w:eastAsia="Calibri" w:cs="Times New Roman"/>
                <w:iCs/>
                <w:szCs w:val="22"/>
                <w:lang w:val="en-US" w:bidi="en-US"/>
              </w:rPr>
              <w:t xml:space="preserve"> compared only to the BHC Baseline scenario limit</w:t>
            </w:r>
            <w:r>
              <w:rPr>
                <w:rFonts w:eastAsia="Calibri" w:cs="Times New Roman"/>
                <w:iCs/>
                <w:szCs w:val="22"/>
                <w:lang w:val="en-US" w:bidi="en-US"/>
              </w:rPr>
              <w:t xml:space="preserve"> and trigger</w:t>
            </w:r>
            <w:r w:rsidRPr="005B0BAF">
              <w:rPr>
                <w:rFonts w:eastAsia="Calibri" w:cs="Times New Roman"/>
                <w:iCs/>
                <w:szCs w:val="22"/>
                <w:lang w:val="en-US" w:bidi="en-US"/>
              </w:rPr>
              <w:t xml:space="preserve">. </w:t>
            </w:r>
          </w:p>
          <w:p w14:paraId="32168692" w14:textId="77777777" w:rsidR="008579A2" w:rsidRDefault="00DB2B0B" w:rsidP="008579A2">
            <w:pPr>
              <w:spacing w:after="0" w:line="240" w:lineRule="auto"/>
              <w:jc w:val="center"/>
              <w:rPr>
                <w:rFonts w:ascii="Arial" w:eastAsiaTheme="minorHAnsi" w:hAnsi="Arial" w:cs="Arial"/>
                <w:iCs/>
                <w:sz w:val="28"/>
                <w:szCs w:val="28"/>
              </w:rPr>
            </w:pPr>
            <m:oMath>
              <m:f>
                <m:fPr>
                  <m:ctrlPr>
                    <w:rPr>
                      <w:rFonts w:ascii="Cambria Math" w:eastAsiaTheme="minorHAnsi" w:hAnsi="Cambria Math" w:cs="Arial"/>
                      <w:i/>
                      <w:iCs/>
                      <w:sz w:val="28"/>
                      <w:szCs w:val="28"/>
                    </w:rPr>
                  </m:ctrlPr>
                </m:fPr>
                <m:num>
                  <m:r>
                    <w:rPr>
                      <w:rFonts w:ascii="Cambria Math" w:eastAsiaTheme="minorHAnsi" w:hAnsi="Cambria Math" w:cs="Arial"/>
                      <w:sz w:val="28"/>
                      <w:szCs w:val="28"/>
                    </w:rPr>
                    <m:t>Tier 1 Risk Based Capital</m:t>
                  </m:r>
                </m:num>
                <m:den>
                  <m:r>
                    <w:rPr>
                      <w:rFonts w:ascii="Cambria Math" w:eastAsiaTheme="minorHAnsi" w:hAnsi="Cambria Math" w:cs="Arial"/>
                      <w:sz w:val="28"/>
                      <w:szCs w:val="28"/>
                    </w:rPr>
                    <m:t>Total Risk Weighted Assets</m:t>
                  </m:r>
                </m:den>
              </m:f>
            </m:oMath>
            <w:r w:rsidR="008579A2" w:rsidRPr="00204F0A">
              <w:rPr>
                <w:rFonts w:ascii="Arial" w:eastAsiaTheme="minorHAnsi" w:hAnsi="Arial" w:cs="Arial"/>
                <w:iCs/>
                <w:sz w:val="28"/>
                <w:szCs w:val="28"/>
              </w:rPr>
              <w:t xml:space="preserve"> </w:t>
            </w:r>
          </w:p>
          <w:p w14:paraId="2535570C" w14:textId="77777777" w:rsidR="008579A2" w:rsidRPr="00F34844" w:rsidRDefault="008579A2" w:rsidP="008579A2">
            <w:pPr>
              <w:pStyle w:val="ListParagraph"/>
              <w:spacing w:after="0" w:line="240" w:lineRule="auto"/>
              <w:ind w:left="360"/>
              <w:rPr>
                <w:rFonts w:eastAsia="Calibri" w:cs="Times New Roman"/>
                <w:iCs/>
                <w:szCs w:val="22"/>
                <w:lang w:val="en-US" w:bidi="en-US"/>
              </w:rPr>
            </w:pPr>
          </w:p>
        </w:tc>
      </w:tr>
      <w:tr w:rsidR="008579A2" w:rsidRPr="00206D41" w14:paraId="7C8B0963" w14:textId="77777777" w:rsidTr="00FD587F">
        <w:trPr>
          <w:trHeight w:val="525"/>
        </w:trPr>
        <w:tc>
          <w:tcPr>
            <w:tcW w:w="1728" w:type="dxa"/>
            <w:shd w:val="clear" w:color="auto" w:fill="auto"/>
          </w:tcPr>
          <w:p w14:paraId="1A9A908F" w14:textId="77777777" w:rsidR="008579A2" w:rsidRPr="005B0BAF" w:rsidRDefault="008579A2" w:rsidP="008579A2">
            <w:pPr>
              <w:ind w:left="-60"/>
              <w:rPr>
                <w:rFonts w:asciiTheme="minorHAnsi" w:hAnsiTheme="minorHAnsi"/>
                <w:b/>
                <w:bCs/>
                <w:iCs/>
              </w:rPr>
            </w:pPr>
            <w:r w:rsidRPr="00206D41">
              <w:rPr>
                <w:b/>
                <w:bCs/>
                <w:iCs/>
              </w:rPr>
              <w:t>SOURCE OF INFORMATION</w:t>
            </w:r>
          </w:p>
        </w:tc>
        <w:tc>
          <w:tcPr>
            <w:tcW w:w="7470" w:type="dxa"/>
            <w:shd w:val="clear" w:color="auto" w:fill="auto"/>
          </w:tcPr>
          <w:p w14:paraId="36A87FBD" w14:textId="0495BC51" w:rsidR="008579A2" w:rsidRPr="00DF3739" w:rsidRDefault="008579A2" w:rsidP="008579A2">
            <w:pPr>
              <w:numPr>
                <w:ilvl w:val="0"/>
                <w:numId w:val="4"/>
              </w:numPr>
              <w:spacing w:after="0" w:line="240" w:lineRule="auto"/>
              <w:contextualSpacing/>
              <w:rPr>
                <w:rFonts w:asciiTheme="minorHAnsi" w:eastAsiaTheme="minorHAnsi" w:hAnsiTheme="minorHAnsi" w:cstheme="minorBidi"/>
                <w:bCs/>
                <w:iCs/>
                <w:szCs w:val="24"/>
              </w:rPr>
            </w:pPr>
            <w:r w:rsidRPr="00DF3739">
              <w:rPr>
                <w:rFonts w:asciiTheme="minorHAnsi" w:eastAsiaTheme="minorHAnsi" w:hAnsiTheme="minorHAnsi" w:cstheme="minorBidi"/>
                <w:bCs/>
                <w:iCs/>
                <w:szCs w:val="24"/>
              </w:rPr>
              <w:t xml:space="preserve">Capital Policy levels: Capital team for </w:t>
            </w:r>
            <w:r w:rsidR="00921A3D">
              <w:rPr>
                <w:rFonts w:asciiTheme="minorHAnsi" w:eastAsiaTheme="minorHAnsi" w:hAnsiTheme="minorHAnsi" w:cstheme="minorBidi"/>
                <w:bCs/>
                <w:iCs/>
                <w:szCs w:val="24"/>
              </w:rPr>
              <w:t>SHUSA</w:t>
            </w:r>
            <w:r w:rsidRPr="00DF3739">
              <w:rPr>
                <w:rFonts w:asciiTheme="minorHAnsi" w:eastAsiaTheme="minorHAnsi" w:hAnsiTheme="minorHAnsi" w:cstheme="minorBidi"/>
                <w:bCs/>
                <w:iCs/>
                <w:szCs w:val="24"/>
              </w:rPr>
              <w:t>, based on the capital policy in effect at the time of the RAS submission</w:t>
            </w:r>
          </w:p>
          <w:p w14:paraId="79393B91" w14:textId="77777777" w:rsidR="008579A2" w:rsidRDefault="008579A2" w:rsidP="008579A2">
            <w:pPr>
              <w:numPr>
                <w:ilvl w:val="0"/>
                <w:numId w:val="4"/>
              </w:numPr>
              <w:spacing w:after="0" w:line="240" w:lineRule="auto"/>
              <w:contextualSpacing/>
              <w:rPr>
                <w:rFonts w:asciiTheme="minorHAnsi" w:eastAsiaTheme="minorHAnsi" w:hAnsiTheme="minorHAnsi" w:cstheme="minorBidi"/>
                <w:bCs/>
                <w:iCs/>
                <w:szCs w:val="24"/>
              </w:rPr>
            </w:pPr>
            <w:r w:rsidRPr="00DF3739">
              <w:rPr>
                <w:rFonts w:asciiTheme="minorHAnsi" w:eastAsiaTheme="minorHAnsi" w:hAnsiTheme="minorHAnsi" w:cstheme="minorBidi"/>
                <w:bCs/>
                <w:iCs/>
                <w:szCs w:val="24"/>
              </w:rPr>
              <w:t xml:space="preserve">Annual CCAR: CCAR Team. </w:t>
            </w:r>
            <w:r>
              <w:rPr>
                <w:rFonts w:asciiTheme="minorHAnsi" w:eastAsiaTheme="minorHAnsi" w:hAnsiTheme="minorHAnsi" w:cstheme="minorBidi"/>
                <w:bCs/>
                <w:iCs/>
                <w:szCs w:val="24"/>
              </w:rPr>
              <w:t>Taken from the Y14A spreadsheet</w:t>
            </w:r>
          </w:p>
          <w:p w14:paraId="23AF1593" w14:textId="77777777" w:rsidR="008579A2" w:rsidRDefault="008579A2" w:rsidP="008579A2">
            <w:pPr>
              <w:numPr>
                <w:ilvl w:val="0"/>
                <w:numId w:val="4"/>
              </w:numPr>
              <w:spacing w:after="0" w:line="240" w:lineRule="auto"/>
              <w:contextualSpacing/>
              <w:rPr>
                <w:rFonts w:asciiTheme="minorHAnsi" w:eastAsiaTheme="minorHAnsi" w:hAnsiTheme="minorHAnsi" w:cstheme="minorBidi"/>
                <w:bCs/>
                <w:iCs/>
                <w:szCs w:val="24"/>
              </w:rPr>
            </w:pPr>
            <w:r>
              <w:rPr>
                <w:rFonts w:asciiTheme="minorHAnsi" w:eastAsiaTheme="minorHAnsi" w:hAnsiTheme="minorHAnsi" w:cstheme="minorBidi"/>
                <w:bCs/>
                <w:iCs/>
                <w:szCs w:val="24"/>
              </w:rPr>
              <w:t>Mid-cycle: CCAR Team. Taken from the Y14A spreadsheet</w:t>
            </w:r>
          </w:p>
          <w:p w14:paraId="0EDB7176" w14:textId="77777777" w:rsidR="008579A2" w:rsidRDefault="008579A2" w:rsidP="008579A2">
            <w:pPr>
              <w:numPr>
                <w:ilvl w:val="0"/>
                <w:numId w:val="4"/>
              </w:numPr>
              <w:spacing w:after="0" w:line="240" w:lineRule="auto"/>
              <w:contextualSpacing/>
              <w:rPr>
                <w:rFonts w:asciiTheme="minorHAnsi" w:eastAsiaTheme="minorHAnsi" w:hAnsiTheme="minorHAnsi" w:cstheme="minorBidi"/>
                <w:bCs/>
                <w:iCs/>
                <w:szCs w:val="24"/>
              </w:rPr>
            </w:pPr>
            <w:r>
              <w:rPr>
                <w:rFonts w:asciiTheme="minorHAnsi" w:eastAsiaTheme="minorHAnsi" w:hAnsiTheme="minorHAnsi" w:cstheme="minorBidi"/>
                <w:bCs/>
                <w:iCs/>
                <w:szCs w:val="24"/>
              </w:rPr>
              <w:t xml:space="preserve">Strategic Plan: Strategic and Capital planning team </w:t>
            </w:r>
          </w:p>
          <w:p w14:paraId="139C732B" w14:textId="77777777" w:rsidR="008579A2" w:rsidRDefault="008579A2" w:rsidP="008579A2">
            <w:pPr>
              <w:numPr>
                <w:ilvl w:val="0"/>
                <w:numId w:val="4"/>
              </w:numPr>
              <w:spacing w:after="0" w:line="240" w:lineRule="auto"/>
              <w:contextualSpacing/>
              <w:rPr>
                <w:rFonts w:asciiTheme="minorHAnsi" w:eastAsiaTheme="minorHAnsi" w:hAnsiTheme="minorHAnsi" w:cstheme="minorBidi"/>
                <w:bCs/>
                <w:iCs/>
                <w:szCs w:val="24"/>
              </w:rPr>
            </w:pPr>
            <w:r w:rsidRPr="00BD53FD">
              <w:rPr>
                <w:rFonts w:asciiTheme="minorHAnsi" w:eastAsiaTheme="minorHAnsi" w:hAnsiTheme="minorHAnsi" w:cstheme="minorBidi"/>
                <w:bCs/>
                <w:iCs/>
                <w:szCs w:val="24"/>
              </w:rPr>
              <w:t>The monthly values for SHUSA Capital metrics are generated by Regulatory Capital and are made available through their SharePoint site each month.</w:t>
            </w:r>
          </w:p>
          <w:p w14:paraId="73FAEE0B" w14:textId="77777777" w:rsidR="008579A2" w:rsidRPr="00551882" w:rsidDel="00744A1B" w:rsidRDefault="008579A2" w:rsidP="00F3693B">
            <w:pPr>
              <w:spacing w:after="0" w:line="240" w:lineRule="auto"/>
              <w:ind w:left="360"/>
              <w:contextualSpacing/>
              <w:rPr>
                <w:rFonts w:ascii="Arial" w:eastAsiaTheme="minorHAnsi" w:hAnsi="Arial" w:cs="Arial"/>
                <w:iCs/>
                <w:sz w:val="28"/>
                <w:szCs w:val="28"/>
              </w:rPr>
            </w:pPr>
          </w:p>
        </w:tc>
      </w:tr>
    </w:tbl>
    <w:p w14:paraId="2AB4D120" w14:textId="77777777" w:rsidR="006B1C6C" w:rsidRDefault="006B1C6C" w:rsidP="00FC6780">
      <w:pPr>
        <w:pStyle w:val="SANUS2"/>
        <w:rPr>
          <w:color w:val="000000" w:themeColor="text1"/>
        </w:rPr>
      </w:pPr>
      <w:bookmarkStart w:id="29" w:name="_Toc439841726"/>
      <w:bookmarkStart w:id="30" w:name="_Toc439841728"/>
      <w:bookmarkStart w:id="31" w:name="_Toc439165513"/>
      <w:bookmarkStart w:id="32" w:name="_Toc439165794"/>
      <w:bookmarkStart w:id="33" w:name="_Toc439841729"/>
      <w:bookmarkStart w:id="34" w:name="_Toc439165514"/>
      <w:bookmarkStart w:id="35" w:name="_Toc439165795"/>
      <w:bookmarkStart w:id="36" w:name="_Toc439841730"/>
      <w:bookmarkStart w:id="37" w:name="_Toc439165515"/>
      <w:bookmarkStart w:id="38" w:name="_Toc439165796"/>
      <w:bookmarkStart w:id="39" w:name="_Toc439841731"/>
      <w:bookmarkEnd w:id="29"/>
      <w:bookmarkEnd w:id="30"/>
      <w:bookmarkEnd w:id="31"/>
      <w:bookmarkEnd w:id="32"/>
      <w:bookmarkEnd w:id="33"/>
      <w:bookmarkEnd w:id="34"/>
      <w:bookmarkEnd w:id="35"/>
      <w:bookmarkEnd w:id="36"/>
      <w:bookmarkEnd w:id="37"/>
      <w:bookmarkEnd w:id="38"/>
      <w:bookmarkEnd w:id="39"/>
    </w:p>
    <w:p w14:paraId="75C77E15" w14:textId="77777777" w:rsidR="00C61C3A" w:rsidRPr="001F0F3D" w:rsidRDefault="00C61C3A" w:rsidP="00C61C3A">
      <w:pPr>
        <w:pStyle w:val="SANUS2"/>
        <w:numPr>
          <w:ilvl w:val="1"/>
          <w:numId w:val="1"/>
        </w:numPr>
        <w:rPr>
          <w:color w:val="000000" w:themeColor="text1"/>
        </w:rPr>
      </w:pPr>
      <w:bookmarkStart w:id="40" w:name="_Toc452544010"/>
      <w:bookmarkStart w:id="41" w:name="_Toc453849278"/>
      <w:r>
        <w:rPr>
          <w:color w:val="000000" w:themeColor="text1"/>
        </w:rPr>
        <w:t>Pre-provisioned net revenue (PPNR) impairment</w:t>
      </w:r>
      <w:bookmarkEnd w:id="40"/>
      <w:bookmarkEnd w:id="41"/>
    </w:p>
    <w:tbl>
      <w:tblPr>
        <w:tblpPr w:leftFromText="180" w:rightFromText="180" w:vertAnchor="text" w:tblpX="168" w:tblpY="1"/>
        <w:tblOverlap w:val="never"/>
        <w:tblW w:w="9198"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000" w:firstRow="0" w:lastRow="0" w:firstColumn="0" w:lastColumn="0" w:noHBand="0" w:noVBand="0"/>
      </w:tblPr>
      <w:tblGrid>
        <w:gridCol w:w="1728"/>
        <w:gridCol w:w="7470"/>
      </w:tblGrid>
      <w:tr w:rsidR="00C61C3A" w:rsidRPr="00206D41" w14:paraId="3C1C2324" w14:textId="77777777" w:rsidTr="00304EC5">
        <w:trPr>
          <w:trHeight w:val="436"/>
        </w:trPr>
        <w:tc>
          <w:tcPr>
            <w:tcW w:w="1728" w:type="dxa"/>
            <w:shd w:val="clear" w:color="auto" w:fill="auto"/>
          </w:tcPr>
          <w:p w14:paraId="013CD415" w14:textId="77777777" w:rsidR="00C61C3A" w:rsidRPr="00206D41" w:rsidRDefault="00C61C3A" w:rsidP="00304EC5">
            <w:pPr>
              <w:rPr>
                <w:b/>
                <w:bCs/>
                <w:iCs/>
              </w:rPr>
            </w:pPr>
            <w:r>
              <w:rPr>
                <w:b/>
                <w:bCs/>
                <w:iCs/>
              </w:rPr>
              <w:t>DEFINITION</w:t>
            </w:r>
          </w:p>
        </w:tc>
        <w:tc>
          <w:tcPr>
            <w:tcW w:w="7470" w:type="dxa"/>
            <w:shd w:val="clear" w:color="auto" w:fill="auto"/>
          </w:tcPr>
          <w:p w14:paraId="5CD38EC2" w14:textId="797EF7CA" w:rsidR="00246276" w:rsidRPr="00246276" w:rsidRDefault="00246276" w:rsidP="00246276">
            <w:pPr>
              <w:spacing w:after="0" w:line="240" w:lineRule="auto"/>
              <w:rPr>
                <w:bCs/>
                <w:iCs/>
              </w:rPr>
            </w:pPr>
            <w:r w:rsidRPr="00246276">
              <w:rPr>
                <w:bCs/>
                <w:iCs/>
              </w:rPr>
              <w:t>The projected 9Q cumulative increase in PPNR impairment between the CCAR BHC Stress and BHC Baseline scenarios and any available capital surplus under the CCAR BHC Stress scenario</w:t>
            </w:r>
            <w:r>
              <w:rPr>
                <w:bCs/>
                <w:iCs/>
              </w:rPr>
              <w:t xml:space="preserve">. </w:t>
            </w:r>
            <w:r w:rsidRPr="00246276">
              <w:rPr>
                <w:bCs/>
                <w:iCs/>
              </w:rPr>
              <w:t xml:space="preserve"> </w:t>
            </w:r>
          </w:p>
          <w:p w14:paraId="58859883" w14:textId="3B18A30F" w:rsidR="00C61C3A" w:rsidRDefault="00246276" w:rsidP="00246276">
            <w:pPr>
              <w:spacing w:after="0" w:line="240" w:lineRule="auto"/>
              <w:rPr>
                <w:bCs/>
                <w:iCs/>
              </w:rPr>
            </w:pPr>
            <w:r w:rsidRPr="00246276">
              <w:rPr>
                <w:bCs/>
                <w:iCs/>
              </w:rPr>
              <w:t xml:space="preserve"> </w:t>
            </w:r>
          </w:p>
          <w:p w14:paraId="1838CDC5" w14:textId="77777777" w:rsidR="00C61C3A" w:rsidRDefault="00C61C3A" w:rsidP="00304EC5">
            <w:pPr>
              <w:spacing w:after="0" w:line="240" w:lineRule="auto"/>
              <w:rPr>
                <w:bCs/>
                <w:iCs/>
              </w:rPr>
            </w:pPr>
            <w:r>
              <w:rPr>
                <w:bCs/>
                <w:iCs/>
              </w:rPr>
              <w:t xml:space="preserve">Material components include: </w:t>
            </w:r>
          </w:p>
          <w:p w14:paraId="563AB736" w14:textId="77777777" w:rsidR="00C61C3A" w:rsidRDefault="00C61C3A" w:rsidP="00304EC5">
            <w:pPr>
              <w:pStyle w:val="ListParagraph"/>
              <w:numPr>
                <w:ilvl w:val="0"/>
                <w:numId w:val="21"/>
              </w:numPr>
              <w:spacing w:after="0" w:line="240" w:lineRule="auto"/>
              <w:rPr>
                <w:bCs/>
                <w:iCs/>
              </w:rPr>
            </w:pPr>
            <w:r w:rsidRPr="00CB26DF">
              <w:rPr>
                <w:bCs/>
                <w:iCs/>
              </w:rPr>
              <w:t xml:space="preserve">Total Revenue, </w:t>
            </w:r>
          </w:p>
          <w:p w14:paraId="259378BF" w14:textId="77777777" w:rsidR="00C61C3A" w:rsidRDefault="00C61C3A" w:rsidP="00304EC5">
            <w:pPr>
              <w:pStyle w:val="ListParagraph"/>
              <w:numPr>
                <w:ilvl w:val="0"/>
                <w:numId w:val="21"/>
              </w:numPr>
              <w:spacing w:after="0" w:line="240" w:lineRule="auto"/>
              <w:rPr>
                <w:bCs/>
                <w:iCs/>
              </w:rPr>
            </w:pPr>
            <w:r w:rsidRPr="00CB26DF">
              <w:rPr>
                <w:bCs/>
                <w:iCs/>
              </w:rPr>
              <w:t xml:space="preserve">Expenses due to Operational Risk, </w:t>
            </w:r>
          </w:p>
          <w:p w14:paraId="258C00F8" w14:textId="77777777" w:rsidR="00C61C3A" w:rsidRDefault="00C61C3A" w:rsidP="00304EC5">
            <w:pPr>
              <w:pStyle w:val="ListParagraph"/>
              <w:numPr>
                <w:ilvl w:val="0"/>
                <w:numId w:val="21"/>
              </w:numPr>
              <w:spacing w:after="0" w:line="240" w:lineRule="auto"/>
              <w:rPr>
                <w:bCs/>
                <w:iCs/>
              </w:rPr>
            </w:pPr>
            <w:r w:rsidRPr="00CB26DF">
              <w:rPr>
                <w:bCs/>
                <w:iCs/>
              </w:rPr>
              <w:t>Expe</w:t>
            </w:r>
            <w:r>
              <w:rPr>
                <w:bCs/>
                <w:iCs/>
              </w:rPr>
              <w:t>nses due to Residual Value Risk (has its own metric)</w:t>
            </w:r>
            <w:r w:rsidRPr="00CB26DF">
              <w:rPr>
                <w:bCs/>
                <w:iCs/>
              </w:rPr>
              <w:t xml:space="preserve"> </w:t>
            </w:r>
          </w:p>
          <w:p w14:paraId="070DEBCF" w14:textId="77777777" w:rsidR="00BF562D" w:rsidRPr="000F41ED" w:rsidRDefault="00BF562D" w:rsidP="00304EC5">
            <w:pPr>
              <w:pStyle w:val="ListParagraph"/>
              <w:numPr>
                <w:ilvl w:val="0"/>
                <w:numId w:val="21"/>
              </w:numPr>
              <w:spacing w:after="0" w:line="240" w:lineRule="auto"/>
              <w:rPr>
                <w:bCs/>
                <w:iCs/>
              </w:rPr>
            </w:pPr>
            <w:r>
              <w:rPr>
                <w:bCs/>
                <w:iCs/>
              </w:rPr>
              <w:t>Non-Interest Expenses</w:t>
            </w:r>
          </w:p>
        </w:tc>
      </w:tr>
      <w:tr w:rsidR="00C61C3A" w:rsidRPr="00206D41" w14:paraId="0D6BC901" w14:textId="77777777" w:rsidTr="00304EC5">
        <w:trPr>
          <w:trHeight w:val="283"/>
        </w:trPr>
        <w:tc>
          <w:tcPr>
            <w:tcW w:w="1728" w:type="dxa"/>
            <w:shd w:val="clear" w:color="auto" w:fill="auto"/>
          </w:tcPr>
          <w:p w14:paraId="1E7CE5BC" w14:textId="77777777" w:rsidR="00C61C3A" w:rsidRPr="00206D41" w:rsidRDefault="00C61C3A" w:rsidP="00304EC5">
            <w:pPr>
              <w:rPr>
                <w:b/>
                <w:bCs/>
                <w:iCs/>
              </w:rPr>
            </w:pPr>
            <w:r>
              <w:rPr>
                <w:b/>
                <w:bCs/>
                <w:iCs/>
              </w:rPr>
              <w:t>RISK TYPE</w:t>
            </w:r>
          </w:p>
        </w:tc>
        <w:tc>
          <w:tcPr>
            <w:tcW w:w="7470" w:type="dxa"/>
            <w:shd w:val="clear" w:color="auto" w:fill="auto"/>
          </w:tcPr>
          <w:p w14:paraId="388625FA" w14:textId="77777777" w:rsidR="00C61C3A" w:rsidRPr="00206D41" w:rsidRDefault="003F6792" w:rsidP="00304EC5">
            <w:pPr>
              <w:spacing w:after="0" w:line="240" w:lineRule="auto"/>
              <w:rPr>
                <w:bCs/>
                <w:iCs/>
              </w:rPr>
            </w:pPr>
            <w:r>
              <w:rPr>
                <w:bCs/>
                <w:iCs/>
              </w:rPr>
              <w:t>Capital Adequacy</w:t>
            </w:r>
            <w:r w:rsidR="00C61C3A">
              <w:rPr>
                <w:bCs/>
                <w:iCs/>
              </w:rPr>
              <w:t xml:space="preserve"> Risk</w:t>
            </w:r>
          </w:p>
        </w:tc>
      </w:tr>
      <w:tr w:rsidR="00C61C3A" w:rsidRPr="00206D41" w14:paraId="1615BFDA" w14:textId="77777777" w:rsidTr="00304EC5">
        <w:trPr>
          <w:trHeight w:val="283"/>
        </w:trPr>
        <w:tc>
          <w:tcPr>
            <w:tcW w:w="1728" w:type="dxa"/>
            <w:shd w:val="clear" w:color="auto" w:fill="auto"/>
          </w:tcPr>
          <w:p w14:paraId="7B0AF564" w14:textId="77777777" w:rsidR="00C61C3A" w:rsidRDefault="00C61C3A" w:rsidP="00304EC5">
            <w:pPr>
              <w:rPr>
                <w:b/>
                <w:bCs/>
                <w:iCs/>
              </w:rPr>
            </w:pPr>
            <w:r>
              <w:rPr>
                <w:b/>
                <w:bCs/>
                <w:iCs/>
              </w:rPr>
              <w:t>RATIONALE</w:t>
            </w:r>
          </w:p>
        </w:tc>
        <w:tc>
          <w:tcPr>
            <w:tcW w:w="7470" w:type="dxa"/>
            <w:shd w:val="clear" w:color="auto" w:fill="auto"/>
          </w:tcPr>
          <w:p w14:paraId="6E74E8D9" w14:textId="77777777" w:rsidR="00C61C3A" w:rsidRDefault="00C61C3A" w:rsidP="00304EC5">
            <w:pPr>
              <w:spacing w:after="0" w:line="240" w:lineRule="auto"/>
              <w:rPr>
                <w:bCs/>
                <w:iCs/>
              </w:rPr>
            </w:pPr>
            <w:r w:rsidRPr="00213EBA">
              <w:rPr>
                <w:bCs/>
                <w:iCs/>
              </w:rPr>
              <w:t>PPNR impairment metric allows compar</w:t>
            </w:r>
            <w:r>
              <w:rPr>
                <w:bCs/>
                <w:iCs/>
              </w:rPr>
              <w:t>ison of</w:t>
            </w:r>
            <w:r w:rsidRPr="00213EBA">
              <w:rPr>
                <w:bCs/>
                <w:iCs/>
              </w:rPr>
              <w:t xml:space="preserve"> projected PPNR impairment under stress against the maximum impairment the bank can afford </w:t>
            </w:r>
            <w:r>
              <w:rPr>
                <w:bCs/>
                <w:iCs/>
              </w:rPr>
              <w:t>and still pass CCAR quantitatively.</w:t>
            </w:r>
          </w:p>
        </w:tc>
      </w:tr>
      <w:tr w:rsidR="00304EC5" w:rsidRPr="00206D41" w14:paraId="61038AFA" w14:textId="77777777" w:rsidTr="006B6E1C">
        <w:trPr>
          <w:trHeight w:val="255"/>
        </w:trPr>
        <w:tc>
          <w:tcPr>
            <w:tcW w:w="1728" w:type="dxa"/>
            <w:shd w:val="clear" w:color="auto" w:fill="auto"/>
          </w:tcPr>
          <w:p w14:paraId="5B6DBAC7" w14:textId="77777777" w:rsidR="00304EC5" w:rsidRPr="00206D41" w:rsidRDefault="00304EC5" w:rsidP="00304EC5">
            <w:pPr>
              <w:rPr>
                <w:b/>
                <w:bCs/>
                <w:iCs/>
              </w:rPr>
            </w:pPr>
            <w:r>
              <w:rPr>
                <w:b/>
                <w:bCs/>
                <w:iCs/>
              </w:rPr>
              <w:t>ENTITY</w:t>
            </w:r>
          </w:p>
        </w:tc>
        <w:tc>
          <w:tcPr>
            <w:tcW w:w="7470" w:type="dxa"/>
            <w:shd w:val="clear" w:color="auto" w:fill="auto"/>
          </w:tcPr>
          <w:p w14:paraId="1BA3410F" w14:textId="77777777" w:rsidR="00304EC5" w:rsidRPr="001F0F3D" w:rsidRDefault="00304EC5" w:rsidP="00304EC5">
            <w:pPr>
              <w:spacing w:after="0" w:line="240" w:lineRule="auto"/>
              <w:rPr>
                <w:b/>
                <w:bCs/>
                <w:iCs/>
              </w:rPr>
            </w:pPr>
            <w:r w:rsidRPr="001F0F3D">
              <w:rPr>
                <w:b/>
                <w:bCs/>
                <w:iCs/>
              </w:rPr>
              <w:t>SHUSA</w:t>
            </w:r>
          </w:p>
        </w:tc>
      </w:tr>
      <w:tr w:rsidR="00304EC5" w:rsidRPr="00206D41" w14:paraId="70E41C31" w14:textId="77777777" w:rsidTr="006B6E1C">
        <w:trPr>
          <w:trHeight w:val="270"/>
        </w:trPr>
        <w:tc>
          <w:tcPr>
            <w:tcW w:w="1728" w:type="dxa"/>
            <w:shd w:val="clear" w:color="auto" w:fill="auto"/>
          </w:tcPr>
          <w:p w14:paraId="39CDA3D5" w14:textId="253BAEF1" w:rsidR="00304EC5" w:rsidRPr="00206D41" w:rsidRDefault="00511F11" w:rsidP="00304EC5">
            <w:pPr>
              <w:rPr>
                <w:b/>
                <w:bCs/>
                <w:iCs/>
              </w:rPr>
            </w:pPr>
            <w:r>
              <w:rPr>
                <w:rFonts w:asciiTheme="minorHAnsi" w:hAnsiTheme="minorHAnsi"/>
                <w:b/>
                <w:bCs/>
                <w:iCs/>
              </w:rPr>
              <w:t>METRIC PROVIDER</w:t>
            </w:r>
          </w:p>
        </w:tc>
        <w:tc>
          <w:tcPr>
            <w:tcW w:w="7470" w:type="dxa"/>
            <w:shd w:val="clear" w:color="auto" w:fill="auto"/>
          </w:tcPr>
          <w:p w14:paraId="2112FF98" w14:textId="66078A39" w:rsidR="00304EC5" w:rsidRPr="001F0F3D" w:rsidRDefault="005F1E23" w:rsidP="00304EC5">
            <w:pPr>
              <w:spacing w:after="0" w:line="240" w:lineRule="auto"/>
              <w:rPr>
                <w:b/>
                <w:bCs/>
                <w:iCs/>
              </w:rPr>
            </w:pPr>
            <w:r w:rsidRPr="005F1E23">
              <w:rPr>
                <w:b/>
                <w:bCs/>
                <w:iCs/>
              </w:rPr>
              <w:t>SHUSA Director CCAR Team</w:t>
            </w:r>
          </w:p>
        </w:tc>
      </w:tr>
      <w:tr w:rsidR="00C61C3A" w:rsidRPr="00206D41" w14:paraId="3E30411F" w14:textId="77777777" w:rsidTr="00304EC5">
        <w:trPr>
          <w:trHeight w:val="265"/>
        </w:trPr>
        <w:tc>
          <w:tcPr>
            <w:tcW w:w="1728" w:type="dxa"/>
            <w:shd w:val="clear" w:color="auto" w:fill="auto"/>
          </w:tcPr>
          <w:p w14:paraId="29C20B4B" w14:textId="77777777" w:rsidR="00C61C3A" w:rsidRPr="00206D41" w:rsidRDefault="00C61C3A" w:rsidP="00304EC5">
            <w:pPr>
              <w:ind w:left="-60"/>
              <w:rPr>
                <w:b/>
                <w:bCs/>
                <w:iCs/>
              </w:rPr>
            </w:pPr>
            <w:r>
              <w:rPr>
                <w:b/>
                <w:bCs/>
                <w:iCs/>
              </w:rPr>
              <w:t>TRIGGER AND LIMIT SETTING</w:t>
            </w:r>
          </w:p>
        </w:tc>
        <w:tc>
          <w:tcPr>
            <w:tcW w:w="7470" w:type="dxa"/>
            <w:shd w:val="clear" w:color="auto" w:fill="auto"/>
          </w:tcPr>
          <w:p w14:paraId="1437FAF7" w14:textId="77777777" w:rsidR="00C61C3A" w:rsidRDefault="00C61C3A" w:rsidP="00304EC5">
            <w:pPr>
              <w:spacing w:after="0" w:line="240" w:lineRule="auto"/>
              <w:rPr>
                <w:rFonts w:asciiTheme="minorHAnsi" w:eastAsiaTheme="minorHAnsi" w:hAnsiTheme="minorHAnsi" w:cstheme="minorBidi"/>
                <w:iCs/>
              </w:rPr>
            </w:pPr>
            <w:r w:rsidRPr="00CB26DF">
              <w:rPr>
                <w:rFonts w:asciiTheme="minorHAnsi" w:eastAsiaTheme="minorHAnsi" w:hAnsiTheme="minorHAnsi" w:cstheme="minorBidi"/>
                <w:iCs/>
              </w:rPr>
              <w:t>The CCAR PPNR impairment loss  limit and trigger is set as follows:</w:t>
            </w:r>
          </w:p>
          <w:p w14:paraId="42A38A7B" w14:textId="77777777" w:rsidR="00C61C3A" w:rsidRPr="00CB26DF" w:rsidRDefault="00C61C3A" w:rsidP="00304EC5">
            <w:pPr>
              <w:pStyle w:val="ListParagraph"/>
              <w:numPr>
                <w:ilvl w:val="0"/>
                <w:numId w:val="23"/>
              </w:numPr>
              <w:spacing w:after="0" w:line="240" w:lineRule="auto"/>
              <w:rPr>
                <w:iCs/>
              </w:rPr>
            </w:pPr>
            <w:r w:rsidRPr="000F41ED">
              <w:rPr>
                <w:iCs/>
              </w:rPr>
              <w:t>Each material component is allocated its PPNR impairment and, in addition, a proportionate amount of any capital surplus that may remain between the lowest quarterly value of the Tier 1 Risk</w:t>
            </w:r>
            <w:r w:rsidRPr="00CB26DF">
              <w:rPr>
                <w:iCs/>
              </w:rPr>
              <w:t>-based Capital ratio throughout the CCAR period and the amber triggers/red limit level for the ratio.</w:t>
            </w:r>
          </w:p>
          <w:p w14:paraId="170465BB" w14:textId="77777777" w:rsidR="00C61C3A" w:rsidRPr="00CB26DF" w:rsidRDefault="00C61C3A" w:rsidP="00304EC5">
            <w:pPr>
              <w:pStyle w:val="ListParagraph"/>
              <w:numPr>
                <w:ilvl w:val="0"/>
                <w:numId w:val="22"/>
              </w:numPr>
              <w:spacing w:after="0" w:line="240" w:lineRule="auto"/>
              <w:rPr>
                <w:iCs/>
              </w:rPr>
            </w:pPr>
            <w:r w:rsidRPr="00CB26DF">
              <w:rPr>
                <w:iCs/>
              </w:rPr>
              <w:t>Amber trigger: is calculated as the sum of PPNR impairment + the proportionate amount of capital surplus (in dollar terms) between the CCAR output for the Tier 1 Risk-based capital ratio and the internally set post-stress minimum ratio</w:t>
            </w:r>
            <w:r w:rsidR="00BF562D">
              <w:rPr>
                <w:iCs/>
              </w:rPr>
              <w:t xml:space="preserve"> plus management adjustment</w:t>
            </w:r>
            <w:r w:rsidRPr="00CB26DF">
              <w:rPr>
                <w:iCs/>
              </w:rPr>
              <w:t xml:space="preserve"> (amber level).    </w:t>
            </w:r>
          </w:p>
          <w:p w14:paraId="1EBF70A1" w14:textId="77777777" w:rsidR="00C61C3A" w:rsidRPr="00CB26DF" w:rsidRDefault="00C61C3A" w:rsidP="00304EC5">
            <w:pPr>
              <w:pStyle w:val="ListParagraph"/>
              <w:numPr>
                <w:ilvl w:val="0"/>
                <w:numId w:val="22"/>
              </w:numPr>
              <w:spacing w:after="0" w:line="240" w:lineRule="auto"/>
              <w:rPr>
                <w:iCs/>
              </w:rPr>
            </w:pPr>
            <w:r w:rsidRPr="00CB26DF">
              <w:rPr>
                <w:iCs/>
              </w:rPr>
              <w:t xml:space="preserve">Red limit:   is calculated as the sum of PPNR impairment + the proportionate amount of capital surplus (in dollar terms) between the CCAR output for the Tier 1 Risk-based capital ratio and the </w:t>
            </w:r>
            <w:r w:rsidR="00BF562D">
              <w:rPr>
                <w:iCs/>
              </w:rPr>
              <w:t xml:space="preserve">internally set post-stress minimum </w:t>
            </w:r>
            <w:r w:rsidRPr="00CB26DF">
              <w:rPr>
                <w:iCs/>
              </w:rPr>
              <w:t xml:space="preserve">Tier 1 Risk-based capital ratio (red limit).    </w:t>
            </w:r>
          </w:p>
          <w:p w14:paraId="3150A515" w14:textId="77777777" w:rsidR="00C61C3A" w:rsidRPr="00FC6780" w:rsidRDefault="00C61C3A" w:rsidP="00304EC5">
            <w:pPr>
              <w:spacing w:after="0" w:line="240" w:lineRule="auto"/>
              <w:rPr>
                <w:bCs/>
                <w:iCs/>
                <w:lang w:val="en-GB"/>
              </w:rPr>
            </w:pPr>
          </w:p>
          <w:p w14:paraId="7DD9F33D" w14:textId="77777777" w:rsidR="00C61C3A" w:rsidRPr="00627823" w:rsidRDefault="00C61C3A" w:rsidP="00304EC5">
            <w:pPr>
              <w:spacing w:after="0" w:line="240" w:lineRule="auto"/>
              <w:jc w:val="center"/>
              <w:rPr>
                <w:bCs/>
                <w:i/>
                <w:iCs/>
              </w:rPr>
            </w:pPr>
            <w:r w:rsidRPr="00627823">
              <w:rPr>
                <w:bCs/>
                <w:i/>
                <w:iCs/>
              </w:rPr>
              <w:t>Capital Surplus ($MM) =</w:t>
            </w:r>
          </w:p>
          <w:p w14:paraId="2D55587B" w14:textId="77777777" w:rsidR="00C61C3A" w:rsidRPr="00E2205B" w:rsidRDefault="00C61C3A" w:rsidP="00304EC5">
            <w:pPr>
              <w:spacing w:after="0" w:line="240" w:lineRule="auto"/>
              <w:jc w:val="center"/>
              <w:rPr>
                <w:bCs/>
                <w:i/>
                <w:iCs/>
              </w:rPr>
            </w:pPr>
            <w:r w:rsidRPr="00627823">
              <w:rPr>
                <w:bCs/>
                <w:i/>
                <w:iCs/>
              </w:rPr>
              <w:t xml:space="preserve">(T1 Risk Based Capital limit – 9Q T1 Risk Based Capital in BHC Stress) * </w:t>
            </w:r>
            <w:r w:rsidR="00BF562D">
              <w:rPr>
                <w:bCs/>
                <w:i/>
                <w:iCs/>
              </w:rPr>
              <w:t xml:space="preserve">quarter with RWA in </w:t>
            </w:r>
            <w:r w:rsidR="00C2625C">
              <w:rPr>
                <w:bCs/>
                <w:i/>
                <w:iCs/>
              </w:rPr>
              <w:t xml:space="preserve">lowest </w:t>
            </w:r>
            <w:r w:rsidR="00BF562D">
              <w:rPr>
                <w:bCs/>
                <w:i/>
                <w:iCs/>
              </w:rPr>
              <w:t>9Q T1RBC in BHC Stress</w:t>
            </w:r>
          </w:p>
        </w:tc>
      </w:tr>
      <w:tr w:rsidR="00C61C3A" w:rsidRPr="004D4E11" w14:paraId="505BAFD7" w14:textId="77777777" w:rsidTr="00304EC5">
        <w:trPr>
          <w:trHeight w:val="382"/>
        </w:trPr>
        <w:tc>
          <w:tcPr>
            <w:tcW w:w="1728" w:type="dxa"/>
            <w:shd w:val="clear" w:color="auto" w:fill="auto"/>
          </w:tcPr>
          <w:p w14:paraId="5C3F2551" w14:textId="77777777" w:rsidR="00C61C3A" w:rsidRPr="00206D41" w:rsidRDefault="00C61C3A" w:rsidP="00304EC5">
            <w:pPr>
              <w:ind w:left="-60"/>
              <w:rPr>
                <w:b/>
                <w:bCs/>
                <w:iCs/>
              </w:rPr>
            </w:pPr>
            <w:r>
              <w:rPr>
                <w:b/>
                <w:bCs/>
                <w:iCs/>
              </w:rPr>
              <w:t xml:space="preserve">TESTING </w:t>
            </w:r>
            <w:r w:rsidRPr="00206D41">
              <w:rPr>
                <w:b/>
                <w:bCs/>
                <w:iCs/>
              </w:rPr>
              <w:t>FREQUENCY</w:t>
            </w:r>
          </w:p>
        </w:tc>
        <w:tc>
          <w:tcPr>
            <w:tcW w:w="7470" w:type="dxa"/>
            <w:shd w:val="clear" w:color="auto" w:fill="auto"/>
          </w:tcPr>
          <w:p w14:paraId="7D877335" w14:textId="77777777" w:rsidR="00C61C3A" w:rsidRPr="004D4E11" w:rsidRDefault="00C61C3A" w:rsidP="00304EC5">
            <w:pPr>
              <w:spacing w:after="0" w:line="240" w:lineRule="auto"/>
              <w:rPr>
                <w:iCs/>
              </w:rPr>
            </w:pPr>
            <w:r w:rsidRPr="004D4E11">
              <w:rPr>
                <w:iCs/>
              </w:rPr>
              <w:t xml:space="preserve">Annually: CCAR output. The cumulative value of </w:t>
            </w:r>
            <w:r>
              <w:rPr>
                <w:iCs/>
              </w:rPr>
              <w:t>PPNR</w:t>
            </w:r>
            <w:r w:rsidRPr="004D4E11">
              <w:rPr>
                <w:iCs/>
              </w:rPr>
              <w:t xml:space="preserve"> impairment under CCAR is compared to the annual re-calculation of amber trigger and red limit as set out above. The RAS will be presented for annual review with the CCAR outputs compared to the new triggers and limits</w:t>
            </w:r>
            <w:r>
              <w:rPr>
                <w:iCs/>
              </w:rPr>
              <w:t>.</w:t>
            </w:r>
          </w:p>
        </w:tc>
      </w:tr>
      <w:tr w:rsidR="00C61C3A" w:rsidRPr="00206D41" w14:paraId="694C39C8" w14:textId="77777777" w:rsidTr="00304EC5">
        <w:trPr>
          <w:trHeight w:val="525"/>
        </w:trPr>
        <w:tc>
          <w:tcPr>
            <w:tcW w:w="1728" w:type="dxa"/>
            <w:shd w:val="clear" w:color="auto" w:fill="auto"/>
          </w:tcPr>
          <w:p w14:paraId="6875A10C" w14:textId="77777777" w:rsidR="00C61C3A" w:rsidRPr="00206D41" w:rsidRDefault="00C61C3A" w:rsidP="00304EC5">
            <w:pPr>
              <w:rPr>
                <w:b/>
                <w:bCs/>
                <w:iCs/>
              </w:rPr>
            </w:pPr>
            <w:r w:rsidRPr="00206D41">
              <w:rPr>
                <w:b/>
                <w:bCs/>
                <w:iCs/>
              </w:rPr>
              <w:t>SOURCE OF INFORMATION</w:t>
            </w:r>
          </w:p>
        </w:tc>
        <w:tc>
          <w:tcPr>
            <w:tcW w:w="7470" w:type="dxa"/>
            <w:shd w:val="clear" w:color="auto" w:fill="auto"/>
          </w:tcPr>
          <w:p w14:paraId="03B03051" w14:textId="77777777" w:rsidR="00C61C3A" w:rsidRDefault="00C61C3A" w:rsidP="00304EC5">
            <w:pPr>
              <w:spacing w:after="0" w:line="240" w:lineRule="auto"/>
              <w:rPr>
                <w:bCs/>
                <w:iCs/>
              </w:rPr>
            </w:pPr>
            <w:r>
              <w:rPr>
                <w:bCs/>
                <w:iCs/>
              </w:rPr>
              <w:t>CCAR Results – Y14A</w:t>
            </w:r>
          </w:p>
          <w:p w14:paraId="193A3692" w14:textId="77777777" w:rsidR="00C61C3A" w:rsidRPr="00206D41" w:rsidRDefault="00C61C3A" w:rsidP="00304EC5">
            <w:pPr>
              <w:spacing w:after="0" w:line="240" w:lineRule="auto"/>
              <w:rPr>
                <w:bCs/>
                <w:iCs/>
              </w:rPr>
            </w:pPr>
          </w:p>
        </w:tc>
      </w:tr>
    </w:tbl>
    <w:p w14:paraId="2C519715" w14:textId="77777777" w:rsidR="00C61C3A" w:rsidRDefault="00C61C3A" w:rsidP="00FC6780">
      <w:pPr>
        <w:pStyle w:val="SANUS2"/>
        <w:rPr>
          <w:color w:val="000000" w:themeColor="text1"/>
        </w:rPr>
      </w:pPr>
    </w:p>
    <w:p w14:paraId="511DC9E8" w14:textId="77777777" w:rsidR="00C61C3A" w:rsidRPr="001F0F3D" w:rsidRDefault="00C61C3A" w:rsidP="00C61C3A">
      <w:pPr>
        <w:pStyle w:val="SANUS2"/>
        <w:numPr>
          <w:ilvl w:val="1"/>
          <w:numId w:val="1"/>
        </w:numPr>
        <w:rPr>
          <w:color w:val="000000" w:themeColor="text1"/>
        </w:rPr>
      </w:pPr>
      <w:bookmarkStart w:id="42" w:name="_Toc452544011"/>
      <w:bookmarkStart w:id="43" w:name="_Toc453849279"/>
      <w:r>
        <w:rPr>
          <w:color w:val="000000" w:themeColor="text1"/>
        </w:rPr>
        <w:t>Loss in stress</w:t>
      </w:r>
      <w:bookmarkEnd w:id="42"/>
      <w:bookmarkEnd w:id="43"/>
    </w:p>
    <w:tbl>
      <w:tblPr>
        <w:tblpPr w:leftFromText="180" w:rightFromText="180" w:vertAnchor="text" w:tblpX="168" w:tblpY="1"/>
        <w:tblOverlap w:val="never"/>
        <w:tblW w:w="9198"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000" w:firstRow="0" w:lastRow="0" w:firstColumn="0" w:lastColumn="0" w:noHBand="0" w:noVBand="0"/>
      </w:tblPr>
      <w:tblGrid>
        <w:gridCol w:w="1728"/>
        <w:gridCol w:w="7470"/>
      </w:tblGrid>
      <w:tr w:rsidR="00C61C3A" w:rsidRPr="00206D41" w14:paraId="51CED6AF" w14:textId="77777777" w:rsidTr="005D0549">
        <w:trPr>
          <w:trHeight w:val="261"/>
        </w:trPr>
        <w:tc>
          <w:tcPr>
            <w:tcW w:w="1728" w:type="dxa"/>
            <w:shd w:val="clear" w:color="auto" w:fill="auto"/>
          </w:tcPr>
          <w:p w14:paraId="7ED7BBD8" w14:textId="77777777" w:rsidR="00C61C3A" w:rsidRPr="00206D41" w:rsidRDefault="00C61C3A" w:rsidP="005D0549">
            <w:pPr>
              <w:rPr>
                <w:b/>
                <w:bCs/>
                <w:iCs/>
              </w:rPr>
            </w:pPr>
            <w:r>
              <w:rPr>
                <w:b/>
                <w:bCs/>
                <w:iCs/>
              </w:rPr>
              <w:t>DEFINITION</w:t>
            </w:r>
          </w:p>
        </w:tc>
        <w:tc>
          <w:tcPr>
            <w:tcW w:w="7470" w:type="dxa"/>
            <w:shd w:val="clear" w:color="auto" w:fill="auto"/>
          </w:tcPr>
          <w:p w14:paraId="354E4342" w14:textId="77777777" w:rsidR="00C61C3A" w:rsidRDefault="00C61C3A" w:rsidP="005D0549">
            <w:pPr>
              <w:spacing w:after="0" w:line="240" w:lineRule="auto"/>
            </w:pPr>
            <w:r w:rsidRPr="00206D41">
              <w:t>The impact to Profit before Tax (“PBT”) that SHUSA is wil</w:t>
            </w:r>
            <w:r>
              <w:t>ling and able to assume – e</w:t>
            </w:r>
            <w:r w:rsidRPr="00206D41">
              <w:t>xpressed as the percentage of the annual PBT that would be at risk</w:t>
            </w:r>
            <w:r>
              <w:t>,</w:t>
            </w:r>
            <w:r w:rsidRPr="00206D41">
              <w:t xml:space="preserve"> based on an adverse stressed scenario affecting the relevant risks.</w:t>
            </w:r>
          </w:p>
          <w:p w14:paraId="16770323" w14:textId="77777777" w:rsidR="003F6792" w:rsidRDefault="003F6792" w:rsidP="005D0549">
            <w:pPr>
              <w:spacing w:after="0" w:line="240" w:lineRule="auto"/>
            </w:pPr>
          </w:p>
          <w:p w14:paraId="6EC0061E" w14:textId="4EE43108" w:rsidR="003F6792" w:rsidRDefault="003F6792" w:rsidP="005D0549">
            <w:pPr>
              <w:spacing w:after="0" w:line="240" w:lineRule="auto"/>
            </w:pPr>
            <w:r>
              <w:t>The loss in stress metric consists of th</w:t>
            </w:r>
            <w:r w:rsidR="00246276">
              <w:t>e following subcomponents (some component are additional metrics located in the appendix)</w:t>
            </w:r>
            <w:r>
              <w:t>:</w:t>
            </w:r>
          </w:p>
          <w:p w14:paraId="57B793C6" w14:textId="77777777" w:rsidR="003F6792" w:rsidRDefault="003F6792" w:rsidP="005D0549">
            <w:pPr>
              <w:spacing w:after="0" w:line="240" w:lineRule="auto"/>
            </w:pPr>
          </w:p>
          <w:p w14:paraId="38ACFBE8" w14:textId="77777777" w:rsidR="00304EC5" w:rsidRDefault="00304EC5" w:rsidP="00304EC5">
            <w:pPr>
              <w:pStyle w:val="ListParagraph"/>
              <w:numPr>
                <w:ilvl w:val="0"/>
                <w:numId w:val="62"/>
              </w:numPr>
              <w:spacing w:after="0" w:line="240" w:lineRule="auto"/>
              <w:rPr>
                <w:bCs/>
                <w:iCs/>
              </w:rPr>
            </w:pPr>
            <w:r>
              <w:rPr>
                <w:bCs/>
                <w:iCs/>
              </w:rPr>
              <w:t>PPNR</w:t>
            </w:r>
          </w:p>
          <w:p w14:paraId="5F48B91D" w14:textId="77777777" w:rsidR="00304EC5" w:rsidRDefault="00304EC5" w:rsidP="00304EC5">
            <w:pPr>
              <w:pStyle w:val="ListParagraph"/>
              <w:numPr>
                <w:ilvl w:val="0"/>
                <w:numId w:val="62"/>
              </w:numPr>
              <w:spacing w:after="0" w:line="240" w:lineRule="auto"/>
              <w:rPr>
                <w:bCs/>
                <w:iCs/>
              </w:rPr>
            </w:pPr>
            <w:r>
              <w:rPr>
                <w:bCs/>
                <w:iCs/>
              </w:rPr>
              <w:t>Credit Loss Provisions</w:t>
            </w:r>
          </w:p>
          <w:p w14:paraId="03F27278" w14:textId="2339E330" w:rsidR="003F6792" w:rsidRDefault="003F6792" w:rsidP="00FC6780">
            <w:pPr>
              <w:pStyle w:val="ListParagraph"/>
              <w:numPr>
                <w:ilvl w:val="0"/>
                <w:numId w:val="62"/>
              </w:numPr>
              <w:spacing w:after="0" w:line="240" w:lineRule="auto"/>
              <w:rPr>
                <w:bCs/>
                <w:iCs/>
              </w:rPr>
            </w:pPr>
            <w:r>
              <w:rPr>
                <w:bCs/>
                <w:iCs/>
              </w:rPr>
              <w:t>GCB Concentration Risk</w:t>
            </w:r>
            <w:r w:rsidR="00246276">
              <w:rPr>
                <w:bCs/>
                <w:iCs/>
              </w:rPr>
              <w:t xml:space="preserve"> (additional metric)</w:t>
            </w:r>
          </w:p>
          <w:p w14:paraId="071E0C69" w14:textId="44682DF4" w:rsidR="003F6792" w:rsidRDefault="003F6792" w:rsidP="00FC6780">
            <w:pPr>
              <w:pStyle w:val="ListParagraph"/>
              <w:numPr>
                <w:ilvl w:val="0"/>
                <w:numId w:val="62"/>
              </w:numPr>
              <w:spacing w:after="0" w:line="240" w:lineRule="auto"/>
              <w:rPr>
                <w:bCs/>
                <w:iCs/>
              </w:rPr>
            </w:pPr>
            <w:r>
              <w:rPr>
                <w:bCs/>
                <w:iCs/>
              </w:rPr>
              <w:t>Loss Impact on Trading Portfolio</w:t>
            </w:r>
            <w:r w:rsidR="00246276">
              <w:rPr>
                <w:bCs/>
                <w:iCs/>
              </w:rPr>
              <w:t xml:space="preserve"> (additional metric)</w:t>
            </w:r>
          </w:p>
          <w:p w14:paraId="26CECF12" w14:textId="054026EF" w:rsidR="003F6792" w:rsidRDefault="003F6792" w:rsidP="00FC6780">
            <w:pPr>
              <w:pStyle w:val="ListParagraph"/>
              <w:numPr>
                <w:ilvl w:val="0"/>
                <w:numId w:val="62"/>
              </w:numPr>
              <w:spacing w:after="0" w:line="240" w:lineRule="auto"/>
              <w:rPr>
                <w:bCs/>
                <w:iCs/>
              </w:rPr>
            </w:pPr>
            <w:r>
              <w:rPr>
                <w:bCs/>
                <w:iCs/>
              </w:rPr>
              <w:t>Impact on CVA Stress</w:t>
            </w:r>
            <w:r w:rsidR="00246276">
              <w:rPr>
                <w:bCs/>
                <w:iCs/>
              </w:rPr>
              <w:t xml:space="preserve"> (additional metric)</w:t>
            </w:r>
          </w:p>
          <w:p w14:paraId="66EA9E7C" w14:textId="77777777" w:rsidR="003F6792" w:rsidRPr="003F6792" w:rsidRDefault="003F6792" w:rsidP="00FC6780">
            <w:pPr>
              <w:pStyle w:val="ListParagraph"/>
              <w:numPr>
                <w:ilvl w:val="0"/>
                <w:numId w:val="62"/>
              </w:numPr>
              <w:spacing w:after="0" w:line="240" w:lineRule="auto"/>
              <w:rPr>
                <w:bCs/>
                <w:iCs/>
              </w:rPr>
            </w:pPr>
            <w:r>
              <w:rPr>
                <w:bCs/>
                <w:iCs/>
              </w:rPr>
              <w:t>Operational Risk Stressed Loss</w:t>
            </w:r>
          </w:p>
        </w:tc>
      </w:tr>
      <w:tr w:rsidR="00C61C3A" w:rsidRPr="00206D41" w14:paraId="6FC940E6" w14:textId="77777777" w:rsidTr="005D0549">
        <w:trPr>
          <w:trHeight w:val="279"/>
        </w:trPr>
        <w:tc>
          <w:tcPr>
            <w:tcW w:w="1728" w:type="dxa"/>
            <w:shd w:val="clear" w:color="auto" w:fill="auto"/>
          </w:tcPr>
          <w:p w14:paraId="070ED709" w14:textId="77777777" w:rsidR="00C61C3A" w:rsidRPr="00206D41" w:rsidRDefault="00C61C3A" w:rsidP="005D0549">
            <w:pPr>
              <w:rPr>
                <w:b/>
                <w:bCs/>
                <w:iCs/>
              </w:rPr>
            </w:pPr>
            <w:r>
              <w:rPr>
                <w:b/>
                <w:bCs/>
                <w:iCs/>
              </w:rPr>
              <w:t>RISK TYPE</w:t>
            </w:r>
          </w:p>
        </w:tc>
        <w:tc>
          <w:tcPr>
            <w:tcW w:w="7470" w:type="dxa"/>
            <w:shd w:val="clear" w:color="auto" w:fill="auto"/>
          </w:tcPr>
          <w:p w14:paraId="5F5C377B" w14:textId="77777777" w:rsidR="00C61C3A" w:rsidRPr="00206D41" w:rsidRDefault="003F6792" w:rsidP="005D0549">
            <w:pPr>
              <w:spacing w:after="0" w:line="240" w:lineRule="auto"/>
              <w:rPr>
                <w:bCs/>
                <w:iCs/>
              </w:rPr>
            </w:pPr>
            <w:r>
              <w:rPr>
                <w:bCs/>
                <w:iCs/>
              </w:rPr>
              <w:t>Capital Adequacy</w:t>
            </w:r>
            <w:r w:rsidR="00C61C3A">
              <w:rPr>
                <w:bCs/>
                <w:iCs/>
              </w:rPr>
              <w:t xml:space="preserve"> Risk</w:t>
            </w:r>
          </w:p>
        </w:tc>
      </w:tr>
      <w:tr w:rsidR="00C61C3A" w:rsidRPr="00206D41" w14:paraId="3DE225FE" w14:textId="77777777" w:rsidTr="005D0549">
        <w:trPr>
          <w:trHeight w:val="279"/>
        </w:trPr>
        <w:tc>
          <w:tcPr>
            <w:tcW w:w="1728" w:type="dxa"/>
            <w:shd w:val="clear" w:color="auto" w:fill="auto"/>
          </w:tcPr>
          <w:p w14:paraId="16CBA1E1" w14:textId="77777777" w:rsidR="00C61C3A" w:rsidRDefault="00C61C3A" w:rsidP="005D0549">
            <w:pPr>
              <w:rPr>
                <w:b/>
                <w:bCs/>
                <w:iCs/>
              </w:rPr>
            </w:pPr>
            <w:r>
              <w:rPr>
                <w:b/>
                <w:bCs/>
                <w:iCs/>
              </w:rPr>
              <w:t>RATIONALE</w:t>
            </w:r>
          </w:p>
        </w:tc>
        <w:tc>
          <w:tcPr>
            <w:tcW w:w="7470" w:type="dxa"/>
            <w:shd w:val="clear" w:color="auto" w:fill="auto"/>
          </w:tcPr>
          <w:p w14:paraId="1D0E04FD" w14:textId="77777777" w:rsidR="00C61C3A" w:rsidRDefault="00C61C3A" w:rsidP="005D0549">
            <w:pPr>
              <w:spacing w:after="0" w:line="240" w:lineRule="auto"/>
              <w:rPr>
                <w:bCs/>
                <w:iCs/>
              </w:rPr>
            </w:pPr>
            <w:r>
              <w:rPr>
                <w:bCs/>
                <w:iCs/>
              </w:rPr>
              <w:t>E</w:t>
            </w:r>
            <w:r w:rsidRPr="00213EBA">
              <w:rPr>
                <w:bCs/>
                <w:iCs/>
              </w:rPr>
              <w:t>nsure</w:t>
            </w:r>
            <w:r>
              <w:rPr>
                <w:bCs/>
                <w:iCs/>
              </w:rPr>
              <w:t>s</w:t>
            </w:r>
            <w:r w:rsidRPr="00213EBA">
              <w:rPr>
                <w:bCs/>
                <w:iCs/>
              </w:rPr>
              <w:t xml:space="preserve"> that losses under an adverse, but plausible stress do not exceed 100% of </w:t>
            </w:r>
            <w:r>
              <w:rPr>
                <w:bCs/>
                <w:iCs/>
              </w:rPr>
              <w:t>PBT; cascaded from Group.</w:t>
            </w:r>
          </w:p>
        </w:tc>
      </w:tr>
      <w:tr w:rsidR="00304EC5" w:rsidRPr="00206D41" w14:paraId="2CC0124C" w14:textId="77777777" w:rsidTr="006B6E1C">
        <w:trPr>
          <w:trHeight w:val="255"/>
        </w:trPr>
        <w:tc>
          <w:tcPr>
            <w:tcW w:w="1728" w:type="dxa"/>
            <w:shd w:val="clear" w:color="auto" w:fill="auto"/>
          </w:tcPr>
          <w:p w14:paraId="27D85113" w14:textId="77777777" w:rsidR="00304EC5" w:rsidRPr="001F0F3D" w:rsidRDefault="00304EC5" w:rsidP="005D0549">
            <w:pPr>
              <w:rPr>
                <w:b/>
                <w:bCs/>
                <w:iCs/>
              </w:rPr>
            </w:pPr>
            <w:r w:rsidRPr="001F0F3D">
              <w:rPr>
                <w:b/>
                <w:bCs/>
                <w:iCs/>
              </w:rPr>
              <w:t>ENTITY</w:t>
            </w:r>
          </w:p>
        </w:tc>
        <w:tc>
          <w:tcPr>
            <w:tcW w:w="7470" w:type="dxa"/>
            <w:shd w:val="clear" w:color="auto" w:fill="auto"/>
          </w:tcPr>
          <w:p w14:paraId="30AB0A8A" w14:textId="77777777" w:rsidR="00304EC5" w:rsidRPr="001F0F3D" w:rsidRDefault="00304EC5" w:rsidP="005D0549">
            <w:pPr>
              <w:spacing w:after="0" w:line="240" w:lineRule="auto"/>
              <w:rPr>
                <w:b/>
                <w:bCs/>
                <w:iCs/>
              </w:rPr>
            </w:pPr>
            <w:r w:rsidRPr="001F0F3D">
              <w:rPr>
                <w:b/>
                <w:bCs/>
                <w:iCs/>
              </w:rPr>
              <w:t>SHUSA</w:t>
            </w:r>
          </w:p>
        </w:tc>
      </w:tr>
      <w:tr w:rsidR="00304EC5" w:rsidRPr="00206D41" w14:paraId="797140C0" w14:textId="77777777" w:rsidTr="006B6E1C">
        <w:trPr>
          <w:trHeight w:val="270"/>
        </w:trPr>
        <w:tc>
          <w:tcPr>
            <w:tcW w:w="1728" w:type="dxa"/>
            <w:shd w:val="clear" w:color="auto" w:fill="auto"/>
          </w:tcPr>
          <w:p w14:paraId="5F2FE961" w14:textId="5BFB5CDB" w:rsidR="00304EC5" w:rsidRPr="001F0F3D" w:rsidRDefault="00511F11" w:rsidP="005D0549">
            <w:pPr>
              <w:rPr>
                <w:b/>
              </w:rPr>
            </w:pPr>
            <w:r>
              <w:rPr>
                <w:rFonts w:asciiTheme="minorHAnsi" w:hAnsiTheme="minorHAnsi"/>
                <w:b/>
                <w:bCs/>
                <w:iCs/>
              </w:rPr>
              <w:t>METRIC PROVIDER</w:t>
            </w:r>
          </w:p>
        </w:tc>
        <w:tc>
          <w:tcPr>
            <w:tcW w:w="7470" w:type="dxa"/>
            <w:shd w:val="clear" w:color="auto" w:fill="auto"/>
          </w:tcPr>
          <w:p w14:paraId="4C191617" w14:textId="16BC8937" w:rsidR="00304EC5" w:rsidRPr="001F0F3D" w:rsidRDefault="00246276" w:rsidP="005D0549">
            <w:pPr>
              <w:spacing w:after="0" w:line="240" w:lineRule="auto"/>
              <w:rPr>
                <w:b/>
                <w:bCs/>
                <w:iCs/>
              </w:rPr>
            </w:pPr>
            <w:r w:rsidRPr="00246276">
              <w:rPr>
                <w:b/>
                <w:bCs/>
                <w:iCs/>
              </w:rPr>
              <w:t>RAS Function</w:t>
            </w:r>
          </w:p>
        </w:tc>
      </w:tr>
      <w:tr w:rsidR="00C61C3A" w:rsidRPr="00206D41" w14:paraId="39447084" w14:textId="77777777" w:rsidTr="005D0549">
        <w:trPr>
          <w:trHeight w:val="360"/>
        </w:trPr>
        <w:tc>
          <w:tcPr>
            <w:tcW w:w="1728" w:type="dxa"/>
            <w:shd w:val="clear" w:color="auto" w:fill="auto"/>
          </w:tcPr>
          <w:p w14:paraId="26C1FF07" w14:textId="77777777" w:rsidR="00C61C3A" w:rsidRPr="00206D41" w:rsidRDefault="00C61C3A" w:rsidP="005D0549">
            <w:pPr>
              <w:ind w:left="-60"/>
              <w:rPr>
                <w:b/>
                <w:bCs/>
                <w:iCs/>
              </w:rPr>
            </w:pPr>
            <w:r>
              <w:rPr>
                <w:b/>
                <w:bCs/>
                <w:iCs/>
              </w:rPr>
              <w:t>TRIGGER AND LIMIT SETTING</w:t>
            </w:r>
          </w:p>
        </w:tc>
        <w:tc>
          <w:tcPr>
            <w:tcW w:w="7470" w:type="dxa"/>
            <w:shd w:val="clear" w:color="auto" w:fill="auto"/>
          </w:tcPr>
          <w:p w14:paraId="7B616F14" w14:textId="77777777" w:rsidR="00C61C3A" w:rsidRDefault="00C61C3A" w:rsidP="005D0549">
            <w:r w:rsidRPr="00206D41">
              <w:t xml:space="preserve">The metric is calculated </w:t>
            </w:r>
            <w:r>
              <w:t>once</w:t>
            </w:r>
            <w:r w:rsidRPr="00206D41">
              <w:t xml:space="preserve"> a year, to coincide with CCAR full year</w:t>
            </w:r>
            <w:r>
              <w:t>. It is presented as the annualized results of the full CCAR cycle, based on the FRB Adverse scenario:</w:t>
            </w:r>
          </w:p>
          <w:p w14:paraId="63EF53AA" w14:textId="17FE16E9" w:rsidR="00C61C3A" w:rsidRPr="00E2205B" w:rsidRDefault="00DB2B0B" w:rsidP="005D0549">
            <w:pPr>
              <w:jc w:val="center"/>
              <w:rPr>
                <w:sz w:val="24"/>
                <w:szCs w:val="24"/>
              </w:rPr>
            </w:pPr>
            <m:oMath>
              <m:f>
                <m:fPr>
                  <m:ctrlPr>
                    <w:rPr>
                      <w:rFonts w:ascii="Cambria Math" w:hAnsi="Cambria Math"/>
                      <w:i/>
                      <w:sz w:val="24"/>
                      <w:szCs w:val="24"/>
                    </w:rPr>
                  </m:ctrlPr>
                </m:fPr>
                <m:num>
                  <m:r>
                    <w:rPr>
                      <w:rFonts w:ascii="Cambria Math" w:hAnsi="Cambria Math"/>
                      <w:sz w:val="24"/>
                      <w:szCs w:val="24"/>
                    </w:rPr>
                    <m:t>Annualized stressed losses</m:t>
                  </m:r>
                </m:num>
                <m:den>
                  <m:r>
                    <w:rPr>
                      <w:rFonts w:ascii="Cambria Math" w:hAnsi="Cambria Math"/>
                      <w:sz w:val="24"/>
                      <w:szCs w:val="24"/>
                    </w:rPr>
                    <m:t xml:space="preserve">Annualized Profit before Tax </m:t>
                  </m:r>
                  <m:d>
                    <m:dPr>
                      <m:ctrlPr>
                        <w:rPr>
                          <w:rFonts w:ascii="Cambria Math" w:hAnsi="Cambria Math"/>
                          <w:i/>
                          <w:sz w:val="24"/>
                          <w:szCs w:val="24"/>
                        </w:rPr>
                      </m:ctrlPr>
                    </m:dPr>
                    <m:e>
                      <m:r>
                        <w:rPr>
                          <w:rFonts w:ascii="Cambria Math" w:hAnsi="Cambria Math"/>
                          <w:sz w:val="24"/>
                          <w:szCs w:val="24"/>
                        </w:rPr>
                        <m:t>PBT</m:t>
                      </m:r>
                    </m:e>
                  </m:d>
                </m:den>
              </m:f>
            </m:oMath>
            <w:r w:rsidR="00C61C3A" w:rsidRPr="00E2205B">
              <w:rPr>
                <w:sz w:val="24"/>
                <w:szCs w:val="24"/>
              </w:rPr>
              <w:t xml:space="preserve"> </w:t>
            </w:r>
          </w:p>
          <w:p w14:paraId="6F699545" w14:textId="77777777" w:rsidR="00C61C3A" w:rsidRDefault="00C61C3A" w:rsidP="005D0549">
            <w:pPr>
              <w:pStyle w:val="ListParagraph"/>
              <w:numPr>
                <w:ilvl w:val="0"/>
                <w:numId w:val="24"/>
              </w:numPr>
            </w:pPr>
            <w:r>
              <w:t>The amber trigger is set at 100% which is the standard for the Santander Group based on their risk appetite</w:t>
            </w:r>
          </w:p>
          <w:p w14:paraId="40906337" w14:textId="77777777" w:rsidR="00C61C3A" w:rsidRDefault="00C61C3A" w:rsidP="005D0549">
            <w:pPr>
              <w:pStyle w:val="ListParagraph"/>
              <w:numPr>
                <w:ilvl w:val="0"/>
                <w:numId w:val="24"/>
              </w:numPr>
            </w:pPr>
            <w:r>
              <w:t>The red trigger is set based on the outturn of the metric calculation and the current state of the strategic plans.</w:t>
            </w:r>
          </w:p>
          <w:p w14:paraId="7E3B053A" w14:textId="77777777" w:rsidR="00C61C3A" w:rsidRPr="0026766E" w:rsidRDefault="00C61C3A" w:rsidP="005D0549">
            <w:r>
              <w:t>The trigger and limit are reviewed by the Board at the annual setting of the RAS.</w:t>
            </w:r>
          </w:p>
        </w:tc>
      </w:tr>
      <w:tr w:rsidR="00C61C3A" w:rsidRPr="00206D41" w14:paraId="099DB5B9" w14:textId="77777777" w:rsidTr="005D0549">
        <w:trPr>
          <w:trHeight w:val="306"/>
        </w:trPr>
        <w:tc>
          <w:tcPr>
            <w:tcW w:w="1728" w:type="dxa"/>
            <w:shd w:val="clear" w:color="auto" w:fill="auto"/>
          </w:tcPr>
          <w:p w14:paraId="119D47E8" w14:textId="77777777" w:rsidR="00C61C3A" w:rsidRPr="00206D41" w:rsidRDefault="00C61C3A" w:rsidP="005D0549">
            <w:pPr>
              <w:ind w:left="-60"/>
              <w:rPr>
                <w:b/>
                <w:bCs/>
                <w:iCs/>
              </w:rPr>
            </w:pPr>
            <w:r>
              <w:rPr>
                <w:b/>
                <w:bCs/>
                <w:iCs/>
              </w:rPr>
              <w:t xml:space="preserve">TESTING </w:t>
            </w:r>
            <w:r w:rsidRPr="00206D41">
              <w:rPr>
                <w:b/>
                <w:bCs/>
                <w:iCs/>
              </w:rPr>
              <w:t>FREQUENCY</w:t>
            </w:r>
          </w:p>
        </w:tc>
        <w:tc>
          <w:tcPr>
            <w:tcW w:w="7470" w:type="dxa"/>
            <w:shd w:val="clear" w:color="auto" w:fill="auto"/>
          </w:tcPr>
          <w:p w14:paraId="59DC3B7D" w14:textId="77777777" w:rsidR="00C61C3A" w:rsidRDefault="00C61C3A" w:rsidP="005D0549">
            <w:pPr>
              <w:spacing w:after="0" w:line="240" w:lineRule="auto"/>
            </w:pPr>
            <w:r>
              <w:t xml:space="preserve">Annual </w:t>
            </w:r>
          </w:p>
          <w:p w14:paraId="70E30AB1" w14:textId="77777777" w:rsidR="00C61C3A" w:rsidRPr="005372EF" w:rsidRDefault="00C61C3A" w:rsidP="005D0549">
            <w:pPr>
              <w:spacing w:after="0" w:line="240" w:lineRule="auto"/>
            </w:pPr>
            <w:r>
              <w:t>T</w:t>
            </w:r>
            <w:r w:rsidRPr="00ED54CF">
              <w:t xml:space="preserve">he metric </w:t>
            </w:r>
            <w:r>
              <w:t xml:space="preserve">calculation is described in detail in Appendix 1. </w:t>
            </w:r>
          </w:p>
          <w:p w14:paraId="511E11CD" w14:textId="77777777" w:rsidR="00C61C3A" w:rsidRPr="00206D41" w:rsidRDefault="00C61C3A" w:rsidP="005D0549"/>
        </w:tc>
      </w:tr>
      <w:tr w:rsidR="00C61C3A" w:rsidRPr="00206D41" w14:paraId="0C805E37" w14:textId="77777777" w:rsidTr="005D0549">
        <w:trPr>
          <w:trHeight w:val="525"/>
        </w:trPr>
        <w:tc>
          <w:tcPr>
            <w:tcW w:w="1728" w:type="dxa"/>
            <w:shd w:val="clear" w:color="auto" w:fill="auto"/>
          </w:tcPr>
          <w:p w14:paraId="0251424B" w14:textId="77777777" w:rsidR="00C61C3A" w:rsidRPr="00206D41" w:rsidRDefault="00C61C3A" w:rsidP="005D0549">
            <w:pPr>
              <w:rPr>
                <w:b/>
                <w:bCs/>
                <w:iCs/>
              </w:rPr>
            </w:pPr>
            <w:r w:rsidRPr="00206D41">
              <w:rPr>
                <w:b/>
                <w:bCs/>
                <w:iCs/>
              </w:rPr>
              <w:t>SOURCE OF INFORMATION</w:t>
            </w:r>
          </w:p>
        </w:tc>
        <w:tc>
          <w:tcPr>
            <w:tcW w:w="7470" w:type="dxa"/>
            <w:shd w:val="clear" w:color="auto" w:fill="auto"/>
          </w:tcPr>
          <w:p w14:paraId="0268E0AF" w14:textId="77777777" w:rsidR="00C61C3A" w:rsidRPr="00206D41" w:rsidRDefault="00C61C3A" w:rsidP="005D0549">
            <w:pPr>
              <w:spacing w:after="0" w:line="240" w:lineRule="auto"/>
              <w:rPr>
                <w:bCs/>
                <w:iCs/>
              </w:rPr>
            </w:pPr>
            <w:r>
              <w:rPr>
                <w:bCs/>
                <w:iCs/>
              </w:rPr>
              <w:t>Set out in the appendix</w:t>
            </w:r>
          </w:p>
        </w:tc>
      </w:tr>
    </w:tbl>
    <w:p w14:paraId="4595A85A" w14:textId="77777777" w:rsidR="0011687B" w:rsidRDefault="0011687B" w:rsidP="00FC6780">
      <w:pPr>
        <w:pStyle w:val="SANUS2"/>
        <w:rPr>
          <w:color w:val="000000" w:themeColor="text1"/>
        </w:rPr>
      </w:pPr>
    </w:p>
    <w:p w14:paraId="19686714" w14:textId="77777777" w:rsidR="006B1C6C" w:rsidRPr="00E7104B" w:rsidRDefault="006B1C6C" w:rsidP="006B1C6C">
      <w:pPr>
        <w:pStyle w:val="SANUS2"/>
        <w:numPr>
          <w:ilvl w:val="1"/>
          <w:numId w:val="1"/>
        </w:numPr>
        <w:rPr>
          <w:color w:val="000000" w:themeColor="text1"/>
        </w:rPr>
      </w:pPr>
      <w:bookmarkStart w:id="44" w:name="_Toc452544012"/>
      <w:bookmarkStart w:id="45" w:name="_Toc453849280"/>
      <w:r>
        <w:rPr>
          <w:color w:val="000000" w:themeColor="text1"/>
        </w:rPr>
        <w:t>SC Total Risk Weighted Assets (RWAs)</w:t>
      </w:r>
      <w:bookmarkEnd w:id="44"/>
      <w:bookmarkEnd w:id="45"/>
    </w:p>
    <w:tbl>
      <w:tblPr>
        <w:tblpPr w:leftFromText="180" w:rightFromText="180" w:vertAnchor="text" w:tblpX="168" w:tblpY="1"/>
        <w:tblOverlap w:val="never"/>
        <w:tblW w:w="9198"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000" w:firstRow="0" w:lastRow="0" w:firstColumn="0" w:lastColumn="0" w:noHBand="0" w:noVBand="0"/>
      </w:tblPr>
      <w:tblGrid>
        <w:gridCol w:w="1728"/>
        <w:gridCol w:w="7470"/>
      </w:tblGrid>
      <w:tr w:rsidR="006B1C6C" w:rsidRPr="00206D41" w14:paraId="3DD2839D" w14:textId="77777777" w:rsidTr="005D0549">
        <w:trPr>
          <w:trHeight w:val="261"/>
        </w:trPr>
        <w:tc>
          <w:tcPr>
            <w:tcW w:w="1728" w:type="dxa"/>
            <w:shd w:val="clear" w:color="auto" w:fill="auto"/>
          </w:tcPr>
          <w:p w14:paraId="554730B2" w14:textId="77777777" w:rsidR="006B1C6C" w:rsidRPr="00206D41" w:rsidRDefault="006B1C6C" w:rsidP="005D0549">
            <w:pPr>
              <w:rPr>
                <w:b/>
                <w:bCs/>
                <w:iCs/>
              </w:rPr>
            </w:pPr>
            <w:r>
              <w:rPr>
                <w:b/>
                <w:bCs/>
                <w:iCs/>
              </w:rPr>
              <w:t>DEFINITION</w:t>
            </w:r>
          </w:p>
        </w:tc>
        <w:tc>
          <w:tcPr>
            <w:tcW w:w="7470" w:type="dxa"/>
            <w:shd w:val="clear" w:color="auto" w:fill="auto"/>
          </w:tcPr>
          <w:p w14:paraId="2DF8D365" w14:textId="77777777" w:rsidR="006B1C6C" w:rsidRPr="00206D41" w:rsidRDefault="006B1C6C" w:rsidP="005D0549">
            <w:pPr>
              <w:spacing w:after="0" w:line="240" w:lineRule="auto"/>
              <w:rPr>
                <w:bCs/>
                <w:iCs/>
              </w:rPr>
            </w:pPr>
            <w:r w:rsidRPr="006B4051">
              <w:rPr>
                <w:color w:val="000000" w:themeColor="text1"/>
              </w:rPr>
              <w:t>This metric is designed to link SC’s balance sheet size to capital via the CET1 ratio</w:t>
            </w:r>
            <w:r>
              <w:rPr>
                <w:color w:val="000000" w:themeColor="text1"/>
              </w:rPr>
              <w:t xml:space="preserve"> (Common Equity Tier 1).</w:t>
            </w:r>
          </w:p>
        </w:tc>
      </w:tr>
      <w:tr w:rsidR="006B1C6C" w:rsidRPr="00206D41" w14:paraId="472736E1" w14:textId="77777777" w:rsidTr="005D0549">
        <w:trPr>
          <w:cantSplit/>
          <w:trHeight w:val="279"/>
        </w:trPr>
        <w:tc>
          <w:tcPr>
            <w:tcW w:w="1728" w:type="dxa"/>
            <w:shd w:val="clear" w:color="auto" w:fill="auto"/>
          </w:tcPr>
          <w:p w14:paraId="500FE12C" w14:textId="77777777" w:rsidR="006B1C6C" w:rsidRPr="00206D41" w:rsidRDefault="006B1C6C" w:rsidP="005D0549">
            <w:pPr>
              <w:rPr>
                <w:b/>
                <w:bCs/>
                <w:iCs/>
              </w:rPr>
            </w:pPr>
            <w:r>
              <w:rPr>
                <w:b/>
                <w:bCs/>
                <w:iCs/>
              </w:rPr>
              <w:t>RISK TYPE</w:t>
            </w:r>
          </w:p>
        </w:tc>
        <w:tc>
          <w:tcPr>
            <w:tcW w:w="7470" w:type="dxa"/>
            <w:shd w:val="clear" w:color="auto" w:fill="auto"/>
          </w:tcPr>
          <w:p w14:paraId="0C3E253C" w14:textId="77777777" w:rsidR="006B1C6C" w:rsidRPr="00206D41" w:rsidRDefault="003F6792" w:rsidP="005D0549">
            <w:pPr>
              <w:spacing w:after="0" w:line="240" w:lineRule="auto"/>
              <w:rPr>
                <w:bCs/>
                <w:iCs/>
              </w:rPr>
            </w:pPr>
            <w:r>
              <w:rPr>
                <w:bCs/>
                <w:iCs/>
              </w:rPr>
              <w:t>Capital Adequacy</w:t>
            </w:r>
            <w:r w:rsidR="006B1C6C">
              <w:rPr>
                <w:bCs/>
                <w:iCs/>
              </w:rPr>
              <w:t xml:space="preserve"> Risk</w:t>
            </w:r>
          </w:p>
        </w:tc>
      </w:tr>
      <w:tr w:rsidR="006B1C6C" w:rsidRPr="00206D41" w14:paraId="1098CE66" w14:textId="77777777" w:rsidTr="005D0549">
        <w:trPr>
          <w:cantSplit/>
          <w:trHeight w:val="279"/>
        </w:trPr>
        <w:tc>
          <w:tcPr>
            <w:tcW w:w="1728" w:type="dxa"/>
            <w:shd w:val="clear" w:color="auto" w:fill="auto"/>
          </w:tcPr>
          <w:p w14:paraId="46712589" w14:textId="77777777" w:rsidR="006B1C6C" w:rsidRDefault="006B1C6C" w:rsidP="005D0549">
            <w:pPr>
              <w:rPr>
                <w:b/>
                <w:bCs/>
                <w:iCs/>
              </w:rPr>
            </w:pPr>
            <w:r>
              <w:rPr>
                <w:b/>
                <w:bCs/>
                <w:iCs/>
              </w:rPr>
              <w:t>RATIONALE</w:t>
            </w:r>
          </w:p>
        </w:tc>
        <w:tc>
          <w:tcPr>
            <w:tcW w:w="7470" w:type="dxa"/>
            <w:shd w:val="clear" w:color="auto" w:fill="auto"/>
          </w:tcPr>
          <w:p w14:paraId="5F63BEBA" w14:textId="1A6000A4" w:rsidR="006B1C6C" w:rsidRDefault="00B920AA" w:rsidP="005D0549">
            <w:pPr>
              <w:spacing w:after="0" w:line="240" w:lineRule="auto"/>
              <w:rPr>
                <w:bCs/>
                <w:iCs/>
              </w:rPr>
            </w:pPr>
            <w:r w:rsidRPr="006B4051">
              <w:rPr>
                <w:color w:val="000000" w:themeColor="text1"/>
              </w:rPr>
              <w:t>This metric is designed to link SC’s balance sheet size to capital via the CET1 ratio</w:t>
            </w:r>
            <w:r>
              <w:rPr>
                <w:color w:val="000000" w:themeColor="text1"/>
              </w:rPr>
              <w:t xml:space="preserve"> (Common Equity Tier 1).</w:t>
            </w:r>
          </w:p>
        </w:tc>
      </w:tr>
      <w:tr w:rsidR="00B920AA" w:rsidRPr="00206D41" w14:paraId="49541438" w14:textId="77777777" w:rsidTr="00D675A0">
        <w:trPr>
          <w:trHeight w:val="270"/>
        </w:trPr>
        <w:tc>
          <w:tcPr>
            <w:tcW w:w="1728" w:type="dxa"/>
            <w:shd w:val="clear" w:color="auto" w:fill="auto"/>
          </w:tcPr>
          <w:p w14:paraId="5132D6F3" w14:textId="77777777" w:rsidR="00B920AA" w:rsidRPr="00206D41" w:rsidRDefault="00B920AA" w:rsidP="00304EC5">
            <w:pPr>
              <w:rPr>
                <w:b/>
                <w:bCs/>
                <w:iCs/>
              </w:rPr>
            </w:pPr>
            <w:r>
              <w:rPr>
                <w:b/>
                <w:bCs/>
                <w:iCs/>
              </w:rPr>
              <w:t>ENTITY</w:t>
            </w:r>
          </w:p>
        </w:tc>
        <w:tc>
          <w:tcPr>
            <w:tcW w:w="7470" w:type="dxa"/>
            <w:shd w:val="clear" w:color="auto" w:fill="auto"/>
          </w:tcPr>
          <w:p w14:paraId="41DCA934" w14:textId="4A73FC45" w:rsidR="00B920AA" w:rsidRPr="00B10D1A" w:rsidRDefault="00B920AA" w:rsidP="00B920AA">
            <w:pPr>
              <w:spacing w:after="0" w:line="240" w:lineRule="auto"/>
              <w:rPr>
                <w:b/>
                <w:bCs/>
                <w:iCs/>
              </w:rPr>
            </w:pPr>
            <w:r w:rsidRPr="00B10D1A">
              <w:rPr>
                <w:b/>
                <w:bCs/>
                <w:iCs/>
              </w:rPr>
              <w:t>SC</w:t>
            </w:r>
          </w:p>
        </w:tc>
      </w:tr>
      <w:tr w:rsidR="00511F11" w:rsidRPr="00206D41" w14:paraId="7E93E1F1" w14:textId="77777777" w:rsidTr="007079FF">
        <w:trPr>
          <w:trHeight w:val="270"/>
        </w:trPr>
        <w:tc>
          <w:tcPr>
            <w:tcW w:w="1728" w:type="dxa"/>
            <w:shd w:val="clear" w:color="auto" w:fill="auto"/>
          </w:tcPr>
          <w:p w14:paraId="2754E208" w14:textId="32312C28" w:rsidR="00511F11" w:rsidRPr="00206D41" w:rsidRDefault="00511F11" w:rsidP="00304EC5">
            <w:pPr>
              <w:rPr>
                <w:b/>
                <w:bCs/>
                <w:iCs/>
              </w:rPr>
            </w:pPr>
            <w:r>
              <w:rPr>
                <w:rFonts w:asciiTheme="minorHAnsi" w:hAnsiTheme="minorHAnsi"/>
                <w:b/>
                <w:bCs/>
                <w:iCs/>
              </w:rPr>
              <w:t>METRIC PROVIDER</w:t>
            </w:r>
          </w:p>
        </w:tc>
        <w:tc>
          <w:tcPr>
            <w:tcW w:w="7470" w:type="dxa"/>
            <w:shd w:val="clear" w:color="auto" w:fill="auto"/>
          </w:tcPr>
          <w:p w14:paraId="2D5A5C4E" w14:textId="7DE561C6" w:rsidR="00511F11" w:rsidRPr="00B10D1A" w:rsidRDefault="00511F11" w:rsidP="00511F11">
            <w:pPr>
              <w:spacing w:after="0" w:line="240" w:lineRule="auto"/>
              <w:rPr>
                <w:b/>
                <w:bCs/>
                <w:iCs/>
              </w:rPr>
            </w:pPr>
            <w:r w:rsidRPr="00B10D1A">
              <w:rPr>
                <w:b/>
                <w:bCs/>
                <w:iCs/>
              </w:rPr>
              <w:t>SC</w:t>
            </w:r>
            <w:r>
              <w:rPr>
                <w:b/>
                <w:bCs/>
                <w:iCs/>
              </w:rPr>
              <w:t xml:space="preserve"> COO </w:t>
            </w:r>
          </w:p>
        </w:tc>
      </w:tr>
      <w:tr w:rsidR="00304EC5" w:rsidRPr="00206D41" w14:paraId="3AC58184" w14:textId="77777777" w:rsidTr="005D0549">
        <w:trPr>
          <w:trHeight w:val="360"/>
        </w:trPr>
        <w:tc>
          <w:tcPr>
            <w:tcW w:w="1728" w:type="dxa"/>
            <w:shd w:val="clear" w:color="auto" w:fill="auto"/>
          </w:tcPr>
          <w:p w14:paraId="18DB5801" w14:textId="77777777" w:rsidR="00304EC5" w:rsidRPr="00206D41" w:rsidRDefault="00304EC5" w:rsidP="00304EC5">
            <w:pPr>
              <w:rPr>
                <w:b/>
                <w:bCs/>
                <w:iCs/>
              </w:rPr>
            </w:pPr>
            <w:r w:rsidRPr="006B4051">
              <w:rPr>
                <w:b/>
                <w:bCs/>
                <w:iCs/>
              </w:rPr>
              <w:t>TRIGGER AND LIMIT SETTING</w:t>
            </w:r>
          </w:p>
        </w:tc>
        <w:tc>
          <w:tcPr>
            <w:tcW w:w="7470" w:type="dxa"/>
            <w:shd w:val="clear" w:color="auto" w:fill="auto"/>
          </w:tcPr>
          <w:p w14:paraId="31CBD8CF" w14:textId="77777777" w:rsidR="00304EC5" w:rsidRDefault="00304EC5" w:rsidP="00304EC5">
            <w:pPr>
              <w:pStyle w:val="ListParagraph"/>
              <w:numPr>
                <w:ilvl w:val="0"/>
                <w:numId w:val="31"/>
              </w:numPr>
              <w:rPr>
                <w:iCs/>
              </w:rPr>
            </w:pPr>
            <w:r w:rsidRPr="004A0506">
              <w:rPr>
                <w:iCs/>
              </w:rPr>
              <w:t>The trigger is set at $2BN less than the</w:t>
            </w:r>
            <w:r>
              <w:rPr>
                <w:iCs/>
              </w:rPr>
              <w:t xml:space="preserve"> red</w:t>
            </w:r>
            <w:r w:rsidRPr="004A0506">
              <w:rPr>
                <w:iCs/>
              </w:rPr>
              <w:t xml:space="preserve"> limit</w:t>
            </w:r>
            <w:r>
              <w:rPr>
                <w:iCs/>
              </w:rPr>
              <w:t xml:space="preserve"> (see below)</w:t>
            </w:r>
            <w:r w:rsidRPr="004A0506">
              <w:rPr>
                <w:iCs/>
              </w:rPr>
              <w:t xml:space="preserve"> as it equates to approximately 2 months of net originations by SC</w:t>
            </w:r>
            <w:r>
              <w:rPr>
                <w:iCs/>
              </w:rPr>
              <w:t xml:space="preserve">. </w:t>
            </w:r>
            <w:r w:rsidRPr="004A0506">
              <w:rPr>
                <w:iCs/>
              </w:rPr>
              <w:t xml:space="preserve"> This buffer was deemed sufficient by management to enable management actions should the forecast CET1 ratio not be aligned with a level of 11</w:t>
            </w:r>
            <w:r>
              <w:rPr>
                <w:iCs/>
              </w:rPr>
              <w:t>%.</w:t>
            </w:r>
          </w:p>
          <w:p w14:paraId="74494ABF" w14:textId="77777777" w:rsidR="00304EC5" w:rsidRPr="004A0506" w:rsidRDefault="00304EC5" w:rsidP="00304EC5">
            <w:pPr>
              <w:pStyle w:val="ListParagraph"/>
              <w:numPr>
                <w:ilvl w:val="0"/>
                <w:numId w:val="31"/>
              </w:numPr>
              <w:rPr>
                <w:iCs/>
              </w:rPr>
            </w:pPr>
            <w:r w:rsidRPr="004A0506">
              <w:rPr>
                <w:iCs/>
              </w:rPr>
              <w:t xml:space="preserve">The absolute $ limit will be set monthly, and will reflect the total RWAs that SC should have in the following month in order to meet a CET1 ratio of 11% based on the previous month’s closing CET1 levels. </w:t>
            </w:r>
          </w:p>
        </w:tc>
      </w:tr>
      <w:tr w:rsidR="00304EC5" w:rsidRPr="00206D41" w14:paraId="5FF3FDBA" w14:textId="77777777" w:rsidTr="005D0549">
        <w:trPr>
          <w:trHeight w:val="306"/>
        </w:trPr>
        <w:tc>
          <w:tcPr>
            <w:tcW w:w="1728" w:type="dxa"/>
            <w:shd w:val="clear" w:color="auto" w:fill="auto"/>
          </w:tcPr>
          <w:p w14:paraId="46066FCE" w14:textId="77777777" w:rsidR="00304EC5" w:rsidRPr="00206D41" w:rsidRDefault="00304EC5" w:rsidP="00304EC5">
            <w:pPr>
              <w:rPr>
                <w:b/>
                <w:bCs/>
                <w:iCs/>
              </w:rPr>
            </w:pPr>
            <w:r>
              <w:rPr>
                <w:b/>
                <w:bCs/>
                <w:iCs/>
              </w:rPr>
              <w:t xml:space="preserve">TESTING </w:t>
            </w:r>
            <w:r w:rsidRPr="00206D41">
              <w:rPr>
                <w:b/>
                <w:bCs/>
                <w:iCs/>
              </w:rPr>
              <w:t>FREQUENCY</w:t>
            </w:r>
          </w:p>
        </w:tc>
        <w:tc>
          <w:tcPr>
            <w:tcW w:w="7470" w:type="dxa"/>
            <w:shd w:val="clear" w:color="auto" w:fill="auto"/>
          </w:tcPr>
          <w:p w14:paraId="7FFC1D48" w14:textId="77777777" w:rsidR="00304EC5" w:rsidRDefault="00304EC5" w:rsidP="00304EC5">
            <w:pPr>
              <w:rPr>
                <w:iCs/>
              </w:rPr>
            </w:pPr>
            <w:r w:rsidRPr="00206D41">
              <w:t>Monthly</w:t>
            </w:r>
            <w:r>
              <w:rPr>
                <w:iCs/>
              </w:rPr>
              <w:t xml:space="preserve"> </w:t>
            </w:r>
          </w:p>
          <w:p w14:paraId="2DB4B385" w14:textId="02A1FD74" w:rsidR="00A25C40" w:rsidRPr="00051512" w:rsidRDefault="00DB2B0B" w:rsidP="00304EC5">
            <w:pPr>
              <w:spacing w:after="0" w:line="240" w:lineRule="auto"/>
              <w:rPr>
                <w:iCs/>
              </w:rPr>
            </w:pPr>
            <m:oMathPara>
              <m:oMath>
                <m:f>
                  <m:fPr>
                    <m:ctrlPr>
                      <w:rPr>
                        <w:rFonts w:ascii="Cambria Math" w:hAnsi="Cambria Math"/>
                        <w:i/>
                        <w:iCs/>
                      </w:rPr>
                    </m:ctrlPr>
                  </m:fPr>
                  <m:num>
                    <m:r>
                      <w:rPr>
                        <w:rFonts w:ascii="Cambria Math" w:hAnsi="Cambria Math"/>
                      </w:rPr>
                      <m:t>Last Month CET 1 Capital</m:t>
                    </m:r>
                  </m:num>
                  <m:den>
                    <m:r>
                      <w:rPr>
                        <w:rFonts w:ascii="Cambria Math" w:hAnsi="Cambria Math"/>
                      </w:rPr>
                      <m:t>11%</m:t>
                    </m:r>
                  </m:den>
                </m:f>
                <m:r>
                  <w:rPr>
                    <w:rFonts w:ascii="Cambria Math" w:hAnsi="Cambria Math"/>
                  </w:rPr>
                  <m:t>=Current Red Limit for RWA</m:t>
                </m:r>
              </m:oMath>
            </m:oMathPara>
          </w:p>
          <w:p w14:paraId="01E01D81" w14:textId="77777777" w:rsidR="00304EC5" w:rsidRPr="00EE6BEE" w:rsidRDefault="00304EC5" w:rsidP="00304EC5">
            <w:pPr>
              <w:spacing w:after="0" w:line="240" w:lineRule="auto"/>
              <w:rPr>
                <w:bCs/>
                <w:iCs/>
              </w:rPr>
            </w:pPr>
          </w:p>
          <w:p w14:paraId="0DD88F8B" w14:textId="77777777" w:rsidR="00304EC5" w:rsidRPr="00EE6BEE" w:rsidRDefault="00304EC5" w:rsidP="00304EC5">
            <w:pPr>
              <w:spacing w:after="0" w:line="240" w:lineRule="auto"/>
              <w:rPr>
                <w:bCs/>
                <w:iCs/>
              </w:rPr>
            </w:pPr>
            <w:r w:rsidRPr="00EE6BEE">
              <w:rPr>
                <w:bCs/>
                <w:iCs/>
              </w:rPr>
              <w:t>Calculation:</w:t>
            </w:r>
          </w:p>
          <w:p w14:paraId="48078B62" w14:textId="4903E300" w:rsidR="00304EC5" w:rsidRPr="00EE6BEE" w:rsidRDefault="00304EC5" w:rsidP="00304EC5">
            <w:pPr>
              <w:spacing w:after="0" w:line="240" w:lineRule="auto"/>
              <w:rPr>
                <w:bCs/>
                <w:iCs/>
              </w:rPr>
            </w:pPr>
            <w:r w:rsidRPr="00EE6BEE">
              <w:rPr>
                <w:bCs/>
                <w:iCs/>
              </w:rPr>
              <w:t>Risk-weighted assets before deductions for excess allowance of loan and lease losses and allocated transfer risk reserve less Excess allowance for loan and lease losses less Allocated transfer risk reserve</w:t>
            </w:r>
            <w:r w:rsidR="00B920AA">
              <w:rPr>
                <w:bCs/>
                <w:iCs/>
              </w:rPr>
              <w:t xml:space="preserve">. </w:t>
            </w:r>
          </w:p>
          <w:p w14:paraId="647B0ECF" w14:textId="77777777" w:rsidR="00304EC5" w:rsidRPr="00EE6BEE" w:rsidRDefault="00304EC5" w:rsidP="00304EC5">
            <w:pPr>
              <w:spacing w:after="0" w:line="240" w:lineRule="auto"/>
              <w:rPr>
                <w:bCs/>
                <w:iCs/>
              </w:rPr>
            </w:pPr>
            <w:r w:rsidRPr="00EE6BEE">
              <w:rPr>
                <w:bCs/>
                <w:iCs/>
              </w:rPr>
              <w:t>Risk Weights Applicable to SC: 0% Cash, 20% cash in collection, 100% loans/ intangibles, 150% exposures past 90 days or on nonaccrual</w:t>
            </w:r>
          </w:p>
        </w:tc>
      </w:tr>
      <w:tr w:rsidR="00304EC5" w:rsidRPr="00206D41" w14:paraId="3B332C51" w14:textId="77777777" w:rsidTr="00B920AA">
        <w:trPr>
          <w:trHeight w:val="653"/>
        </w:trPr>
        <w:tc>
          <w:tcPr>
            <w:tcW w:w="1728" w:type="dxa"/>
            <w:shd w:val="clear" w:color="auto" w:fill="auto"/>
          </w:tcPr>
          <w:p w14:paraId="2E59C34E" w14:textId="77777777" w:rsidR="00304EC5" w:rsidRPr="00206D41" w:rsidRDefault="00304EC5" w:rsidP="00304EC5">
            <w:pPr>
              <w:rPr>
                <w:b/>
                <w:bCs/>
                <w:iCs/>
              </w:rPr>
            </w:pPr>
            <w:r w:rsidRPr="00206D41">
              <w:rPr>
                <w:b/>
                <w:bCs/>
                <w:iCs/>
              </w:rPr>
              <w:t>SOURCE OF INFORMATION</w:t>
            </w:r>
          </w:p>
        </w:tc>
        <w:tc>
          <w:tcPr>
            <w:tcW w:w="7470" w:type="dxa"/>
            <w:shd w:val="clear" w:color="auto" w:fill="auto"/>
          </w:tcPr>
          <w:p w14:paraId="44A64F0B" w14:textId="2675E57A" w:rsidR="00304EC5" w:rsidRPr="00051512" w:rsidRDefault="00511F11" w:rsidP="00051512">
            <w:pPr>
              <w:pStyle w:val="CommentText"/>
            </w:pPr>
            <w:r>
              <w:t xml:space="preserve">The metric is owned by the COO. </w:t>
            </w:r>
            <w:r w:rsidR="00051512">
              <w:t>External Reporting calculates and reports RWA in the excel file, “</w:t>
            </w:r>
            <w:r w:rsidR="00051512" w:rsidRPr="00AD7D38">
              <w:t>FR Y 9C SCH HC-R</w:t>
            </w:r>
            <w:r w:rsidR="00051512">
              <w:t>”.</w:t>
            </w:r>
          </w:p>
        </w:tc>
      </w:tr>
    </w:tbl>
    <w:p w14:paraId="3537F8AB" w14:textId="77777777" w:rsidR="00C72D48" w:rsidRDefault="00C72D48" w:rsidP="00BD3C7C">
      <w:pPr>
        <w:pStyle w:val="SANUS2"/>
        <w:rPr>
          <w:color w:val="000000" w:themeColor="text1"/>
        </w:rPr>
      </w:pPr>
    </w:p>
    <w:p w14:paraId="13F149B9" w14:textId="77777777" w:rsidR="00511F11" w:rsidRDefault="00511F11" w:rsidP="00BD3C7C">
      <w:pPr>
        <w:pStyle w:val="SANUS2"/>
        <w:rPr>
          <w:color w:val="000000" w:themeColor="text1"/>
        </w:rPr>
      </w:pPr>
    </w:p>
    <w:p w14:paraId="2AA5EDDD" w14:textId="77777777" w:rsidR="00511F11" w:rsidRDefault="00511F11" w:rsidP="00BD3C7C">
      <w:pPr>
        <w:pStyle w:val="SANUS2"/>
        <w:rPr>
          <w:color w:val="000000" w:themeColor="text1"/>
        </w:rPr>
      </w:pPr>
    </w:p>
    <w:p w14:paraId="3AA2FED8" w14:textId="77777777" w:rsidR="00511F11" w:rsidRDefault="00511F11" w:rsidP="00BD3C7C">
      <w:pPr>
        <w:pStyle w:val="SANUS2"/>
        <w:rPr>
          <w:color w:val="000000" w:themeColor="text1"/>
        </w:rPr>
      </w:pPr>
    </w:p>
    <w:p w14:paraId="1A1769DB" w14:textId="77777777" w:rsidR="00511F11" w:rsidRDefault="00511F11" w:rsidP="00BD3C7C">
      <w:pPr>
        <w:pStyle w:val="SANUS2"/>
        <w:rPr>
          <w:color w:val="000000" w:themeColor="text1"/>
        </w:rPr>
      </w:pPr>
    </w:p>
    <w:p w14:paraId="0F44B1AE" w14:textId="77777777" w:rsidR="00511F11" w:rsidRDefault="00511F11" w:rsidP="00BD3C7C">
      <w:pPr>
        <w:pStyle w:val="SANUS2"/>
        <w:rPr>
          <w:color w:val="000000" w:themeColor="text1"/>
        </w:rPr>
      </w:pPr>
    </w:p>
    <w:p w14:paraId="59611FC0" w14:textId="77777777" w:rsidR="00511F11" w:rsidRDefault="00511F11" w:rsidP="00BD3C7C">
      <w:pPr>
        <w:pStyle w:val="SANUS2"/>
        <w:rPr>
          <w:color w:val="000000" w:themeColor="text1"/>
        </w:rPr>
      </w:pPr>
    </w:p>
    <w:p w14:paraId="7E0BE3C9" w14:textId="77777777" w:rsidR="00511F11" w:rsidRDefault="00511F11" w:rsidP="00BD3C7C">
      <w:pPr>
        <w:pStyle w:val="SANUS2"/>
        <w:rPr>
          <w:color w:val="000000" w:themeColor="text1"/>
        </w:rPr>
      </w:pPr>
    </w:p>
    <w:p w14:paraId="292E8A76" w14:textId="77777777" w:rsidR="00511F11" w:rsidRDefault="00511F11" w:rsidP="00BD3C7C">
      <w:pPr>
        <w:pStyle w:val="SANUS2"/>
        <w:rPr>
          <w:color w:val="000000" w:themeColor="text1"/>
        </w:rPr>
      </w:pPr>
    </w:p>
    <w:p w14:paraId="79828ED4" w14:textId="77777777" w:rsidR="00511F11" w:rsidRDefault="00511F11" w:rsidP="00BD3C7C">
      <w:pPr>
        <w:pStyle w:val="SANUS2"/>
        <w:rPr>
          <w:color w:val="000000" w:themeColor="text1"/>
        </w:rPr>
      </w:pPr>
    </w:p>
    <w:p w14:paraId="20AE638A" w14:textId="77777777" w:rsidR="00511F11" w:rsidRDefault="00511F11" w:rsidP="00BD3C7C">
      <w:pPr>
        <w:pStyle w:val="SANUS2"/>
        <w:rPr>
          <w:color w:val="000000" w:themeColor="text1"/>
        </w:rPr>
      </w:pPr>
    </w:p>
    <w:p w14:paraId="5D2D56CF" w14:textId="77777777" w:rsidR="00511F11" w:rsidRDefault="00511F11" w:rsidP="00BD3C7C">
      <w:pPr>
        <w:pStyle w:val="SANUS2"/>
        <w:rPr>
          <w:color w:val="000000" w:themeColor="text1"/>
        </w:rPr>
      </w:pPr>
    </w:p>
    <w:p w14:paraId="2F682D73" w14:textId="77777777" w:rsidR="00511F11" w:rsidRDefault="00511F11" w:rsidP="00BD3C7C">
      <w:pPr>
        <w:pStyle w:val="SANUS2"/>
        <w:rPr>
          <w:color w:val="000000" w:themeColor="text1"/>
        </w:rPr>
      </w:pPr>
    </w:p>
    <w:p w14:paraId="4AA45DFB" w14:textId="77777777" w:rsidR="00511F11" w:rsidRDefault="00511F11" w:rsidP="00BD3C7C">
      <w:pPr>
        <w:pStyle w:val="SANUS2"/>
        <w:rPr>
          <w:color w:val="000000" w:themeColor="text1"/>
        </w:rPr>
      </w:pPr>
    </w:p>
    <w:p w14:paraId="1EB651C8" w14:textId="77777777" w:rsidR="00511F11" w:rsidRDefault="00511F11" w:rsidP="00BD3C7C">
      <w:pPr>
        <w:pStyle w:val="SANUS2"/>
        <w:rPr>
          <w:color w:val="000000" w:themeColor="text1"/>
        </w:rPr>
      </w:pPr>
    </w:p>
    <w:p w14:paraId="536C3933" w14:textId="77777777" w:rsidR="00511F11" w:rsidRDefault="00511F11" w:rsidP="00BD3C7C">
      <w:pPr>
        <w:pStyle w:val="SANUS2"/>
        <w:rPr>
          <w:color w:val="000000" w:themeColor="text1"/>
        </w:rPr>
      </w:pPr>
    </w:p>
    <w:p w14:paraId="79DB47AB" w14:textId="77777777" w:rsidR="00511F11" w:rsidRDefault="00511F11" w:rsidP="00BD3C7C">
      <w:pPr>
        <w:pStyle w:val="SANUS2"/>
        <w:rPr>
          <w:color w:val="000000" w:themeColor="text1"/>
        </w:rPr>
      </w:pPr>
    </w:p>
    <w:p w14:paraId="6C596BC5" w14:textId="77777777" w:rsidR="00511F11" w:rsidRDefault="00511F11" w:rsidP="00BD3C7C">
      <w:pPr>
        <w:pStyle w:val="SANUS2"/>
        <w:rPr>
          <w:color w:val="000000" w:themeColor="text1"/>
        </w:rPr>
      </w:pPr>
    </w:p>
    <w:p w14:paraId="3D886020" w14:textId="77777777" w:rsidR="00511F11" w:rsidRDefault="00511F11" w:rsidP="00BD3C7C">
      <w:pPr>
        <w:pStyle w:val="SANUS2"/>
        <w:rPr>
          <w:color w:val="000000" w:themeColor="text1"/>
        </w:rPr>
      </w:pPr>
    </w:p>
    <w:p w14:paraId="33DC7355" w14:textId="77777777" w:rsidR="00511F11" w:rsidRDefault="00511F11" w:rsidP="00BD3C7C">
      <w:pPr>
        <w:pStyle w:val="SANUS2"/>
        <w:rPr>
          <w:color w:val="000000" w:themeColor="text1"/>
        </w:rPr>
      </w:pPr>
    </w:p>
    <w:p w14:paraId="2B415733" w14:textId="77777777" w:rsidR="00511F11" w:rsidRDefault="00511F11" w:rsidP="00BD3C7C">
      <w:pPr>
        <w:pStyle w:val="SANUS2"/>
        <w:rPr>
          <w:color w:val="000000" w:themeColor="text1"/>
        </w:rPr>
      </w:pPr>
    </w:p>
    <w:p w14:paraId="3F4B7869" w14:textId="77777777" w:rsidR="00E74288" w:rsidRDefault="00A43D45" w:rsidP="00E74288">
      <w:pPr>
        <w:pStyle w:val="SANUS1"/>
        <w:numPr>
          <w:ilvl w:val="0"/>
          <w:numId w:val="1"/>
        </w:numPr>
      </w:pPr>
      <w:bookmarkStart w:id="46" w:name="_Toc452541367"/>
      <w:bookmarkStart w:id="47" w:name="_Toc452543442"/>
      <w:bookmarkStart w:id="48" w:name="_Toc452544013"/>
      <w:bookmarkStart w:id="49" w:name="_Toc452544588"/>
      <w:bookmarkStart w:id="50" w:name="_Toc452650863"/>
      <w:bookmarkStart w:id="51" w:name="_Toc452541379"/>
      <w:bookmarkStart w:id="52" w:name="_Toc452543454"/>
      <w:bookmarkStart w:id="53" w:name="_Toc452544025"/>
      <w:bookmarkStart w:id="54" w:name="_Toc452544600"/>
      <w:bookmarkStart w:id="55" w:name="_Toc452650875"/>
      <w:bookmarkStart w:id="56" w:name="_Toc452541389"/>
      <w:bookmarkStart w:id="57" w:name="_Toc452543464"/>
      <w:bookmarkStart w:id="58" w:name="_Toc452544035"/>
      <w:bookmarkStart w:id="59" w:name="_Toc452544610"/>
      <w:bookmarkStart w:id="60" w:name="_Toc452650885"/>
      <w:bookmarkStart w:id="61" w:name="_Toc452544062"/>
      <w:bookmarkStart w:id="62" w:name="_Toc453849281"/>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r>
        <w:t>Credit risk metrics</w:t>
      </w:r>
      <w:bookmarkEnd w:id="61"/>
      <w:bookmarkEnd w:id="62"/>
    </w:p>
    <w:p w14:paraId="4D572823" w14:textId="27B6C777" w:rsidR="003D4697" w:rsidRPr="00090B3E" w:rsidRDefault="004B468D" w:rsidP="003D4697">
      <w:pPr>
        <w:pStyle w:val="SANUS2"/>
        <w:numPr>
          <w:ilvl w:val="1"/>
          <w:numId w:val="1"/>
        </w:numPr>
        <w:tabs>
          <w:tab w:val="num" w:pos="540"/>
        </w:tabs>
        <w:ind w:left="567" w:hanging="567"/>
        <w:rPr>
          <w:color w:val="000000" w:themeColor="text1"/>
        </w:rPr>
      </w:pPr>
      <w:bookmarkStart w:id="63" w:name="_Toc452541417"/>
      <w:bookmarkStart w:id="64" w:name="_Toc452543492"/>
      <w:bookmarkStart w:id="65" w:name="_Toc452544063"/>
      <w:bookmarkStart w:id="66" w:name="_Toc452544638"/>
      <w:bookmarkStart w:id="67" w:name="_Toc452650913"/>
      <w:bookmarkStart w:id="68" w:name="_Toc452541437"/>
      <w:bookmarkStart w:id="69" w:name="_Toc452543512"/>
      <w:bookmarkStart w:id="70" w:name="_Toc452544083"/>
      <w:bookmarkStart w:id="71" w:name="_Toc452544658"/>
      <w:bookmarkStart w:id="72" w:name="_Toc452650933"/>
      <w:bookmarkStart w:id="73" w:name="_Toc452541447"/>
      <w:bookmarkStart w:id="74" w:name="_Toc452543522"/>
      <w:bookmarkStart w:id="75" w:name="_Toc452544093"/>
      <w:bookmarkStart w:id="76" w:name="_Toc452544668"/>
      <w:bookmarkStart w:id="77" w:name="_Toc452650943"/>
      <w:bookmarkStart w:id="78" w:name="_Toc45384928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r>
        <w:rPr>
          <w:color w:val="000000" w:themeColor="text1"/>
        </w:rPr>
        <w:t>Total Credit Losses (CCAR 9Q)</w:t>
      </w:r>
      <w:bookmarkEnd w:id="78"/>
      <w:r>
        <w:rPr>
          <w:color w:val="000000" w:themeColor="text1"/>
        </w:rPr>
        <w:t xml:space="preserve"> </w:t>
      </w:r>
    </w:p>
    <w:tbl>
      <w:tblPr>
        <w:tblpPr w:leftFromText="180" w:rightFromText="180" w:vertAnchor="text" w:tblpX="168" w:tblpY="1"/>
        <w:tblOverlap w:val="never"/>
        <w:tblW w:w="9198"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000" w:firstRow="0" w:lastRow="0" w:firstColumn="0" w:lastColumn="0" w:noHBand="0" w:noVBand="0"/>
      </w:tblPr>
      <w:tblGrid>
        <w:gridCol w:w="1728"/>
        <w:gridCol w:w="7470"/>
      </w:tblGrid>
      <w:tr w:rsidR="003D4697" w:rsidRPr="00206D41" w14:paraId="48542607" w14:textId="77777777" w:rsidTr="00CF3BE1">
        <w:trPr>
          <w:trHeight w:val="462"/>
        </w:trPr>
        <w:tc>
          <w:tcPr>
            <w:tcW w:w="1728" w:type="dxa"/>
            <w:shd w:val="clear" w:color="auto" w:fill="auto"/>
          </w:tcPr>
          <w:p w14:paraId="23ABB84F" w14:textId="77777777" w:rsidR="003D4697" w:rsidRPr="00206D41" w:rsidRDefault="003D4697" w:rsidP="00CF3BE1">
            <w:pPr>
              <w:rPr>
                <w:b/>
                <w:bCs/>
                <w:iCs/>
              </w:rPr>
            </w:pPr>
            <w:r>
              <w:rPr>
                <w:b/>
                <w:bCs/>
                <w:iCs/>
              </w:rPr>
              <w:t>DEFINITION</w:t>
            </w:r>
          </w:p>
        </w:tc>
        <w:tc>
          <w:tcPr>
            <w:tcW w:w="7470" w:type="dxa"/>
            <w:shd w:val="clear" w:color="auto" w:fill="auto"/>
          </w:tcPr>
          <w:p w14:paraId="0DCA7044" w14:textId="77777777" w:rsidR="003D4697" w:rsidRDefault="003D4697" w:rsidP="00CF3BE1">
            <w:pPr>
              <w:spacing w:after="0" w:line="240" w:lineRule="auto"/>
              <w:rPr>
                <w:bCs/>
                <w:iCs/>
              </w:rPr>
            </w:pPr>
            <w:r w:rsidRPr="00BA2396">
              <w:rPr>
                <w:bCs/>
                <w:iCs/>
              </w:rPr>
              <w:t>SHUSA’s</w:t>
            </w:r>
            <w:r>
              <w:rPr>
                <w:bCs/>
                <w:iCs/>
              </w:rPr>
              <w:t xml:space="preserve"> </w:t>
            </w:r>
            <w:r w:rsidRPr="00BA2396">
              <w:rPr>
                <w:bCs/>
                <w:iCs/>
              </w:rPr>
              <w:t xml:space="preserve">9Q </w:t>
            </w:r>
            <w:r>
              <w:rPr>
                <w:bCs/>
                <w:iCs/>
              </w:rPr>
              <w:t xml:space="preserve">stressed </w:t>
            </w:r>
            <w:r w:rsidRPr="00BA2396">
              <w:rPr>
                <w:bCs/>
                <w:iCs/>
              </w:rPr>
              <w:t>cumulative</w:t>
            </w:r>
            <w:r>
              <w:rPr>
                <w:bCs/>
                <w:iCs/>
              </w:rPr>
              <w:t xml:space="preserve"> credit</w:t>
            </w:r>
            <w:r w:rsidRPr="00BA2396">
              <w:rPr>
                <w:bCs/>
                <w:iCs/>
              </w:rPr>
              <w:t xml:space="preserve"> losses</w:t>
            </w:r>
            <w:r>
              <w:rPr>
                <w:bCs/>
                <w:iCs/>
              </w:rPr>
              <w:t xml:space="preserve"> and any available capital surplus </w:t>
            </w:r>
            <w:r w:rsidRPr="00BA2396">
              <w:rPr>
                <w:bCs/>
                <w:iCs/>
              </w:rPr>
              <w:t>under the CCAR BHC Stress scenario</w:t>
            </w:r>
            <w:r>
              <w:rPr>
                <w:bCs/>
                <w:iCs/>
              </w:rPr>
              <w:t xml:space="preserve"> are allocated by material portfolio</w:t>
            </w:r>
            <w:r w:rsidR="00C2625C">
              <w:rPr>
                <w:bCs/>
                <w:iCs/>
              </w:rPr>
              <w:t xml:space="preserve">, </w:t>
            </w:r>
            <w:proofErr w:type="gramStart"/>
            <w:r w:rsidR="00C2625C">
              <w:rPr>
                <w:bCs/>
                <w:iCs/>
              </w:rPr>
              <w:t>then</w:t>
            </w:r>
            <w:proofErr w:type="gramEnd"/>
            <w:r w:rsidR="00C2625C">
              <w:rPr>
                <w:bCs/>
                <w:iCs/>
              </w:rPr>
              <w:t xml:space="preserve"> aggregated to the entity level for the SHUSA RAS</w:t>
            </w:r>
            <w:r>
              <w:rPr>
                <w:bCs/>
                <w:iCs/>
              </w:rPr>
              <w:t xml:space="preserve">. </w:t>
            </w:r>
          </w:p>
          <w:p w14:paraId="2A4191B5" w14:textId="77777777" w:rsidR="003D4697" w:rsidRDefault="003D4697" w:rsidP="00CF3BE1">
            <w:pPr>
              <w:spacing w:after="0" w:line="240" w:lineRule="auto"/>
              <w:rPr>
                <w:bCs/>
                <w:iCs/>
              </w:rPr>
            </w:pPr>
          </w:p>
          <w:p w14:paraId="307F9EA7" w14:textId="77777777" w:rsidR="003D4697" w:rsidRDefault="003D4697" w:rsidP="00CF3BE1">
            <w:pPr>
              <w:spacing w:after="0" w:line="240" w:lineRule="auto"/>
              <w:rPr>
                <w:bCs/>
                <w:iCs/>
              </w:rPr>
            </w:pPr>
            <w:r>
              <w:rPr>
                <w:bCs/>
                <w:iCs/>
              </w:rPr>
              <w:t xml:space="preserve">Material portfolios are defined as: </w:t>
            </w:r>
          </w:p>
          <w:p w14:paraId="2AF6349A" w14:textId="77777777" w:rsidR="00C2625C" w:rsidRPr="008D790A" w:rsidRDefault="00C2625C" w:rsidP="00C2625C">
            <w:pPr>
              <w:pStyle w:val="ListParagraph"/>
              <w:numPr>
                <w:ilvl w:val="0"/>
                <w:numId w:val="70"/>
              </w:numPr>
              <w:spacing w:after="0" w:line="240" w:lineRule="auto"/>
              <w:ind w:left="342"/>
              <w:rPr>
                <w:bCs/>
                <w:iCs/>
              </w:rPr>
            </w:pPr>
            <w:r w:rsidRPr="008D790A">
              <w:rPr>
                <w:bCs/>
                <w:iCs/>
              </w:rPr>
              <w:t>SBNA Total (Retail, Business Banking, CRE, C&amp;I, Global Corporate Banking (GCB) – Large Corporates, GCB - MRG)</w:t>
            </w:r>
          </w:p>
          <w:p w14:paraId="424CB9CF" w14:textId="77777777" w:rsidR="00C2625C" w:rsidRPr="008D790A" w:rsidRDefault="00C2625C" w:rsidP="00C2625C">
            <w:pPr>
              <w:pStyle w:val="ListParagraph"/>
              <w:numPr>
                <w:ilvl w:val="0"/>
                <w:numId w:val="70"/>
              </w:numPr>
              <w:spacing w:after="0" w:line="240" w:lineRule="auto"/>
              <w:ind w:left="342"/>
              <w:rPr>
                <w:bCs/>
                <w:iCs/>
              </w:rPr>
            </w:pPr>
            <w:r w:rsidRPr="008D790A">
              <w:rPr>
                <w:bCs/>
                <w:iCs/>
              </w:rPr>
              <w:t>SC Auto (SHUSA Auto + SC Fleet loans)</w:t>
            </w:r>
          </w:p>
          <w:p w14:paraId="14810714" w14:textId="77777777" w:rsidR="00C2625C" w:rsidRPr="008D790A" w:rsidRDefault="00C2625C" w:rsidP="00C2625C">
            <w:pPr>
              <w:pStyle w:val="ListParagraph"/>
              <w:numPr>
                <w:ilvl w:val="0"/>
                <w:numId w:val="70"/>
              </w:numPr>
              <w:spacing w:after="0" w:line="240" w:lineRule="auto"/>
              <w:ind w:left="342"/>
              <w:rPr>
                <w:bCs/>
                <w:iCs/>
              </w:rPr>
            </w:pPr>
            <w:r w:rsidRPr="008D790A">
              <w:rPr>
                <w:bCs/>
                <w:iCs/>
              </w:rPr>
              <w:t>BSPR</w:t>
            </w:r>
          </w:p>
          <w:p w14:paraId="34F94BAE" w14:textId="77777777" w:rsidR="003D4697" w:rsidRDefault="003D4697" w:rsidP="00FC6780">
            <w:pPr>
              <w:pStyle w:val="ListParagraph"/>
              <w:spacing w:after="0" w:line="240" w:lineRule="auto"/>
              <w:ind w:left="360"/>
              <w:rPr>
                <w:bCs/>
                <w:iCs/>
              </w:rPr>
            </w:pPr>
          </w:p>
          <w:p w14:paraId="5AD91BA4" w14:textId="77777777" w:rsidR="004D6619" w:rsidRPr="00FC6780" w:rsidRDefault="004D6619" w:rsidP="00FC6780">
            <w:pPr>
              <w:pStyle w:val="ListParagraph"/>
              <w:spacing w:after="0" w:line="240" w:lineRule="auto"/>
              <w:ind w:left="0"/>
              <w:rPr>
                <w:bCs/>
                <w:i/>
                <w:iCs/>
              </w:rPr>
            </w:pPr>
            <w:r>
              <w:rPr>
                <w:bCs/>
                <w:i/>
                <w:iCs/>
              </w:rPr>
              <w:t>This metric is displayed in the SHUSA RAS as a consolidated SHUSA figure only; the aforementioned portfolios are listed to illustrate how the losses are allocated</w:t>
            </w:r>
          </w:p>
          <w:p w14:paraId="56063CB7" w14:textId="77777777" w:rsidR="003D4697" w:rsidRPr="00483277" w:rsidRDefault="003D4697" w:rsidP="00CF3BE1">
            <w:pPr>
              <w:spacing w:after="0" w:line="240" w:lineRule="auto"/>
              <w:rPr>
                <w:bCs/>
                <w:iCs/>
              </w:rPr>
            </w:pPr>
          </w:p>
        </w:tc>
      </w:tr>
      <w:tr w:rsidR="003D4697" w:rsidRPr="00206D41" w14:paraId="431E0C88" w14:textId="77777777" w:rsidTr="00CF3BE1">
        <w:trPr>
          <w:trHeight w:val="462"/>
        </w:trPr>
        <w:tc>
          <w:tcPr>
            <w:tcW w:w="1728" w:type="dxa"/>
            <w:shd w:val="clear" w:color="auto" w:fill="auto"/>
          </w:tcPr>
          <w:p w14:paraId="5F43A372" w14:textId="77777777" w:rsidR="003D4697" w:rsidRPr="00206D41" w:rsidRDefault="003D4697" w:rsidP="00CF3BE1">
            <w:pPr>
              <w:rPr>
                <w:b/>
                <w:bCs/>
                <w:iCs/>
              </w:rPr>
            </w:pPr>
            <w:r>
              <w:rPr>
                <w:b/>
                <w:bCs/>
                <w:iCs/>
              </w:rPr>
              <w:t>RISK TYPE</w:t>
            </w:r>
          </w:p>
        </w:tc>
        <w:tc>
          <w:tcPr>
            <w:tcW w:w="7470" w:type="dxa"/>
            <w:shd w:val="clear" w:color="auto" w:fill="auto"/>
          </w:tcPr>
          <w:p w14:paraId="40E24280" w14:textId="77777777" w:rsidR="003D4697" w:rsidRPr="00206D41" w:rsidRDefault="003D4697" w:rsidP="00CF3BE1">
            <w:pPr>
              <w:spacing w:after="0" w:line="240" w:lineRule="auto"/>
              <w:rPr>
                <w:bCs/>
                <w:iCs/>
              </w:rPr>
            </w:pPr>
            <w:r>
              <w:rPr>
                <w:bCs/>
                <w:iCs/>
              </w:rPr>
              <w:t>Credit Risk</w:t>
            </w:r>
          </w:p>
        </w:tc>
      </w:tr>
      <w:tr w:rsidR="003D4697" w:rsidRPr="00206D41" w14:paraId="59D6DAF3" w14:textId="77777777" w:rsidTr="00CF3BE1">
        <w:trPr>
          <w:trHeight w:val="462"/>
        </w:trPr>
        <w:tc>
          <w:tcPr>
            <w:tcW w:w="1728" w:type="dxa"/>
            <w:shd w:val="clear" w:color="auto" w:fill="auto"/>
          </w:tcPr>
          <w:p w14:paraId="72D383B0" w14:textId="77777777" w:rsidR="003D4697" w:rsidRDefault="003D4697" w:rsidP="00CF3BE1">
            <w:pPr>
              <w:rPr>
                <w:b/>
                <w:bCs/>
                <w:iCs/>
              </w:rPr>
            </w:pPr>
            <w:r>
              <w:rPr>
                <w:b/>
                <w:bCs/>
                <w:iCs/>
              </w:rPr>
              <w:t>RATIONALE</w:t>
            </w:r>
          </w:p>
        </w:tc>
        <w:tc>
          <w:tcPr>
            <w:tcW w:w="7470" w:type="dxa"/>
            <w:shd w:val="clear" w:color="auto" w:fill="auto"/>
          </w:tcPr>
          <w:p w14:paraId="2A0EE9E3" w14:textId="77777777" w:rsidR="003D4697" w:rsidRDefault="003D4697" w:rsidP="00CF3BE1">
            <w:pPr>
              <w:spacing w:after="0" w:line="240" w:lineRule="auto"/>
              <w:rPr>
                <w:bCs/>
                <w:iCs/>
              </w:rPr>
            </w:pPr>
            <w:r w:rsidRPr="0016453C">
              <w:rPr>
                <w:bCs/>
                <w:iCs/>
              </w:rPr>
              <w:t xml:space="preserve">RAS is tied to the objective of quantitatively </w:t>
            </w:r>
            <w:r>
              <w:rPr>
                <w:bCs/>
                <w:iCs/>
              </w:rPr>
              <w:t>passing CCAR; CCAR loss budgets</w:t>
            </w:r>
            <w:r w:rsidRPr="0016453C">
              <w:rPr>
                <w:bCs/>
                <w:iCs/>
              </w:rPr>
              <w:t xml:space="preserve"> allow </w:t>
            </w:r>
            <w:r>
              <w:rPr>
                <w:bCs/>
                <w:iCs/>
              </w:rPr>
              <w:t>comparison of</w:t>
            </w:r>
            <w:r w:rsidRPr="0016453C">
              <w:rPr>
                <w:bCs/>
                <w:iCs/>
              </w:rPr>
              <w:t xml:space="preserve"> projected losses under stress against the maximum losses the bank can afford to lo</w:t>
            </w:r>
            <w:r>
              <w:rPr>
                <w:bCs/>
                <w:iCs/>
              </w:rPr>
              <w:t>se and pass CCAR</w:t>
            </w:r>
            <w:r w:rsidR="004B468D">
              <w:rPr>
                <w:bCs/>
                <w:iCs/>
              </w:rPr>
              <w:t>.</w:t>
            </w:r>
          </w:p>
          <w:p w14:paraId="376FDF50" w14:textId="40D23BE1" w:rsidR="004B468D" w:rsidRDefault="004B468D" w:rsidP="00CF3BE1">
            <w:pPr>
              <w:spacing w:after="0" w:line="240" w:lineRule="auto"/>
              <w:rPr>
                <w:bCs/>
                <w:iCs/>
              </w:rPr>
            </w:pPr>
            <w:r>
              <w:rPr>
                <w:bCs/>
                <w:iCs/>
              </w:rPr>
              <w:t xml:space="preserve">SHUSA must not suffer more losses than would cause it to drop below internal capital ratio minima under stressed scenario. </w:t>
            </w:r>
          </w:p>
        </w:tc>
      </w:tr>
      <w:tr w:rsidR="00E764E9" w:rsidRPr="00206D41" w14:paraId="0D2D57F4" w14:textId="77777777" w:rsidTr="006B6E1C">
        <w:trPr>
          <w:trHeight w:val="270"/>
        </w:trPr>
        <w:tc>
          <w:tcPr>
            <w:tcW w:w="1728" w:type="dxa"/>
            <w:shd w:val="clear" w:color="auto" w:fill="auto"/>
          </w:tcPr>
          <w:p w14:paraId="229A82C8" w14:textId="192F7226" w:rsidR="00E764E9" w:rsidRPr="00206D41" w:rsidRDefault="00E764E9" w:rsidP="00CF3BE1">
            <w:pPr>
              <w:rPr>
                <w:b/>
                <w:bCs/>
                <w:iCs/>
              </w:rPr>
            </w:pPr>
            <w:r>
              <w:rPr>
                <w:b/>
                <w:bCs/>
                <w:iCs/>
              </w:rPr>
              <w:t>ENTITY</w:t>
            </w:r>
          </w:p>
        </w:tc>
        <w:tc>
          <w:tcPr>
            <w:tcW w:w="7470" w:type="dxa"/>
            <w:shd w:val="clear" w:color="auto" w:fill="auto"/>
          </w:tcPr>
          <w:p w14:paraId="1C97F8B7" w14:textId="77777777" w:rsidR="00E764E9" w:rsidRPr="007973F5" w:rsidRDefault="00E764E9" w:rsidP="00CF3BE1">
            <w:pPr>
              <w:spacing w:after="0" w:line="240" w:lineRule="auto"/>
              <w:rPr>
                <w:b/>
                <w:bCs/>
                <w:iCs/>
              </w:rPr>
            </w:pPr>
            <w:r w:rsidRPr="007973F5">
              <w:rPr>
                <w:b/>
                <w:bCs/>
                <w:iCs/>
              </w:rPr>
              <w:t>SHUSA</w:t>
            </w:r>
          </w:p>
        </w:tc>
      </w:tr>
      <w:tr w:rsidR="00E764E9" w:rsidRPr="00206D41" w14:paraId="4C9A1120" w14:textId="77777777" w:rsidTr="006B6E1C">
        <w:trPr>
          <w:trHeight w:val="245"/>
        </w:trPr>
        <w:tc>
          <w:tcPr>
            <w:tcW w:w="1728" w:type="dxa"/>
            <w:shd w:val="clear" w:color="auto" w:fill="auto"/>
          </w:tcPr>
          <w:p w14:paraId="1329CB48" w14:textId="18B1FDDC" w:rsidR="00E764E9" w:rsidRDefault="00511F11" w:rsidP="00CF3BE1">
            <w:pPr>
              <w:rPr>
                <w:b/>
                <w:bCs/>
                <w:iCs/>
              </w:rPr>
            </w:pPr>
            <w:r>
              <w:rPr>
                <w:rFonts w:asciiTheme="minorHAnsi" w:hAnsiTheme="minorHAnsi"/>
                <w:b/>
                <w:bCs/>
                <w:iCs/>
              </w:rPr>
              <w:t>METRIC PROVIDER</w:t>
            </w:r>
          </w:p>
        </w:tc>
        <w:tc>
          <w:tcPr>
            <w:tcW w:w="7470" w:type="dxa"/>
            <w:shd w:val="clear" w:color="auto" w:fill="auto"/>
          </w:tcPr>
          <w:p w14:paraId="456847DF" w14:textId="0FAA7CF8" w:rsidR="00E764E9" w:rsidRPr="005A6F8C" w:rsidRDefault="005528BA" w:rsidP="00CF3BE1">
            <w:pPr>
              <w:spacing w:after="0" w:line="240" w:lineRule="auto"/>
              <w:rPr>
                <w:b/>
                <w:bCs/>
                <w:iCs/>
              </w:rPr>
            </w:pPr>
            <w:r w:rsidRPr="005528BA">
              <w:rPr>
                <w:b/>
                <w:bCs/>
                <w:iCs/>
              </w:rPr>
              <w:t>SHUSA Director of CCAR Team</w:t>
            </w:r>
          </w:p>
        </w:tc>
      </w:tr>
      <w:tr w:rsidR="003D4697" w:rsidRPr="00206D41" w14:paraId="338CBDF4" w14:textId="77777777" w:rsidTr="00CF3BE1">
        <w:trPr>
          <w:trHeight w:val="439"/>
        </w:trPr>
        <w:tc>
          <w:tcPr>
            <w:tcW w:w="1728" w:type="dxa"/>
            <w:shd w:val="clear" w:color="auto" w:fill="auto"/>
          </w:tcPr>
          <w:p w14:paraId="6F6A42F2" w14:textId="77777777" w:rsidR="003D4697" w:rsidRPr="00206D41" w:rsidRDefault="003D4697" w:rsidP="00CF3BE1">
            <w:pPr>
              <w:rPr>
                <w:b/>
                <w:bCs/>
                <w:iCs/>
              </w:rPr>
            </w:pPr>
            <w:r w:rsidRPr="005B0BAF">
              <w:rPr>
                <w:rFonts w:asciiTheme="minorHAnsi" w:hAnsiTheme="minorHAnsi"/>
                <w:b/>
                <w:bCs/>
                <w:iCs/>
              </w:rPr>
              <w:t>TRIGGER AND LIMIT SETTING</w:t>
            </w:r>
          </w:p>
        </w:tc>
        <w:tc>
          <w:tcPr>
            <w:tcW w:w="7470" w:type="dxa"/>
            <w:shd w:val="clear" w:color="auto" w:fill="auto"/>
          </w:tcPr>
          <w:p w14:paraId="7462773C" w14:textId="1DC21DF4" w:rsidR="003D4697" w:rsidRDefault="003D4697" w:rsidP="00CF3BE1">
            <w:pPr>
              <w:spacing w:after="0" w:line="240" w:lineRule="auto"/>
              <w:rPr>
                <w:bCs/>
                <w:iCs/>
              </w:rPr>
            </w:pPr>
            <w:r>
              <w:rPr>
                <w:bCs/>
                <w:iCs/>
              </w:rPr>
              <w:t>The CCAR Stressed projected credit losses  triggers</w:t>
            </w:r>
            <w:r w:rsidR="003C2390">
              <w:rPr>
                <w:bCs/>
                <w:iCs/>
              </w:rPr>
              <w:t xml:space="preserve"> and limits are set as follows:</w:t>
            </w:r>
          </w:p>
          <w:p w14:paraId="00851BDB" w14:textId="3B03DF1A" w:rsidR="003D4697" w:rsidRPr="008415BA" w:rsidRDefault="003D4697" w:rsidP="00CF3BE1">
            <w:pPr>
              <w:pStyle w:val="ListParagraph"/>
              <w:numPr>
                <w:ilvl w:val="0"/>
                <w:numId w:val="7"/>
              </w:numPr>
              <w:spacing w:after="0" w:line="240" w:lineRule="auto"/>
              <w:rPr>
                <w:bCs/>
                <w:iCs/>
              </w:rPr>
            </w:pPr>
            <w:r w:rsidRPr="008415BA">
              <w:rPr>
                <w:bCs/>
                <w:iCs/>
              </w:rPr>
              <w:t xml:space="preserve">Each material portfolio is allocated its </w:t>
            </w:r>
            <w:r>
              <w:rPr>
                <w:bCs/>
                <w:iCs/>
              </w:rPr>
              <w:t xml:space="preserve">CCAR stressed cumulative </w:t>
            </w:r>
            <w:r w:rsidRPr="008415BA">
              <w:rPr>
                <w:bCs/>
                <w:iCs/>
              </w:rPr>
              <w:t>credit losses and, in addition, a proportionate amount of any capital surplus that may remain between the lowest</w:t>
            </w:r>
            <w:r>
              <w:rPr>
                <w:bCs/>
                <w:iCs/>
              </w:rPr>
              <w:t xml:space="preserve"> stressed</w:t>
            </w:r>
            <w:r w:rsidRPr="008415BA">
              <w:rPr>
                <w:bCs/>
                <w:iCs/>
              </w:rPr>
              <w:t xml:space="preserve"> quarterly value of the Tier 1 Risk-based Capital ratio throughout the CCAR period and the</w:t>
            </w:r>
            <w:r>
              <w:rPr>
                <w:bCs/>
                <w:iCs/>
              </w:rPr>
              <w:t xml:space="preserve"> stressed</w:t>
            </w:r>
            <w:r w:rsidRPr="008415BA">
              <w:rPr>
                <w:bCs/>
                <w:iCs/>
              </w:rPr>
              <w:t xml:space="preserve"> amber triggers/red limit level for the ratio. </w:t>
            </w:r>
          </w:p>
          <w:p w14:paraId="0D8A5922" w14:textId="77777777" w:rsidR="003D4697" w:rsidRPr="00204F0A" w:rsidRDefault="003D4697" w:rsidP="00CF3BE1">
            <w:pPr>
              <w:pStyle w:val="ListParagraph"/>
              <w:numPr>
                <w:ilvl w:val="0"/>
                <w:numId w:val="5"/>
              </w:numPr>
              <w:spacing w:after="0" w:line="240" w:lineRule="auto"/>
              <w:rPr>
                <w:bCs/>
                <w:iCs/>
              </w:rPr>
            </w:pPr>
            <w:r>
              <w:rPr>
                <w:bCs/>
                <w:iCs/>
              </w:rPr>
              <w:t>Am</w:t>
            </w:r>
            <w:r w:rsidRPr="00204F0A">
              <w:rPr>
                <w:bCs/>
                <w:iCs/>
              </w:rPr>
              <w:t>ber trigger</w:t>
            </w:r>
            <w:r>
              <w:rPr>
                <w:bCs/>
                <w:iCs/>
              </w:rPr>
              <w:t>:</w:t>
            </w:r>
            <w:r w:rsidRPr="00204F0A">
              <w:rPr>
                <w:bCs/>
                <w:iCs/>
              </w:rPr>
              <w:t xml:space="preserve"> is</w:t>
            </w:r>
            <w:r>
              <w:rPr>
                <w:bCs/>
                <w:iCs/>
              </w:rPr>
              <w:t xml:space="preserve"> calculated as the sum of the portfolio’s stressed cumulative credit losses + the proportionate amount of capital surplus (in dollar terms) between the stressed CCAR output for the Tier 1 Risk-based capital ratio and the internally set post-stress minimum ratio</w:t>
            </w:r>
            <w:r w:rsidR="00C2625C">
              <w:rPr>
                <w:bCs/>
                <w:iCs/>
              </w:rPr>
              <w:t xml:space="preserve"> plus management adjustment</w:t>
            </w:r>
            <w:r>
              <w:rPr>
                <w:bCs/>
                <w:iCs/>
              </w:rPr>
              <w:t xml:space="preserve"> (amber trigger).   </w:t>
            </w:r>
            <w:r w:rsidRPr="00204F0A">
              <w:rPr>
                <w:bCs/>
                <w:iCs/>
              </w:rPr>
              <w:t xml:space="preserve"> </w:t>
            </w:r>
          </w:p>
          <w:p w14:paraId="0F8A2627" w14:textId="77777777" w:rsidR="003D4697" w:rsidRDefault="003D4697" w:rsidP="00CF3BE1">
            <w:pPr>
              <w:pStyle w:val="ListParagraph"/>
              <w:numPr>
                <w:ilvl w:val="0"/>
                <w:numId w:val="5"/>
              </w:numPr>
              <w:spacing w:after="0" w:line="240" w:lineRule="auto"/>
              <w:rPr>
                <w:bCs/>
                <w:iCs/>
              </w:rPr>
            </w:pPr>
            <w:r>
              <w:rPr>
                <w:bCs/>
                <w:iCs/>
              </w:rPr>
              <w:t xml:space="preserve">Red limit: </w:t>
            </w:r>
            <w:r w:rsidRPr="00204F0A">
              <w:rPr>
                <w:bCs/>
                <w:iCs/>
              </w:rPr>
              <w:t>is</w:t>
            </w:r>
            <w:r>
              <w:rPr>
                <w:bCs/>
                <w:iCs/>
              </w:rPr>
              <w:t xml:space="preserve"> calculated as the sum of the portfolio’s stressed cumulative credit losses + the proportionate amount of capital surplus (in dollar terms) between the stressed CCAR output for the Tier 1 Risk-based capital ratio and the </w:t>
            </w:r>
            <w:r w:rsidR="00C2625C">
              <w:rPr>
                <w:bCs/>
                <w:iCs/>
              </w:rPr>
              <w:t>internally set post-stress minimum</w:t>
            </w:r>
            <w:r>
              <w:rPr>
                <w:bCs/>
                <w:iCs/>
              </w:rPr>
              <w:t xml:space="preserve"> Tier 1 Risk-based capital ratio (red limit).   </w:t>
            </w:r>
            <w:r w:rsidRPr="00204F0A">
              <w:rPr>
                <w:bCs/>
                <w:iCs/>
              </w:rPr>
              <w:t xml:space="preserve"> </w:t>
            </w:r>
          </w:p>
          <w:p w14:paraId="41E65902" w14:textId="77777777" w:rsidR="003D4697" w:rsidRDefault="003D4697" w:rsidP="00CF3BE1">
            <w:pPr>
              <w:pStyle w:val="ListParagraph"/>
              <w:spacing w:after="0" w:line="240" w:lineRule="auto"/>
              <w:ind w:left="360"/>
              <w:rPr>
                <w:bCs/>
                <w:iCs/>
              </w:rPr>
            </w:pPr>
          </w:p>
          <w:p w14:paraId="3CF171B7" w14:textId="77777777" w:rsidR="003D4697" w:rsidRDefault="003D4697" w:rsidP="00CF3BE1">
            <w:pPr>
              <w:spacing w:after="0" w:line="240" w:lineRule="auto"/>
              <w:rPr>
                <w:bCs/>
                <w:iCs/>
              </w:rPr>
            </w:pPr>
            <w:r>
              <w:rPr>
                <w:bCs/>
                <w:iCs/>
              </w:rPr>
              <w:t>The capital surplus is calculated as follows</w:t>
            </w:r>
            <w:r>
              <w:rPr>
                <w:rStyle w:val="FootnoteReference"/>
                <w:bCs/>
                <w:iCs/>
              </w:rPr>
              <w:footnoteReference w:id="1"/>
            </w:r>
            <w:r>
              <w:rPr>
                <w:bCs/>
                <w:iCs/>
              </w:rPr>
              <w:t>:</w:t>
            </w:r>
          </w:p>
          <w:p w14:paraId="15A43C52" w14:textId="77777777" w:rsidR="003D4697" w:rsidRDefault="003D4697" w:rsidP="00CF3BE1">
            <w:pPr>
              <w:spacing w:after="0" w:line="240" w:lineRule="auto"/>
              <w:rPr>
                <w:bCs/>
                <w:iCs/>
              </w:rPr>
            </w:pPr>
          </w:p>
          <w:p w14:paraId="58AACA2A" w14:textId="77777777" w:rsidR="003D4697" w:rsidRPr="00627823" w:rsidRDefault="003D4697" w:rsidP="00CF3BE1">
            <w:pPr>
              <w:spacing w:after="0" w:line="240" w:lineRule="auto"/>
              <w:jc w:val="center"/>
              <w:rPr>
                <w:bCs/>
                <w:i/>
                <w:iCs/>
              </w:rPr>
            </w:pPr>
            <w:r w:rsidRPr="00627823">
              <w:rPr>
                <w:bCs/>
                <w:i/>
                <w:iCs/>
              </w:rPr>
              <w:t>Capital Surplus ($MM) =</w:t>
            </w:r>
          </w:p>
          <w:p w14:paraId="2B1A85D3" w14:textId="77777777" w:rsidR="003D4697" w:rsidRPr="00FC6780" w:rsidRDefault="003D4697" w:rsidP="00FC6780">
            <w:pPr>
              <w:spacing w:after="0" w:line="240" w:lineRule="auto"/>
              <w:jc w:val="center"/>
              <w:rPr>
                <w:bCs/>
                <w:i/>
                <w:iCs/>
              </w:rPr>
            </w:pPr>
            <w:r w:rsidRPr="00627823">
              <w:rPr>
                <w:bCs/>
                <w:i/>
                <w:iCs/>
              </w:rPr>
              <w:t xml:space="preserve">(T1 Risk Based Capital limit – 9Q T1 Risk Based Capital in BHC Stress) * </w:t>
            </w:r>
            <w:r w:rsidR="00C2625C">
              <w:rPr>
                <w:bCs/>
                <w:i/>
                <w:iCs/>
              </w:rPr>
              <w:t xml:space="preserve"> quarter with RWA in lowest 9Q T1RBC in BHC Stress</w:t>
            </w:r>
          </w:p>
        </w:tc>
      </w:tr>
      <w:tr w:rsidR="003D4697" w:rsidRPr="00206D41" w14:paraId="54495BD6" w14:textId="77777777" w:rsidTr="00CF3BE1">
        <w:trPr>
          <w:trHeight w:val="303"/>
        </w:trPr>
        <w:tc>
          <w:tcPr>
            <w:tcW w:w="1728" w:type="dxa"/>
            <w:shd w:val="clear" w:color="auto" w:fill="auto"/>
          </w:tcPr>
          <w:p w14:paraId="39600C5D" w14:textId="77777777" w:rsidR="003D4697" w:rsidRPr="00DF3739" w:rsidRDefault="003D4697" w:rsidP="00CF3BE1">
            <w:pPr>
              <w:rPr>
                <w:b/>
                <w:bCs/>
                <w:iCs/>
              </w:rPr>
            </w:pPr>
            <w:r w:rsidRPr="00DF3739">
              <w:rPr>
                <w:rFonts w:asciiTheme="minorHAnsi" w:hAnsiTheme="minorHAnsi"/>
                <w:b/>
                <w:bCs/>
                <w:iCs/>
              </w:rPr>
              <w:t>TESTING FREQUENCY</w:t>
            </w:r>
          </w:p>
        </w:tc>
        <w:tc>
          <w:tcPr>
            <w:tcW w:w="7470" w:type="dxa"/>
            <w:shd w:val="clear" w:color="auto" w:fill="auto"/>
          </w:tcPr>
          <w:p w14:paraId="34C713A4" w14:textId="77777777" w:rsidR="003D4697" w:rsidRPr="00DF3739" w:rsidRDefault="003D4697" w:rsidP="00CF3BE1">
            <w:pPr>
              <w:spacing w:after="0" w:line="240" w:lineRule="auto"/>
            </w:pPr>
            <w:r w:rsidRPr="00DF3739">
              <w:rPr>
                <w:bCs/>
                <w:iCs/>
              </w:rPr>
              <w:t xml:space="preserve">Annually: CCAR output. The </w:t>
            </w:r>
            <w:r>
              <w:rPr>
                <w:bCs/>
                <w:iCs/>
              </w:rPr>
              <w:t xml:space="preserve">stressed </w:t>
            </w:r>
            <w:r w:rsidRPr="00DF3739">
              <w:rPr>
                <w:bCs/>
                <w:iCs/>
              </w:rPr>
              <w:t>cumulative values of credit losses under CCAR are compared to the annual re-calculation of amber trigger and red limit as set out above. The RAS will be presented for annual review with the CCAR outputs compared to the new triggers and limits</w:t>
            </w:r>
            <w:r>
              <w:rPr>
                <w:bCs/>
                <w:iCs/>
              </w:rPr>
              <w:t xml:space="preserve"> and the previous RAS levels.</w:t>
            </w:r>
          </w:p>
        </w:tc>
      </w:tr>
      <w:tr w:rsidR="003D4697" w:rsidRPr="00206D41" w14:paraId="343085FD" w14:textId="77777777" w:rsidTr="00CF3BE1">
        <w:trPr>
          <w:trHeight w:val="978"/>
        </w:trPr>
        <w:tc>
          <w:tcPr>
            <w:tcW w:w="1728" w:type="dxa"/>
            <w:shd w:val="clear" w:color="auto" w:fill="auto"/>
          </w:tcPr>
          <w:p w14:paraId="1D54F1BE" w14:textId="77777777" w:rsidR="003D4697" w:rsidRPr="00DF3739" w:rsidRDefault="003D4697" w:rsidP="00CF3BE1">
            <w:pPr>
              <w:rPr>
                <w:b/>
                <w:bCs/>
                <w:iCs/>
              </w:rPr>
            </w:pPr>
            <w:r w:rsidRPr="00DF3739">
              <w:rPr>
                <w:b/>
                <w:bCs/>
                <w:iCs/>
              </w:rPr>
              <w:t>SOURCE OF INFORMATION</w:t>
            </w:r>
          </w:p>
        </w:tc>
        <w:tc>
          <w:tcPr>
            <w:tcW w:w="7470" w:type="dxa"/>
            <w:shd w:val="clear" w:color="auto" w:fill="auto"/>
          </w:tcPr>
          <w:p w14:paraId="5ECAC70F" w14:textId="77777777" w:rsidR="003D4697" w:rsidRPr="006C140B" w:rsidRDefault="003D4697" w:rsidP="00CF3BE1">
            <w:pPr>
              <w:spacing w:after="0" w:line="240" w:lineRule="auto"/>
              <w:rPr>
                <w:bCs/>
                <w:iCs/>
              </w:rPr>
            </w:pPr>
            <w:r>
              <w:rPr>
                <w:bCs/>
                <w:iCs/>
              </w:rPr>
              <w:t>Provided by the CCAR team:</w:t>
            </w:r>
          </w:p>
          <w:p w14:paraId="24437DC4" w14:textId="77777777" w:rsidR="003D4697" w:rsidRPr="00DF3739" w:rsidRDefault="003D4697" w:rsidP="00CF3BE1">
            <w:pPr>
              <w:pStyle w:val="ListParagraph"/>
              <w:numPr>
                <w:ilvl w:val="0"/>
                <w:numId w:val="4"/>
              </w:numPr>
              <w:spacing w:after="0" w:line="240" w:lineRule="auto"/>
              <w:rPr>
                <w:bCs/>
                <w:iCs/>
                <w:lang w:val="en-US"/>
              </w:rPr>
            </w:pPr>
            <w:r w:rsidRPr="00DF3739">
              <w:rPr>
                <w:bCs/>
                <w:iCs/>
                <w:lang w:val="en-US"/>
              </w:rPr>
              <w:t xml:space="preserve">Cumulative </w:t>
            </w:r>
            <w:r>
              <w:rPr>
                <w:bCs/>
                <w:iCs/>
                <w:lang w:val="en-US"/>
              </w:rPr>
              <w:t>stressed credit l</w:t>
            </w:r>
            <w:r w:rsidRPr="00DF3739">
              <w:rPr>
                <w:bCs/>
                <w:iCs/>
                <w:lang w:val="en-US"/>
              </w:rPr>
              <w:t>osses by portfolio: CCAR Y14 A</w:t>
            </w:r>
          </w:p>
          <w:p w14:paraId="4C3C9095" w14:textId="77777777" w:rsidR="003D4697" w:rsidRPr="00BB3BB6" w:rsidRDefault="003D4697" w:rsidP="00BB3BB6">
            <w:pPr>
              <w:pStyle w:val="ListParagraph"/>
              <w:numPr>
                <w:ilvl w:val="0"/>
                <w:numId w:val="4"/>
              </w:numPr>
              <w:spacing w:after="0" w:line="240" w:lineRule="auto"/>
              <w:rPr>
                <w:bCs/>
                <w:iCs/>
                <w:lang w:val="en-US"/>
              </w:rPr>
            </w:pPr>
            <w:r w:rsidRPr="00DF3739">
              <w:rPr>
                <w:bCs/>
                <w:iCs/>
                <w:lang w:val="en-US"/>
              </w:rPr>
              <w:t>Capital Surplus</w:t>
            </w:r>
            <w:r>
              <w:rPr>
                <w:bCs/>
                <w:iCs/>
                <w:lang w:val="en-US"/>
              </w:rPr>
              <w:t xml:space="preserve"> as per calculation above</w:t>
            </w:r>
            <w:r w:rsidRPr="00671478">
              <w:rPr>
                <w:bCs/>
                <w:iCs/>
                <w:lang w:val="en-US"/>
              </w:rPr>
              <w:tab/>
            </w:r>
          </w:p>
          <w:p w14:paraId="4A838FCD" w14:textId="77777777" w:rsidR="003D4697" w:rsidRPr="000E4C0C" w:rsidRDefault="003D4697" w:rsidP="00CF3BE1">
            <w:pPr>
              <w:spacing w:after="0" w:line="240" w:lineRule="auto"/>
              <w:rPr>
                <w:bCs/>
                <w:iCs/>
              </w:rPr>
            </w:pPr>
            <w:r w:rsidRPr="000E4C0C">
              <w:rPr>
                <w:bCs/>
                <w:iCs/>
              </w:rPr>
              <w:tab/>
            </w:r>
            <w:r w:rsidRPr="000E4C0C">
              <w:rPr>
                <w:bCs/>
                <w:iCs/>
              </w:rPr>
              <w:tab/>
            </w:r>
            <w:r w:rsidRPr="000E4C0C">
              <w:rPr>
                <w:bCs/>
                <w:iCs/>
              </w:rPr>
              <w:tab/>
            </w:r>
            <w:r w:rsidRPr="000E4C0C">
              <w:rPr>
                <w:bCs/>
                <w:iCs/>
              </w:rPr>
              <w:tab/>
            </w:r>
            <w:r w:rsidRPr="000E4C0C">
              <w:rPr>
                <w:bCs/>
                <w:iCs/>
              </w:rPr>
              <w:tab/>
            </w:r>
          </w:p>
        </w:tc>
      </w:tr>
    </w:tbl>
    <w:p w14:paraId="4490FE92" w14:textId="77777777" w:rsidR="003D4697" w:rsidRDefault="003D4697" w:rsidP="00FC6780">
      <w:pPr>
        <w:pStyle w:val="SANUS2"/>
        <w:rPr>
          <w:color w:val="000000" w:themeColor="text1"/>
        </w:rPr>
      </w:pPr>
    </w:p>
    <w:p w14:paraId="098301B5" w14:textId="77777777" w:rsidR="003D4697" w:rsidRPr="007973F5" w:rsidRDefault="004D6619" w:rsidP="00FC6780">
      <w:pPr>
        <w:pStyle w:val="SANUS2"/>
        <w:numPr>
          <w:ilvl w:val="1"/>
          <w:numId w:val="1"/>
        </w:numPr>
        <w:rPr>
          <w:color w:val="000000" w:themeColor="text1"/>
        </w:rPr>
      </w:pPr>
      <w:bookmarkStart w:id="79" w:name="_Toc452544121"/>
      <w:bookmarkStart w:id="80" w:name="_Toc453849283"/>
      <w:r>
        <w:rPr>
          <w:color w:val="000000" w:themeColor="text1"/>
        </w:rPr>
        <w:t>Net charge-off rate</w:t>
      </w:r>
      <w:bookmarkEnd w:id="79"/>
      <w:bookmarkEnd w:id="80"/>
    </w:p>
    <w:tbl>
      <w:tblPr>
        <w:tblpPr w:leftFromText="180" w:rightFromText="180" w:vertAnchor="text" w:tblpX="168" w:tblpY="1"/>
        <w:tblOverlap w:val="never"/>
        <w:tblW w:w="9358"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Look w:val="0000" w:firstRow="0" w:lastRow="0" w:firstColumn="0" w:lastColumn="0" w:noHBand="0" w:noVBand="0"/>
      </w:tblPr>
      <w:tblGrid>
        <w:gridCol w:w="1728"/>
        <w:gridCol w:w="7630"/>
      </w:tblGrid>
      <w:tr w:rsidR="005B6B9B" w:rsidRPr="00206D41" w14:paraId="42E37C9C" w14:textId="77777777" w:rsidTr="00F3693B">
        <w:trPr>
          <w:trHeight w:val="708"/>
        </w:trPr>
        <w:tc>
          <w:tcPr>
            <w:tcW w:w="1728" w:type="dxa"/>
            <w:shd w:val="clear" w:color="auto" w:fill="auto"/>
          </w:tcPr>
          <w:p w14:paraId="01E527FE" w14:textId="77777777" w:rsidR="005B6B9B" w:rsidRPr="00206D41" w:rsidRDefault="005B6B9B" w:rsidP="00F3693B">
            <w:pPr>
              <w:rPr>
                <w:b/>
                <w:bCs/>
                <w:iCs/>
              </w:rPr>
            </w:pPr>
            <w:r>
              <w:rPr>
                <w:b/>
                <w:bCs/>
                <w:iCs/>
              </w:rPr>
              <w:t>DEFINITION</w:t>
            </w:r>
          </w:p>
        </w:tc>
        <w:tc>
          <w:tcPr>
            <w:tcW w:w="7630" w:type="dxa"/>
            <w:shd w:val="clear" w:color="auto" w:fill="auto"/>
          </w:tcPr>
          <w:p w14:paraId="4F3BE755" w14:textId="77777777" w:rsidR="005B6B9B" w:rsidRDefault="005B6B9B" w:rsidP="00F3693B">
            <w:pPr>
              <w:rPr>
                <w:rFonts w:asciiTheme="minorHAnsi" w:eastAsiaTheme="minorHAnsi" w:hAnsiTheme="minorHAnsi" w:cstheme="minorBidi"/>
                <w:iCs/>
              </w:rPr>
            </w:pPr>
            <w:r>
              <w:rPr>
                <w:rFonts w:asciiTheme="minorHAnsi" w:eastAsiaTheme="minorHAnsi" w:hAnsiTheme="minorHAnsi" w:cstheme="minorBidi"/>
                <w:iCs/>
              </w:rPr>
              <w:t>The twelve month trailing total of monthly net charge-offs (NCOs) as a percentage</w:t>
            </w:r>
            <w:r w:rsidRPr="007973F5">
              <w:rPr>
                <w:rFonts w:asciiTheme="minorHAnsi" w:eastAsiaTheme="minorHAnsi" w:hAnsiTheme="minorHAnsi" w:cstheme="minorBidi"/>
                <w:iCs/>
              </w:rPr>
              <w:t xml:space="preserve"> of </w:t>
            </w:r>
            <w:r>
              <w:rPr>
                <w:rFonts w:asciiTheme="minorHAnsi" w:eastAsiaTheme="minorHAnsi" w:hAnsiTheme="minorHAnsi" w:cstheme="minorBidi"/>
                <w:iCs/>
              </w:rPr>
              <w:t xml:space="preserve">average twelve month trailing outstanding </w:t>
            </w:r>
            <w:r w:rsidRPr="007973F5">
              <w:rPr>
                <w:rFonts w:asciiTheme="minorHAnsi" w:eastAsiaTheme="minorHAnsi" w:hAnsiTheme="minorHAnsi" w:cstheme="minorBidi"/>
                <w:iCs/>
              </w:rPr>
              <w:t>balances</w:t>
            </w:r>
            <w:r>
              <w:rPr>
                <w:rFonts w:asciiTheme="minorHAnsi" w:eastAsiaTheme="minorHAnsi" w:hAnsiTheme="minorHAnsi" w:cstheme="minorBidi"/>
                <w:iCs/>
              </w:rPr>
              <w:t xml:space="preserve">, by material portfolio. These metrics are calibrated by portfolio and then aggregated to the entity level for presentation in the SHUSA RAS. </w:t>
            </w:r>
          </w:p>
          <w:p w14:paraId="48267A3A" w14:textId="77777777" w:rsidR="005B6B9B" w:rsidRDefault="005B6B9B" w:rsidP="00F3693B">
            <w:pPr>
              <w:spacing w:after="0" w:line="240" w:lineRule="auto"/>
              <w:rPr>
                <w:bCs/>
                <w:iCs/>
              </w:rPr>
            </w:pPr>
            <w:r>
              <w:rPr>
                <w:bCs/>
                <w:iCs/>
              </w:rPr>
              <w:t xml:space="preserve">Material portfolios represented in the SHUSA RAS are: </w:t>
            </w:r>
          </w:p>
          <w:p w14:paraId="072BE574" w14:textId="77777777" w:rsidR="005B6B9B" w:rsidRPr="00930F07" w:rsidRDefault="005B6B9B" w:rsidP="00F3693B">
            <w:pPr>
              <w:pStyle w:val="ListParagraph"/>
              <w:numPr>
                <w:ilvl w:val="0"/>
                <w:numId w:val="6"/>
              </w:numPr>
              <w:spacing w:after="0" w:line="240" w:lineRule="auto"/>
              <w:rPr>
                <w:bCs/>
                <w:iCs/>
              </w:rPr>
            </w:pPr>
            <w:r>
              <w:rPr>
                <w:bCs/>
                <w:iCs/>
                <w:lang w:val="en-US"/>
              </w:rPr>
              <w:t xml:space="preserve">SC Auto </w:t>
            </w:r>
          </w:p>
          <w:p w14:paraId="3A0E5993" w14:textId="77777777" w:rsidR="005B6B9B" w:rsidRDefault="005B6B9B" w:rsidP="00F3693B">
            <w:pPr>
              <w:pStyle w:val="ListParagraph"/>
              <w:numPr>
                <w:ilvl w:val="0"/>
                <w:numId w:val="6"/>
              </w:numPr>
              <w:spacing w:after="0" w:line="240" w:lineRule="auto"/>
              <w:rPr>
                <w:bCs/>
                <w:iCs/>
              </w:rPr>
            </w:pPr>
            <w:r>
              <w:rPr>
                <w:bCs/>
                <w:iCs/>
              </w:rPr>
              <w:t>SBNA Total (Retail, Business Banking, CRE, C&amp;I, Global Corporate Banking (GCB) – Large Corporates, GCB - MRG)</w:t>
            </w:r>
          </w:p>
          <w:p w14:paraId="441A600C" w14:textId="20193F14" w:rsidR="005B6B9B" w:rsidRPr="003B5980" w:rsidRDefault="005B6B9B" w:rsidP="00F3693B">
            <w:pPr>
              <w:pStyle w:val="ListParagraph"/>
              <w:numPr>
                <w:ilvl w:val="0"/>
                <w:numId w:val="6"/>
              </w:numPr>
              <w:spacing w:after="0" w:line="240" w:lineRule="auto"/>
              <w:rPr>
                <w:bCs/>
                <w:iCs/>
              </w:rPr>
            </w:pPr>
            <w:r>
              <w:rPr>
                <w:bCs/>
                <w:iCs/>
              </w:rPr>
              <w:t>BSPR (Commercial &amp; Other, Personal Loans, Mortgages, Credit Cards)</w:t>
            </w:r>
          </w:p>
        </w:tc>
      </w:tr>
      <w:tr w:rsidR="005B6B9B" w:rsidRPr="00206D41" w14:paraId="3F5798A4" w14:textId="77777777" w:rsidTr="00F3693B">
        <w:trPr>
          <w:trHeight w:val="437"/>
        </w:trPr>
        <w:tc>
          <w:tcPr>
            <w:tcW w:w="1728" w:type="dxa"/>
            <w:shd w:val="clear" w:color="auto" w:fill="auto"/>
          </w:tcPr>
          <w:p w14:paraId="2C3034C1" w14:textId="77777777" w:rsidR="005B6B9B" w:rsidRPr="00206D41" w:rsidRDefault="005B6B9B" w:rsidP="00F3693B">
            <w:pPr>
              <w:rPr>
                <w:b/>
                <w:bCs/>
                <w:iCs/>
              </w:rPr>
            </w:pPr>
            <w:r>
              <w:rPr>
                <w:b/>
                <w:bCs/>
                <w:iCs/>
              </w:rPr>
              <w:t xml:space="preserve">RISK TYPE </w:t>
            </w:r>
          </w:p>
        </w:tc>
        <w:tc>
          <w:tcPr>
            <w:tcW w:w="7630" w:type="dxa"/>
            <w:shd w:val="clear" w:color="auto" w:fill="auto"/>
          </w:tcPr>
          <w:p w14:paraId="50649FE9" w14:textId="77777777" w:rsidR="005B6B9B" w:rsidRPr="00206D41" w:rsidRDefault="005B6B9B" w:rsidP="00F3693B">
            <w:pPr>
              <w:spacing w:after="0" w:line="240" w:lineRule="auto"/>
              <w:rPr>
                <w:bCs/>
                <w:iCs/>
              </w:rPr>
            </w:pPr>
            <w:r>
              <w:rPr>
                <w:bCs/>
                <w:iCs/>
              </w:rPr>
              <w:t xml:space="preserve">Credit Risk </w:t>
            </w:r>
          </w:p>
        </w:tc>
      </w:tr>
      <w:tr w:rsidR="005B6B9B" w:rsidRPr="00206D41" w14:paraId="63337F74" w14:textId="77777777" w:rsidTr="00F3693B">
        <w:trPr>
          <w:trHeight w:val="437"/>
        </w:trPr>
        <w:tc>
          <w:tcPr>
            <w:tcW w:w="1728" w:type="dxa"/>
            <w:shd w:val="clear" w:color="auto" w:fill="auto"/>
          </w:tcPr>
          <w:p w14:paraId="1E87B41B" w14:textId="77777777" w:rsidR="005B6B9B" w:rsidRDefault="005B6B9B" w:rsidP="00F3693B">
            <w:pPr>
              <w:rPr>
                <w:b/>
                <w:bCs/>
                <w:iCs/>
              </w:rPr>
            </w:pPr>
            <w:r>
              <w:rPr>
                <w:b/>
                <w:bCs/>
                <w:iCs/>
              </w:rPr>
              <w:t>RATIONALE</w:t>
            </w:r>
          </w:p>
        </w:tc>
        <w:tc>
          <w:tcPr>
            <w:tcW w:w="7630" w:type="dxa"/>
            <w:shd w:val="clear" w:color="auto" w:fill="auto"/>
          </w:tcPr>
          <w:p w14:paraId="57153232" w14:textId="77777777" w:rsidR="005B6B9B" w:rsidRDefault="005B6B9B" w:rsidP="00F3693B">
            <w:pPr>
              <w:spacing w:after="0" w:line="240" w:lineRule="auto"/>
              <w:rPr>
                <w:bCs/>
                <w:iCs/>
              </w:rPr>
            </w:pPr>
            <w:r>
              <w:rPr>
                <w:bCs/>
                <w:iCs/>
              </w:rPr>
              <w:t xml:space="preserve">Projected stressed losses are only projected annually; SHUSA will want a BAU metric to monitor more frequently. </w:t>
            </w:r>
            <w:r w:rsidRPr="00BB1132">
              <w:rPr>
                <w:bCs/>
                <w:iCs/>
              </w:rPr>
              <w:t>These metrics serve as early warning indicators of exceeding the CCAR loss budget</w:t>
            </w:r>
            <w:r>
              <w:rPr>
                <w:bCs/>
                <w:iCs/>
              </w:rPr>
              <w:t>.</w:t>
            </w:r>
          </w:p>
        </w:tc>
      </w:tr>
      <w:tr w:rsidR="00C40F7F" w:rsidRPr="00206D41" w14:paraId="333F0518" w14:textId="77777777" w:rsidTr="00D675A0">
        <w:trPr>
          <w:trHeight w:val="270"/>
        </w:trPr>
        <w:tc>
          <w:tcPr>
            <w:tcW w:w="1728" w:type="dxa"/>
            <w:shd w:val="clear" w:color="auto" w:fill="auto"/>
          </w:tcPr>
          <w:p w14:paraId="49AD766F" w14:textId="77777777" w:rsidR="00C40F7F" w:rsidRPr="00206D41" w:rsidRDefault="00C40F7F" w:rsidP="00E764E9">
            <w:pPr>
              <w:rPr>
                <w:b/>
                <w:bCs/>
                <w:iCs/>
              </w:rPr>
            </w:pPr>
            <w:r>
              <w:rPr>
                <w:b/>
                <w:bCs/>
                <w:iCs/>
              </w:rPr>
              <w:t>ENTITY</w:t>
            </w:r>
          </w:p>
        </w:tc>
        <w:tc>
          <w:tcPr>
            <w:tcW w:w="7630" w:type="dxa"/>
            <w:shd w:val="clear" w:color="auto" w:fill="auto"/>
          </w:tcPr>
          <w:p w14:paraId="079D291D" w14:textId="038A74E4" w:rsidR="00C40F7F" w:rsidRDefault="00C40F7F" w:rsidP="00C40F7F">
            <w:pPr>
              <w:spacing w:after="0" w:line="240" w:lineRule="auto"/>
              <w:rPr>
                <w:bCs/>
                <w:iCs/>
              </w:rPr>
            </w:pPr>
            <w:r w:rsidRPr="00F470D5">
              <w:rPr>
                <w:b/>
                <w:bCs/>
                <w:iCs/>
              </w:rPr>
              <w:t>SBNA</w:t>
            </w:r>
            <w:r>
              <w:rPr>
                <w:b/>
                <w:bCs/>
                <w:iCs/>
              </w:rPr>
              <w:t xml:space="preserve">, </w:t>
            </w:r>
            <w:r w:rsidRPr="00F470D5">
              <w:rPr>
                <w:b/>
                <w:bCs/>
                <w:iCs/>
              </w:rPr>
              <w:t>SC</w:t>
            </w:r>
            <w:r>
              <w:rPr>
                <w:b/>
                <w:bCs/>
                <w:iCs/>
              </w:rPr>
              <w:t>, BSPR</w:t>
            </w:r>
          </w:p>
        </w:tc>
      </w:tr>
      <w:tr w:rsidR="00C40F7F" w:rsidRPr="00206D41" w14:paraId="39E12030" w14:textId="77777777" w:rsidTr="005A61AF">
        <w:trPr>
          <w:trHeight w:val="536"/>
        </w:trPr>
        <w:tc>
          <w:tcPr>
            <w:tcW w:w="1728" w:type="dxa"/>
            <w:shd w:val="clear" w:color="auto" w:fill="auto"/>
          </w:tcPr>
          <w:p w14:paraId="0B62E70C" w14:textId="4FBDA8D0" w:rsidR="00C40F7F" w:rsidRDefault="00511F11" w:rsidP="00E764E9">
            <w:pPr>
              <w:rPr>
                <w:b/>
                <w:bCs/>
                <w:iCs/>
              </w:rPr>
            </w:pPr>
            <w:r>
              <w:rPr>
                <w:rFonts w:asciiTheme="minorHAnsi" w:hAnsiTheme="minorHAnsi"/>
                <w:b/>
                <w:bCs/>
                <w:iCs/>
              </w:rPr>
              <w:t>METRIC PROVIDER</w:t>
            </w:r>
          </w:p>
        </w:tc>
        <w:tc>
          <w:tcPr>
            <w:tcW w:w="7630" w:type="dxa"/>
            <w:shd w:val="clear" w:color="auto" w:fill="auto"/>
          </w:tcPr>
          <w:p w14:paraId="2276928E" w14:textId="26B15670" w:rsidR="00C40F7F" w:rsidRPr="00C40F7F" w:rsidRDefault="00C40F7F" w:rsidP="005A61AF">
            <w:pPr>
              <w:spacing w:after="0" w:line="240" w:lineRule="auto"/>
              <w:rPr>
                <w:b/>
                <w:bCs/>
                <w:iCs/>
              </w:rPr>
            </w:pPr>
            <w:r w:rsidRPr="00C40F7F">
              <w:rPr>
                <w:b/>
              </w:rPr>
              <w:t>SHUSA Credit Risk manager</w:t>
            </w:r>
            <w:r>
              <w:rPr>
                <w:b/>
              </w:rPr>
              <w:t xml:space="preserve">, </w:t>
            </w:r>
            <w:r w:rsidRPr="00C40F7F">
              <w:rPr>
                <w:b/>
              </w:rPr>
              <w:t>SBNA Heads of Business</w:t>
            </w:r>
            <w:r>
              <w:rPr>
                <w:b/>
              </w:rPr>
              <w:t xml:space="preserve">, </w:t>
            </w:r>
            <w:r w:rsidRPr="00C40F7F">
              <w:rPr>
                <w:b/>
              </w:rPr>
              <w:t xml:space="preserve">SC </w:t>
            </w:r>
            <w:r w:rsidR="005A61AF">
              <w:rPr>
                <w:b/>
              </w:rPr>
              <w:t>COO</w:t>
            </w:r>
            <w:r>
              <w:rPr>
                <w:b/>
              </w:rPr>
              <w:t>,</w:t>
            </w:r>
            <w:r w:rsidR="005A61AF">
              <w:rPr>
                <w:b/>
              </w:rPr>
              <w:t xml:space="preserve"> </w:t>
            </w:r>
            <w:r w:rsidRPr="00C40F7F">
              <w:rPr>
                <w:b/>
              </w:rPr>
              <w:t>BSPR Credit Risk</w:t>
            </w:r>
          </w:p>
        </w:tc>
      </w:tr>
      <w:tr w:rsidR="00E764E9" w:rsidRPr="00206D41" w14:paraId="39F62219" w14:textId="77777777" w:rsidTr="00F3693B">
        <w:trPr>
          <w:trHeight w:val="360"/>
        </w:trPr>
        <w:tc>
          <w:tcPr>
            <w:tcW w:w="1728" w:type="dxa"/>
            <w:shd w:val="clear" w:color="auto" w:fill="auto"/>
          </w:tcPr>
          <w:p w14:paraId="4CBE6E07" w14:textId="77777777" w:rsidR="00E764E9" w:rsidRPr="00206D41" w:rsidRDefault="00E764E9" w:rsidP="00E764E9">
            <w:pPr>
              <w:rPr>
                <w:b/>
                <w:bCs/>
                <w:iCs/>
              </w:rPr>
            </w:pPr>
            <w:r>
              <w:rPr>
                <w:b/>
                <w:bCs/>
                <w:iCs/>
              </w:rPr>
              <w:t>TRIGGER AND LIMIT SETTING</w:t>
            </w:r>
          </w:p>
        </w:tc>
        <w:tc>
          <w:tcPr>
            <w:tcW w:w="7630" w:type="dxa"/>
            <w:shd w:val="clear" w:color="auto" w:fill="auto"/>
          </w:tcPr>
          <w:p w14:paraId="408FE8F8" w14:textId="77777777" w:rsidR="00E764E9" w:rsidRDefault="00E764E9" w:rsidP="00E764E9">
            <w:pPr>
              <w:spacing w:after="0" w:line="240" w:lineRule="auto"/>
              <w:rPr>
                <w:bCs/>
                <w:iCs/>
              </w:rPr>
            </w:pPr>
            <w:r>
              <w:rPr>
                <w:bCs/>
                <w:iCs/>
              </w:rPr>
              <w:t>Net charge off (NCO) triggers and limits are established annually through a calibration process. Each material portfolio is analyzed as follows:</w:t>
            </w:r>
          </w:p>
          <w:p w14:paraId="6BE9578B" w14:textId="77777777" w:rsidR="00E764E9" w:rsidRDefault="00E764E9" w:rsidP="00E764E9">
            <w:pPr>
              <w:spacing w:after="0" w:line="240" w:lineRule="auto"/>
              <w:rPr>
                <w:bCs/>
                <w:iCs/>
              </w:rPr>
            </w:pPr>
          </w:p>
          <w:p w14:paraId="71D06D73" w14:textId="77777777" w:rsidR="00E764E9" w:rsidRPr="00537053" w:rsidRDefault="00E764E9" w:rsidP="00E764E9">
            <w:pPr>
              <w:pStyle w:val="ListParagraph"/>
              <w:numPr>
                <w:ilvl w:val="0"/>
                <w:numId w:val="8"/>
              </w:numPr>
              <w:spacing w:after="0" w:line="240" w:lineRule="auto"/>
              <w:rPr>
                <w:b/>
                <w:bCs/>
                <w:iCs/>
              </w:rPr>
            </w:pPr>
            <w:r w:rsidRPr="00537053">
              <w:rPr>
                <w:b/>
                <w:bCs/>
                <w:iCs/>
              </w:rPr>
              <w:t>Calibration of loss scalars:</w:t>
            </w:r>
          </w:p>
          <w:p w14:paraId="6403BBA7" w14:textId="77777777" w:rsidR="00E764E9" w:rsidRDefault="00E764E9" w:rsidP="00E764E9">
            <w:pPr>
              <w:pStyle w:val="ListParagraph"/>
              <w:numPr>
                <w:ilvl w:val="0"/>
                <w:numId w:val="50"/>
              </w:numPr>
              <w:spacing w:after="0" w:line="240" w:lineRule="auto"/>
              <w:rPr>
                <w:bCs/>
                <w:iCs/>
              </w:rPr>
            </w:pPr>
            <w:r>
              <w:rPr>
                <w:bCs/>
                <w:iCs/>
              </w:rPr>
              <w:t>Stress scalars are defined by dividing the average loss rates in stress conditions by the average in normal conditions.</w:t>
            </w:r>
          </w:p>
          <w:p w14:paraId="7E42DEA4" w14:textId="77777777" w:rsidR="00E764E9" w:rsidRDefault="00E764E9" w:rsidP="00E764E9">
            <w:pPr>
              <w:pStyle w:val="ListParagraph"/>
              <w:numPr>
                <w:ilvl w:val="0"/>
                <w:numId w:val="50"/>
              </w:numPr>
              <w:spacing w:after="0" w:line="240" w:lineRule="auto"/>
              <w:rPr>
                <w:bCs/>
                <w:iCs/>
              </w:rPr>
            </w:pPr>
            <w:r>
              <w:rPr>
                <w:bCs/>
                <w:iCs/>
              </w:rPr>
              <w:t>Starting CCAR stress scalars are calculated based on the most recent CCAR average stressed loss rates in BHC Stress compared to the loss rates in the Base scenario.</w:t>
            </w:r>
          </w:p>
          <w:p w14:paraId="666425C6" w14:textId="77777777" w:rsidR="00E764E9" w:rsidRDefault="00E764E9" w:rsidP="00E764E9">
            <w:pPr>
              <w:pStyle w:val="ListParagraph"/>
              <w:numPr>
                <w:ilvl w:val="0"/>
                <w:numId w:val="50"/>
              </w:numPr>
              <w:spacing w:after="0" w:line="240" w:lineRule="auto"/>
              <w:rPr>
                <w:bCs/>
                <w:iCs/>
              </w:rPr>
            </w:pPr>
            <w:r>
              <w:rPr>
                <w:bCs/>
                <w:iCs/>
              </w:rPr>
              <w:t>Comparison benchmarks are calculated using internal and external historical data, where the average NCO rates in crisis and normal conditions are calculated for the entities and the regulated banks.</w:t>
            </w:r>
          </w:p>
          <w:p w14:paraId="2B0A01DC" w14:textId="77777777" w:rsidR="00E764E9" w:rsidRPr="00930F07" w:rsidRDefault="00E764E9" w:rsidP="00E764E9">
            <w:pPr>
              <w:pStyle w:val="ListParagraph"/>
              <w:numPr>
                <w:ilvl w:val="0"/>
                <w:numId w:val="50"/>
              </w:numPr>
              <w:spacing w:after="0" w:line="240" w:lineRule="auto"/>
              <w:rPr>
                <w:iCs/>
                <w:color w:val="000000" w:themeColor="text1"/>
              </w:rPr>
            </w:pPr>
            <w:r>
              <w:rPr>
                <w:bCs/>
                <w:iCs/>
              </w:rPr>
              <w:t>Based on the benchmark data points and the expert judgment of senior management, stress scal</w:t>
            </w:r>
            <w:r w:rsidR="008C6AB0">
              <w:rPr>
                <w:bCs/>
                <w:iCs/>
              </w:rPr>
              <w:t>ars are adjusted to arrive at a</w:t>
            </w:r>
            <w:r>
              <w:rPr>
                <w:bCs/>
                <w:iCs/>
              </w:rPr>
              <w:t xml:space="preserve"> stress scalar used for setting each portfolio’s NCO limits. </w:t>
            </w:r>
            <w:r w:rsidRPr="00930F07">
              <w:rPr>
                <w:bCs/>
                <w:iCs/>
              </w:rPr>
              <w:t xml:space="preserve">  </w:t>
            </w:r>
          </w:p>
        </w:tc>
      </w:tr>
      <w:tr w:rsidR="00E764E9" w:rsidRPr="00206D41" w14:paraId="67624CA0" w14:textId="77777777" w:rsidTr="00F3693B">
        <w:trPr>
          <w:trHeight w:val="360"/>
        </w:trPr>
        <w:tc>
          <w:tcPr>
            <w:tcW w:w="1728" w:type="dxa"/>
            <w:shd w:val="clear" w:color="auto" w:fill="auto"/>
          </w:tcPr>
          <w:p w14:paraId="3286F65E" w14:textId="77777777" w:rsidR="00E764E9" w:rsidRPr="00206D41" w:rsidRDefault="00E764E9" w:rsidP="00E764E9">
            <w:pPr>
              <w:ind w:left="-60"/>
              <w:rPr>
                <w:b/>
                <w:bCs/>
                <w:iCs/>
              </w:rPr>
            </w:pPr>
          </w:p>
        </w:tc>
        <w:tc>
          <w:tcPr>
            <w:tcW w:w="7630" w:type="dxa"/>
            <w:shd w:val="clear" w:color="auto" w:fill="auto"/>
          </w:tcPr>
          <w:p w14:paraId="7EA65374" w14:textId="77777777" w:rsidR="00E764E9" w:rsidRPr="00537053" w:rsidRDefault="00E764E9" w:rsidP="00E764E9">
            <w:pPr>
              <w:pStyle w:val="ListParagraph"/>
              <w:numPr>
                <w:ilvl w:val="0"/>
                <w:numId w:val="8"/>
              </w:numPr>
              <w:spacing w:after="0" w:line="240" w:lineRule="auto"/>
              <w:rPr>
                <w:b/>
                <w:bCs/>
                <w:iCs/>
              </w:rPr>
            </w:pPr>
            <w:r w:rsidRPr="00537053">
              <w:rPr>
                <w:b/>
                <w:bCs/>
                <w:iCs/>
              </w:rPr>
              <w:t>Setting of triggers and limits for NCOs:</w:t>
            </w:r>
          </w:p>
          <w:p w14:paraId="4DDC8B24" w14:textId="77777777" w:rsidR="00E764E9" w:rsidRDefault="00E764E9" w:rsidP="00E764E9">
            <w:pPr>
              <w:pStyle w:val="ListParagraph"/>
              <w:numPr>
                <w:ilvl w:val="0"/>
                <w:numId w:val="51"/>
              </w:numPr>
              <w:spacing w:after="0" w:line="240" w:lineRule="auto"/>
              <w:rPr>
                <w:bCs/>
                <w:iCs/>
              </w:rPr>
            </w:pPr>
            <w:r>
              <w:rPr>
                <w:bCs/>
                <w:iCs/>
              </w:rPr>
              <w:t>Using the stressed CCAR projected credit losses by material portfolio defined for the amber trigger and the red limit in the previous metric, the cumulative 9Q losses are annualized ((losses/9)*4)</w:t>
            </w:r>
          </w:p>
          <w:p w14:paraId="20D2C39D" w14:textId="77777777" w:rsidR="00E764E9" w:rsidRDefault="00E764E9" w:rsidP="00E764E9">
            <w:pPr>
              <w:pStyle w:val="ListParagraph"/>
              <w:numPr>
                <w:ilvl w:val="0"/>
                <w:numId w:val="51"/>
              </w:numPr>
              <w:spacing w:after="0" w:line="240" w:lineRule="auto"/>
              <w:rPr>
                <w:bCs/>
                <w:iCs/>
              </w:rPr>
            </w:pPr>
            <w:r w:rsidRPr="00645516">
              <w:rPr>
                <w:bCs/>
                <w:iCs/>
              </w:rPr>
              <w:t xml:space="preserve">The annualized stressed losses are divided by the stress scalar arrived at in step </w:t>
            </w:r>
            <w:r>
              <w:rPr>
                <w:bCs/>
                <w:iCs/>
              </w:rPr>
              <w:t>A</w:t>
            </w:r>
            <w:r w:rsidRPr="00645516">
              <w:rPr>
                <w:bCs/>
                <w:iCs/>
              </w:rPr>
              <w:t xml:space="preserve">) above </w:t>
            </w:r>
            <w:r>
              <w:rPr>
                <w:bCs/>
                <w:iCs/>
              </w:rPr>
              <w:t xml:space="preserve">to back out implied </w:t>
            </w:r>
            <w:r w:rsidRPr="0044516A">
              <w:rPr>
                <w:bCs/>
                <w:iCs/>
              </w:rPr>
              <w:t>annualized baseline losses</w:t>
            </w:r>
          </w:p>
          <w:p w14:paraId="50A72837" w14:textId="77777777" w:rsidR="00E764E9" w:rsidRDefault="00E764E9" w:rsidP="00E764E9">
            <w:pPr>
              <w:pStyle w:val="ListParagraph"/>
              <w:numPr>
                <w:ilvl w:val="0"/>
                <w:numId w:val="51"/>
              </w:numPr>
              <w:spacing w:after="0" w:line="240" w:lineRule="auto"/>
              <w:rPr>
                <w:bCs/>
                <w:iCs/>
              </w:rPr>
            </w:pPr>
            <w:r w:rsidRPr="00FB164D">
              <w:rPr>
                <w:bCs/>
                <w:iCs/>
              </w:rPr>
              <w:t xml:space="preserve">The NCO rate is calculated based on implied annualized baseline losses and the portfolio’s average outstanding balances over the period of losses observed (9Q of BHC Stress). </w:t>
            </w:r>
          </w:p>
          <w:p w14:paraId="37BE9914" w14:textId="77777777" w:rsidR="00E764E9" w:rsidRPr="00FB164D" w:rsidRDefault="00E764E9" w:rsidP="00E764E9">
            <w:pPr>
              <w:pStyle w:val="ListParagraph"/>
              <w:numPr>
                <w:ilvl w:val="0"/>
                <w:numId w:val="51"/>
              </w:numPr>
              <w:spacing w:after="0" w:line="240" w:lineRule="auto"/>
              <w:rPr>
                <w:bCs/>
                <w:iCs/>
              </w:rPr>
            </w:pPr>
            <w:r w:rsidRPr="00FB164D">
              <w:rPr>
                <w:bCs/>
                <w:iCs/>
              </w:rPr>
              <w:t>The portfolio-level NCO rate limits are then aggregated to an entity-level (SBNA, SC, BSPR) NCO rate limit using a weighted-average.</w:t>
            </w:r>
          </w:p>
          <w:p w14:paraId="2603589A" w14:textId="77777777" w:rsidR="00E764E9" w:rsidRDefault="00E764E9" w:rsidP="00E764E9">
            <w:pPr>
              <w:pStyle w:val="ListParagraph"/>
              <w:numPr>
                <w:ilvl w:val="0"/>
                <w:numId w:val="51"/>
              </w:numPr>
              <w:spacing w:after="0" w:line="240" w:lineRule="auto"/>
              <w:rPr>
                <w:bCs/>
                <w:iCs/>
              </w:rPr>
            </w:pPr>
            <w:r>
              <w:rPr>
                <w:bCs/>
                <w:iCs/>
              </w:rPr>
              <w:t xml:space="preserve">The analysis is reviewed by internal experts and senior management, who adjust the NCOs if required </w:t>
            </w:r>
          </w:p>
          <w:p w14:paraId="696AD898" w14:textId="77777777" w:rsidR="00E764E9" w:rsidRDefault="00E764E9" w:rsidP="00E764E9">
            <w:pPr>
              <w:pStyle w:val="ListParagraph"/>
              <w:numPr>
                <w:ilvl w:val="0"/>
                <w:numId w:val="51"/>
              </w:numPr>
              <w:spacing w:after="0" w:line="240" w:lineRule="auto"/>
              <w:rPr>
                <w:bCs/>
                <w:iCs/>
              </w:rPr>
            </w:pPr>
            <w:r>
              <w:rPr>
                <w:bCs/>
                <w:iCs/>
              </w:rPr>
              <w:t>The agreed NCO rates are back tested against the historical time-series and forecasted rates (strategic budget and CCAR forecasts, as available) to observe the number of breaches expected over time, thus checking that the limits are appropriate and reasonable.</w:t>
            </w:r>
          </w:p>
          <w:p w14:paraId="43043874" w14:textId="77777777" w:rsidR="00E764E9" w:rsidRDefault="00E764E9" w:rsidP="00E764E9">
            <w:pPr>
              <w:spacing w:after="0" w:line="240" w:lineRule="auto"/>
              <w:rPr>
                <w:bCs/>
                <w:iCs/>
              </w:rPr>
            </w:pPr>
          </w:p>
          <w:p w14:paraId="13F68FF0" w14:textId="77777777" w:rsidR="00E764E9" w:rsidRPr="005B6B9B" w:rsidRDefault="00E764E9" w:rsidP="00E764E9">
            <w:pPr>
              <w:spacing w:after="0" w:line="240" w:lineRule="auto"/>
              <w:rPr>
                <w:bCs/>
                <w:iCs/>
              </w:rPr>
            </w:pPr>
          </w:p>
          <w:p w14:paraId="74FC9CD6" w14:textId="77777777" w:rsidR="00E764E9" w:rsidRDefault="00E764E9" w:rsidP="00E764E9">
            <w:pPr>
              <w:pStyle w:val="ListParagraph"/>
              <w:numPr>
                <w:ilvl w:val="0"/>
                <w:numId w:val="52"/>
              </w:numPr>
              <w:spacing w:after="0" w:line="240" w:lineRule="auto"/>
              <w:rPr>
                <w:bCs/>
                <w:iCs/>
              </w:rPr>
            </w:pPr>
            <w:r w:rsidRPr="00645516">
              <w:rPr>
                <w:bCs/>
                <w:iCs/>
              </w:rPr>
              <w:t xml:space="preserve">Amber trigger: is set based on the amber </w:t>
            </w:r>
            <w:r>
              <w:rPr>
                <w:bCs/>
                <w:iCs/>
              </w:rPr>
              <w:t>CCAR projected annualized credit losses</w:t>
            </w:r>
            <w:r w:rsidRPr="00645516">
              <w:rPr>
                <w:bCs/>
                <w:iCs/>
              </w:rPr>
              <w:t xml:space="preserve"> amount </w:t>
            </w:r>
          </w:p>
          <w:p w14:paraId="1A19B5DB" w14:textId="77777777" w:rsidR="00E764E9" w:rsidRPr="00F470D5" w:rsidRDefault="00E764E9" w:rsidP="00E764E9">
            <w:pPr>
              <w:pStyle w:val="ListParagraph"/>
              <w:numPr>
                <w:ilvl w:val="0"/>
                <w:numId w:val="52"/>
              </w:numPr>
              <w:spacing w:after="0" w:line="240" w:lineRule="auto"/>
              <w:rPr>
                <w:iCs/>
                <w:color w:val="000000" w:themeColor="text1"/>
              </w:rPr>
            </w:pPr>
            <w:r w:rsidRPr="00645516">
              <w:rPr>
                <w:bCs/>
                <w:iCs/>
              </w:rPr>
              <w:t xml:space="preserve">Red Limit: is set based on the </w:t>
            </w:r>
            <w:r>
              <w:rPr>
                <w:bCs/>
                <w:iCs/>
              </w:rPr>
              <w:t>red CCAR projected annualized credit losses amount</w:t>
            </w:r>
            <w:r w:rsidRPr="00645516">
              <w:rPr>
                <w:bCs/>
                <w:iCs/>
              </w:rPr>
              <w:t xml:space="preserve">    </w:t>
            </w:r>
          </w:p>
        </w:tc>
      </w:tr>
      <w:tr w:rsidR="00E764E9" w:rsidRPr="00206D41" w14:paraId="6B85E41E" w14:textId="77777777" w:rsidTr="00F3693B">
        <w:trPr>
          <w:trHeight w:val="360"/>
        </w:trPr>
        <w:tc>
          <w:tcPr>
            <w:tcW w:w="1728" w:type="dxa"/>
            <w:shd w:val="clear" w:color="auto" w:fill="auto"/>
          </w:tcPr>
          <w:p w14:paraId="41228D90" w14:textId="77777777" w:rsidR="00E764E9" w:rsidRPr="00206D41" w:rsidRDefault="00E764E9" w:rsidP="00E764E9">
            <w:pPr>
              <w:rPr>
                <w:b/>
                <w:bCs/>
                <w:iCs/>
              </w:rPr>
            </w:pPr>
            <w:r w:rsidRPr="005B0BAF">
              <w:rPr>
                <w:rFonts w:asciiTheme="minorHAnsi" w:hAnsiTheme="minorHAnsi"/>
                <w:b/>
                <w:bCs/>
                <w:iCs/>
              </w:rPr>
              <w:t>TESTING FREQUENCY</w:t>
            </w:r>
          </w:p>
        </w:tc>
        <w:tc>
          <w:tcPr>
            <w:tcW w:w="7630" w:type="dxa"/>
            <w:shd w:val="clear" w:color="auto" w:fill="auto"/>
          </w:tcPr>
          <w:p w14:paraId="659D9551" w14:textId="77777777" w:rsidR="00E764E9" w:rsidRDefault="00E764E9" w:rsidP="00E764E9">
            <w:pPr>
              <w:rPr>
                <w:rFonts w:asciiTheme="minorHAnsi" w:eastAsiaTheme="minorHAnsi" w:hAnsiTheme="minorHAnsi" w:cstheme="minorBidi"/>
                <w:iCs/>
                <w:color w:val="000000" w:themeColor="text1"/>
              </w:rPr>
            </w:pPr>
            <w:r>
              <w:rPr>
                <w:rFonts w:asciiTheme="minorHAnsi" w:eastAsiaTheme="minorHAnsi" w:hAnsiTheme="minorHAnsi" w:cstheme="minorBidi"/>
                <w:iCs/>
                <w:color w:val="000000" w:themeColor="text1"/>
              </w:rPr>
              <w:t xml:space="preserve">Monthly. </w:t>
            </w:r>
          </w:p>
          <w:p w14:paraId="6976339E" w14:textId="77777777" w:rsidR="00E764E9" w:rsidRPr="005633DD" w:rsidRDefault="00E764E9" w:rsidP="00E764E9">
            <w:pPr>
              <w:rPr>
                <w:rFonts w:asciiTheme="minorHAnsi" w:eastAsiaTheme="minorHAnsi" w:hAnsiTheme="minorHAnsi" w:cstheme="minorBidi"/>
                <w:iCs/>
              </w:rPr>
            </w:pPr>
            <w:r>
              <w:rPr>
                <w:rFonts w:asciiTheme="minorHAnsi" w:eastAsiaTheme="minorHAnsi" w:hAnsiTheme="minorHAnsi" w:cstheme="minorBidi"/>
                <w:iCs/>
              </w:rPr>
              <w:t>A</w:t>
            </w:r>
            <w:r w:rsidRPr="005633DD">
              <w:rPr>
                <w:rFonts w:asciiTheme="minorHAnsi" w:eastAsiaTheme="minorHAnsi" w:hAnsiTheme="minorHAnsi" w:cstheme="minorBidi"/>
                <w:iCs/>
              </w:rPr>
              <w:t xml:space="preserve">nnualized monthly net charge-offs are defined as: </w:t>
            </w:r>
          </w:p>
          <w:p w14:paraId="76A72384" w14:textId="77777777" w:rsidR="00E764E9" w:rsidRPr="002A5DA6" w:rsidRDefault="00DB2B0B" w:rsidP="00E764E9">
            <w:pPr>
              <w:jc w:val="center"/>
              <w:rPr>
                <w:rFonts w:asciiTheme="minorHAnsi" w:eastAsiaTheme="minorHAnsi" w:hAnsiTheme="minorHAnsi" w:cstheme="minorBidi"/>
                <w:iCs/>
                <w:sz w:val="28"/>
                <w:szCs w:val="28"/>
              </w:rPr>
            </w:pPr>
            <m:oMath>
              <m:f>
                <m:fPr>
                  <m:ctrlPr>
                    <w:rPr>
                      <w:rFonts w:ascii="Cambria Math" w:eastAsiaTheme="minorHAnsi" w:hAnsi="Cambria Math" w:cstheme="minorBidi"/>
                      <w:i/>
                      <w:iCs/>
                      <w:sz w:val="28"/>
                      <w:szCs w:val="28"/>
                    </w:rPr>
                  </m:ctrlPr>
                </m:fPr>
                <m:num>
                  <m:r>
                    <w:rPr>
                      <w:rFonts w:ascii="Cambria Math" w:eastAsiaTheme="minorHAnsi" w:hAnsi="Cambria Math" w:cstheme="minorBidi"/>
                      <w:sz w:val="28"/>
                      <w:szCs w:val="28"/>
                    </w:rPr>
                    <m:t>Sum of 12 month trailing Net Loss balance</m:t>
                  </m:r>
                </m:num>
                <m:den>
                  <m:r>
                    <w:rPr>
                      <w:rFonts w:ascii="Cambria Math" w:eastAsiaTheme="minorHAnsi" w:hAnsi="Cambria Math" w:cstheme="minorBidi"/>
                      <w:sz w:val="28"/>
                      <w:szCs w:val="28"/>
                    </w:rPr>
                    <m:t>Average of 12 months trailing Outstanding balance</m:t>
                  </m:r>
                </m:den>
              </m:f>
            </m:oMath>
            <w:r w:rsidR="00E764E9" w:rsidRPr="002A5DA6">
              <w:rPr>
                <w:rFonts w:asciiTheme="minorHAnsi" w:eastAsiaTheme="minorHAnsi" w:hAnsiTheme="minorHAnsi" w:cstheme="minorBidi"/>
                <w:iCs/>
                <w:sz w:val="28"/>
                <w:szCs w:val="28"/>
              </w:rPr>
              <w:t xml:space="preserve"> </w:t>
            </w:r>
          </w:p>
          <w:p w14:paraId="050A671B" w14:textId="77777777" w:rsidR="00E764E9" w:rsidRDefault="00E764E9" w:rsidP="00E764E9">
            <w:pPr>
              <w:rPr>
                <w:color w:val="1F497D"/>
              </w:rPr>
            </w:pPr>
            <w:r>
              <w:rPr>
                <w:rFonts w:asciiTheme="minorHAnsi" w:eastAsiaTheme="minorHAnsi" w:hAnsiTheme="minorHAnsi" w:cstheme="minorBidi"/>
                <w:iCs/>
                <w:color w:val="000000" w:themeColor="text1"/>
              </w:rPr>
              <w:t>Total outstanding balances are defined as total on “balance sheet” balances, including interest accruing and non-interest accruing (NPL) balances. Outstanding balances are as of the last day of the month.</w:t>
            </w:r>
            <w:r>
              <w:rPr>
                <w:color w:val="1F497D"/>
              </w:rPr>
              <w:t xml:space="preserve">  </w:t>
            </w:r>
          </w:p>
          <w:p w14:paraId="7B223CDD" w14:textId="77777777" w:rsidR="00E764E9" w:rsidRPr="007973F5" w:rsidRDefault="00E764E9" w:rsidP="00E764E9">
            <w:pPr>
              <w:rPr>
                <w:color w:val="1F497D"/>
              </w:rPr>
            </w:pPr>
            <w:r w:rsidRPr="00537053">
              <w:rPr>
                <w:rFonts w:asciiTheme="minorHAnsi" w:eastAsiaTheme="minorHAnsi" w:hAnsiTheme="minorHAnsi" w:cstheme="minorBidi"/>
                <w:iCs/>
                <w:color w:val="000000" w:themeColor="text1"/>
              </w:rPr>
              <w:t xml:space="preserve">The monthly numerator and denominator should be compared to those used in the setting of the metric in order to highlight any divergence </w:t>
            </w:r>
            <w:r>
              <w:rPr>
                <w:rFonts w:asciiTheme="minorHAnsi" w:eastAsiaTheme="minorHAnsi" w:hAnsiTheme="minorHAnsi" w:cstheme="minorBidi"/>
                <w:iCs/>
                <w:color w:val="000000" w:themeColor="text1"/>
              </w:rPr>
              <w:t xml:space="preserve">may be distorting the actuals versus the expected behavior of the portfolio. </w:t>
            </w:r>
            <w:r>
              <w:rPr>
                <w:color w:val="1F497D"/>
              </w:rPr>
              <w:t xml:space="preserve">   </w:t>
            </w:r>
          </w:p>
        </w:tc>
      </w:tr>
      <w:tr w:rsidR="00E764E9" w:rsidRPr="00206D41" w14:paraId="65199EB2" w14:textId="77777777" w:rsidTr="00F3693B">
        <w:trPr>
          <w:trHeight w:val="525"/>
        </w:trPr>
        <w:tc>
          <w:tcPr>
            <w:tcW w:w="1728" w:type="dxa"/>
            <w:shd w:val="clear" w:color="auto" w:fill="auto"/>
          </w:tcPr>
          <w:p w14:paraId="0A8D3A3A" w14:textId="77777777" w:rsidR="00E764E9" w:rsidRPr="00206D41" w:rsidRDefault="00E764E9" w:rsidP="00E764E9">
            <w:pPr>
              <w:rPr>
                <w:b/>
                <w:bCs/>
                <w:iCs/>
              </w:rPr>
            </w:pPr>
            <w:r w:rsidRPr="00206D41">
              <w:rPr>
                <w:b/>
                <w:bCs/>
                <w:iCs/>
              </w:rPr>
              <w:t>SOURCE OF INFORMATION</w:t>
            </w:r>
          </w:p>
        </w:tc>
        <w:tc>
          <w:tcPr>
            <w:tcW w:w="7630" w:type="dxa"/>
            <w:shd w:val="clear" w:color="auto" w:fill="auto"/>
          </w:tcPr>
          <w:p w14:paraId="66FF8920" w14:textId="77777777" w:rsidR="00E764E9" w:rsidRPr="003B5980" w:rsidRDefault="00E764E9" w:rsidP="00E764E9">
            <w:pPr>
              <w:spacing w:after="120"/>
              <w:rPr>
                <w:rFonts w:asciiTheme="minorHAnsi" w:eastAsiaTheme="minorHAnsi" w:hAnsiTheme="minorHAnsi" w:cstheme="minorBidi"/>
                <w:iCs/>
                <w:color w:val="000000" w:themeColor="text1"/>
              </w:rPr>
            </w:pPr>
            <w:r w:rsidRPr="003B5980">
              <w:rPr>
                <w:rFonts w:asciiTheme="minorHAnsi" w:eastAsiaTheme="minorHAnsi" w:hAnsiTheme="minorHAnsi" w:cstheme="minorBidi"/>
                <w:iCs/>
                <w:color w:val="000000" w:themeColor="text1"/>
              </w:rPr>
              <w:t xml:space="preserve">SBNA Risk MI - Most recent month’s total net charge-offs and Total outstanding balances by portfolio are available within the Credit Metric Trends report (Commercial and Retail Risk data) published by SBNA Risk MI on a monthly basis. The report is available at </w:t>
            </w:r>
            <w:hyperlink r:id="rId10" w:history="1">
              <w:r w:rsidRPr="003B5980">
                <w:rPr>
                  <w:rFonts w:asciiTheme="minorHAnsi" w:eastAsiaTheme="minorHAnsi" w:hAnsiTheme="minorHAnsi" w:cstheme="minorBidi"/>
                  <w:iCs/>
                  <w:color w:val="000000" w:themeColor="text1"/>
                </w:rPr>
                <w:t>R:\CRMIS\DEPT\REPORTS\Credit Metrics</w:t>
              </w:r>
            </w:hyperlink>
          </w:p>
          <w:p w14:paraId="33C1BC64" w14:textId="57436D32" w:rsidR="002D0B8B" w:rsidRDefault="00E764E9" w:rsidP="002D0B8B">
            <w:pPr>
              <w:pStyle w:val="CommentText"/>
            </w:pPr>
            <w:r w:rsidRPr="002D0B8B">
              <w:rPr>
                <w:rFonts w:asciiTheme="minorHAnsi" w:eastAsiaTheme="minorHAnsi" w:hAnsiTheme="minorHAnsi" w:cstheme="minorBidi"/>
                <w:iCs/>
                <w:color w:val="000000" w:themeColor="text1"/>
              </w:rPr>
              <w:t xml:space="preserve">SC </w:t>
            </w:r>
            <w:r w:rsidR="003B5980" w:rsidRPr="002D0B8B">
              <w:rPr>
                <w:rFonts w:asciiTheme="minorHAnsi" w:eastAsiaTheme="minorHAnsi" w:hAnsiTheme="minorHAnsi" w:cstheme="minorBidi"/>
                <w:iCs/>
                <w:color w:val="000000" w:themeColor="text1"/>
              </w:rPr>
              <w:t xml:space="preserve">- </w:t>
            </w:r>
            <w:r w:rsidR="003B5980">
              <w:t>The</w:t>
            </w:r>
            <w:r w:rsidR="002D0B8B">
              <w:t xml:space="preserve"> data is queried from SC’s data warehouse by the Operational Data Development team.</w:t>
            </w:r>
          </w:p>
          <w:p w14:paraId="519891AE" w14:textId="17BC6A1A" w:rsidR="00E764E9" w:rsidRPr="00FB164D" w:rsidRDefault="00DF7DD0" w:rsidP="00E764E9">
            <w:pPr>
              <w:rPr>
                <w:iCs/>
                <w:highlight w:val="yellow"/>
              </w:rPr>
            </w:pPr>
            <w:r>
              <w:rPr>
                <w:iCs/>
              </w:rPr>
              <w:t>BSPR</w:t>
            </w:r>
            <w:r w:rsidR="00E764E9" w:rsidRPr="003B5980">
              <w:rPr>
                <w:iCs/>
              </w:rPr>
              <w:t xml:space="preserve"> </w:t>
            </w:r>
            <w:r w:rsidRPr="003B5980">
              <w:rPr>
                <w:iCs/>
              </w:rPr>
              <w:t xml:space="preserve">– </w:t>
            </w:r>
            <w:r w:rsidRPr="003D435B">
              <w:rPr>
                <w:iCs/>
              </w:rPr>
              <w:t>The</w:t>
            </w:r>
            <w:r w:rsidRPr="003D435B">
              <w:rPr>
                <w:iCs/>
              </w:rPr>
              <w:t xml:space="preserve"> information is provided by </w:t>
            </w:r>
            <w:r>
              <w:rPr>
                <w:iCs/>
              </w:rPr>
              <w:t xml:space="preserve">the Credit </w:t>
            </w:r>
            <w:r w:rsidRPr="003D435B">
              <w:rPr>
                <w:iCs/>
              </w:rPr>
              <w:t xml:space="preserve">Risk MI </w:t>
            </w:r>
            <w:r>
              <w:rPr>
                <w:iCs/>
              </w:rPr>
              <w:t xml:space="preserve">area </w:t>
            </w:r>
            <w:r w:rsidRPr="003D435B">
              <w:rPr>
                <w:iCs/>
              </w:rPr>
              <w:t>on a monthly basis</w:t>
            </w:r>
            <w:r>
              <w:rPr>
                <w:iCs/>
              </w:rPr>
              <w:t xml:space="preserve"> and included within the Credit Trends Report.</w:t>
            </w:r>
          </w:p>
        </w:tc>
      </w:tr>
    </w:tbl>
    <w:p w14:paraId="4CD0D911" w14:textId="77777777" w:rsidR="00611623" w:rsidRDefault="00611623" w:rsidP="00FC6780">
      <w:pPr>
        <w:pStyle w:val="SANUS2"/>
        <w:rPr>
          <w:color w:val="000000" w:themeColor="text1"/>
        </w:rPr>
      </w:pPr>
    </w:p>
    <w:p w14:paraId="036ABF4E" w14:textId="77777777" w:rsidR="00883CD9" w:rsidRPr="005619E7" w:rsidRDefault="00A43D45" w:rsidP="00FD1AD4">
      <w:pPr>
        <w:pStyle w:val="SANUS2"/>
        <w:numPr>
          <w:ilvl w:val="1"/>
          <w:numId w:val="1"/>
        </w:numPr>
        <w:tabs>
          <w:tab w:val="num" w:pos="540"/>
        </w:tabs>
        <w:ind w:left="567" w:hanging="567"/>
        <w:rPr>
          <w:color w:val="000000" w:themeColor="text1"/>
        </w:rPr>
      </w:pPr>
      <w:bookmarkStart w:id="81" w:name="_Toc452544122"/>
      <w:bookmarkStart w:id="82" w:name="_Toc453849284"/>
      <w:r w:rsidRPr="005619E7">
        <w:rPr>
          <w:color w:val="000000" w:themeColor="text1"/>
        </w:rPr>
        <w:t>%</w:t>
      </w:r>
      <w:r w:rsidR="005619E7" w:rsidRPr="005619E7">
        <w:rPr>
          <w:color w:val="000000" w:themeColor="text1"/>
        </w:rPr>
        <w:t>60/</w:t>
      </w:r>
      <w:r w:rsidRPr="005619E7">
        <w:rPr>
          <w:color w:val="000000" w:themeColor="text1"/>
        </w:rPr>
        <w:t xml:space="preserve"> 61+ days past due</w:t>
      </w:r>
      <w:bookmarkEnd w:id="81"/>
      <w:bookmarkEnd w:id="82"/>
      <w:r w:rsidR="00EB67F3" w:rsidRPr="005619E7">
        <w:rPr>
          <w:color w:val="000000" w:themeColor="text1"/>
        </w:rPr>
        <w:t xml:space="preserve">   </w:t>
      </w:r>
    </w:p>
    <w:tbl>
      <w:tblPr>
        <w:tblpPr w:leftFromText="180" w:rightFromText="180" w:vertAnchor="text" w:tblpX="168" w:tblpY="1"/>
        <w:tblOverlap w:val="never"/>
        <w:tblW w:w="9378"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Look w:val="0000" w:firstRow="0" w:lastRow="0" w:firstColumn="0" w:lastColumn="0" w:noHBand="0" w:noVBand="0"/>
      </w:tblPr>
      <w:tblGrid>
        <w:gridCol w:w="1581"/>
        <w:gridCol w:w="7797"/>
      </w:tblGrid>
      <w:tr w:rsidR="00EE0CC1" w:rsidRPr="00206D41" w14:paraId="31AF6FFA" w14:textId="77777777" w:rsidTr="00611623">
        <w:trPr>
          <w:cantSplit/>
          <w:trHeight w:val="527"/>
        </w:trPr>
        <w:tc>
          <w:tcPr>
            <w:tcW w:w="1581" w:type="dxa"/>
            <w:shd w:val="clear" w:color="auto" w:fill="auto"/>
          </w:tcPr>
          <w:p w14:paraId="3139D26D" w14:textId="77777777" w:rsidR="00EE0CC1" w:rsidRPr="00206D41" w:rsidRDefault="00EE0CC1" w:rsidP="00F3693B">
            <w:pPr>
              <w:rPr>
                <w:b/>
                <w:bCs/>
                <w:iCs/>
              </w:rPr>
            </w:pPr>
            <w:r>
              <w:rPr>
                <w:b/>
                <w:bCs/>
                <w:iCs/>
              </w:rPr>
              <w:t>DEFINITION</w:t>
            </w:r>
          </w:p>
        </w:tc>
        <w:tc>
          <w:tcPr>
            <w:tcW w:w="7797" w:type="dxa"/>
            <w:shd w:val="clear" w:color="auto" w:fill="auto"/>
          </w:tcPr>
          <w:p w14:paraId="124A7731" w14:textId="77777777" w:rsidR="00EE0CC1" w:rsidRDefault="00EE0CC1" w:rsidP="00F3693B">
            <w:pPr>
              <w:rPr>
                <w:color w:val="000000" w:themeColor="text1"/>
              </w:rPr>
            </w:pPr>
            <w:r>
              <w:rPr>
                <w:bCs/>
                <w:iCs/>
              </w:rPr>
              <w:t>The percentage of total outstanding balances 60+ /</w:t>
            </w:r>
            <w:r w:rsidRPr="00883CD9">
              <w:rPr>
                <w:bCs/>
                <w:iCs/>
              </w:rPr>
              <w:t xml:space="preserve"> 61</w:t>
            </w:r>
            <w:r>
              <w:rPr>
                <w:bCs/>
                <w:iCs/>
              </w:rPr>
              <w:t>+</w:t>
            </w:r>
            <w:r w:rsidRPr="00883CD9">
              <w:rPr>
                <w:bCs/>
                <w:iCs/>
              </w:rPr>
              <w:t xml:space="preserve"> days</w:t>
            </w:r>
            <w:r>
              <w:rPr>
                <w:bCs/>
                <w:iCs/>
              </w:rPr>
              <w:t xml:space="preserve"> </w:t>
            </w:r>
            <w:r w:rsidRPr="00883CD9">
              <w:rPr>
                <w:bCs/>
                <w:iCs/>
              </w:rPr>
              <w:t>delinque</w:t>
            </w:r>
            <w:r>
              <w:rPr>
                <w:bCs/>
                <w:iCs/>
              </w:rPr>
              <w:t xml:space="preserve">nt, for material </w:t>
            </w:r>
            <w:r w:rsidRPr="00883CD9">
              <w:rPr>
                <w:bCs/>
                <w:iCs/>
              </w:rPr>
              <w:t>portfolios.</w:t>
            </w:r>
            <w:r>
              <w:rPr>
                <w:bCs/>
                <w:iCs/>
              </w:rPr>
              <w:t xml:space="preserve"> </w:t>
            </w:r>
            <w:r w:rsidRPr="009E039E">
              <w:rPr>
                <w:color w:val="000000" w:themeColor="text1"/>
              </w:rPr>
              <w:t xml:space="preserve"> </w:t>
            </w:r>
          </w:p>
          <w:p w14:paraId="4DCB533D" w14:textId="77777777" w:rsidR="00EE0CC1" w:rsidRDefault="00EE0CC1" w:rsidP="00F3693B">
            <w:pPr>
              <w:rPr>
                <w:bCs/>
                <w:iCs/>
              </w:rPr>
            </w:pPr>
            <w:r w:rsidRPr="009E039E">
              <w:rPr>
                <w:color w:val="000000" w:themeColor="text1"/>
              </w:rPr>
              <w:t>SBNA</w:t>
            </w:r>
            <w:r>
              <w:rPr>
                <w:color w:val="000000" w:themeColor="text1"/>
              </w:rPr>
              <w:t xml:space="preserve"> and BSPR</w:t>
            </w:r>
            <w:r w:rsidRPr="009E039E">
              <w:rPr>
                <w:color w:val="000000" w:themeColor="text1"/>
              </w:rPr>
              <w:t xml:space="preserve"> track delinquencies at 60+ days; SC tracks delinquency at 61+ days.</w:t>
            </w:r>
          </w:p>
          <w:p w14:paraId="0C452D18" w14:textId="77777777" w:rsidR="00EE0CC1" w:rsidRDefault="00EE0CC1" w:rsidP="00F3693B">
            <w:pPr>
              <w:spacing w:after="0" w:line="240" w:lineRule="auto"/>
              <w:rPr>
                <w:bCs/>
                <w:iCs/>
              </w:rPr>
            </w:pPr>
            <w:r>
              <w:rPr>
                <w:bCs/>
                <w:iCs/>
              </w:rPr>
              <w:t>Material portfolios are defined as:</w:t>
            </w:r>
          </w:p>
          <w:p w14:paraId="54DFB4B4" w14:textId="77777777" w:rsidR="00EE0CC1" w:rsidRPr="00930F07" w:rsidRDefault="00EE0CC1" w:rsidP="00F3693B">
            <w:pPr>
              <w:pStyle w:val="ListParagraph"/>
              <w:numPr>
                <w:ilvl w:val="0"/>
                <w:numId w:val="6"/>
              </w:numPr>
              <w:spacing w:after="0" w:line="240" w:lineRule="auto"/>
              <w:rPr>
                <w:bCs/>
                <w:iCs/>
              </w:rPr>
            </w:pPr>
            <w:r>
              <w:rPr>
                <w:bCs/>
                <w:iCs/>
                <w:lang w:val="en-US"/>
              </w:rPr>
              <w:t xml:space="preserve">SC Auto </w:t>
            </w:r>
          </w:p>
          <w:p w14:paraId="25244611" w14:textId="77777777" w:rsidR="00EE0CC1" w:rsidRDefault="00EE0CC1" w:rsidP="00F3693B">
            <w:pPr>
              <w:pStyle w:val="ListParagraph"/>
              <w:numPr>
                <w:ilvl w:val="0"/>
                <w:numId w:val="6"/>
              </w:numPr>
              <w:spacing w:after="0" w:line="240" w:lineRule="auto"/>
              <w:rPr>
                <w:bCs/>
                <w:iCs/>
              </w:rPr>
            </w:pPr>
            <w:r>
              <w:rPr>
                <w:bCs/>
                <w:iCs/>
              </w:rPr>
              <w:t>SBNA Retail</w:t>
            </w:r>
          </w:p>
          <w:p w14:paraId="7BA0CA7F" w14:textId="77777777" w:rsidR="00EE0CC1" w:rsidRPr="008415BA" w:rsidRDefault="00EE0CC1" w:rsidP="00F3693B">
            <w:pPr>
              <w:pStyle w:val="ListParagraph"/>
              <w:numPr>
                <w:ilvl w:val="0"/>
                <w:numId w:val="6"/>
              </w:numPr>
              <w:spacing w:after="0" w:line="240" w:lineRule="auto"/>
              <w:rPr>
                <w:bCs/>
                <w:iCs/>
              </w:rPr>
            </w:pPr>
            <w:r>
              <w:rPr>
                <w:bCs/>
                <w:iCs/>
              </w:rPr>
              <w:t>BSPR (Commercial &amp; Other, Personal Loans, Mortgages, Credit Cards)</w:t>
            </w:r>
          </w:p>
          <w:p w14:paraId="62855F8C" w14:textId="77777777" w:rsidR="00EE0CC1" w:rsidRPr="00930F07" w:rsidRDefault="00EE0CC1" w:rsidP="00F3693B">
            <w:pPr>
              <w:spacing w:after="0" w:line="240" w:lineRule="auto"/>
              <w:rPr>
                <w:b/>
                <w:bCs/>
                <w:iCs/>
                <w:lang w:val="en-GB"/>
              </w:rPr>
            </w:pPr>
          </w:p>
        </w:tc>
      </w:tr>
      <w:tr w:rsidR="00EE0CC1" w:rsidRPr="00206D41" w14:paraId="243C4BCB" w14:textId="77777777" w:rsidTr="00611623">
        <w:trPr>
          <w:trHeight w:val="437"/>
        </w:trPr>
        <w:tc>
          <w:tcPr>
            <w:tcW w:w="1581" w:type="dxa"/>
            <w:shd w:val="clear" w:color="auto" w:fill="auto"/>
          </w:tcPr>
          <w:p w14:paraId="326795CC" w14:textId="77777777" w:rsidR="00EE0CC1" w:rsidRPr="00206D41" w:rsidRDefault="00EE0CC1" w:rsidP="00F3693B">
            <w:pPr>
              <w:rPr>
                <w:b/>
                <w:bCs/>
                <w:iCs/>
              </w:rPr>
            </w:pPr>
            <w:r>
              <w:rPr>
                <w:b/>
                <w:bCs/>
                <w:iCs/>
              </w:rPr>
              <w:t>RISK TYPE</w:t>
            </w:r>
          </w:p>
        </w:tc>
        <w:tc>
          <w:tcPr>
            <w:tcW w:w="7797" w:type="dxa"/>
            <w:shd w:val="clear" w:color="auto" w:fill="auto"/>
          </w:tcPr>
          <w:p w14:paraId="4AEA93FE" w14:textId="77777777" w:rsidR="00EE0CC1" w:rsidRPr="00206D41" w:rsidRDefault="00EE0CC1" w:rsidP="00F3693B">
            <w:pPr>
              <w:spacing w:after="0" w:line="240" w:lineRule="auto"/>
              <w:rPr>
                <w:bCs/>
                <w:iCs/>
              </w:rPr>
            </w:pPr>
            <w:r>
              <w:rPr>
                <w:bCs/>
                <w:iCs/>
              </w:rPr>
              <w:t>Credit Risk</w:t>
            </w:r>
          </w:p>
        </w:tc>
      </w:tr>
      <w:tr w:rsidR="00EE0CC1" w:rsidRPr="00206D41" w14:paraId="77763AC4" w14:textId="77777777" w:rsidTr="00611623">
        <w:trPr>
          <w:trHeight w:val="437"/>
        </w:trPr>
        <w:tc>
          <w:tcPr>
            <w:tcW w:w="1581" w:type="dxa"/>
            <w:shd w:val="clear" w:color="auto" w:fill="auto"/>
          </w:tcPr>
          <w:p w14:paraId="38348064" w14:textId="77777777" w:rsidR="00EE0CC1" w:rsidRDefault="00EE0CC1" w:rsidP="00F3693B">
            <w:pPr>
              <w:rPr>
                <w:b/>
                <w:bCs/>
                <w:iCs/>
              </w:rPr>
            </w:pPr>
            <w:r>
              <w:rPr>
                <w:b/>
                <w:bCs/>
                <w:iCs/>
              </w:rPr>
              <w:t>RATIONALE</w:t>
            </w:r>
          </w:p>
        </w:tc>
        <w:tc>
          <w:tcPr>
            <w:tcW w:w="7797" w:type="dxa"/>
            <w:shd w:val="clear" w:color="auto" w:fill="auto"/>
          </w:tcPr>
          <w:p w14:paraId="512E4768" w14:textId="77777777" w:rsidR="00EE0CC1" w:rsidRDefault="00EE0CC1" w:rsidP="00F3693B">
            <w:pPr>
              <w:spacing w:after="0" w:line="240" w:lineRule="auto"/>
              <w:rPr>
                <w:bCs/>
                <w:iCs/>
              </w:rPr>
            </w:pPr>
            <w:r w:rsidRPr="00BB1132">
              <w:rPr>
                <w:bCs/>
                <w:iCs/>
              </w:rPr>
              <w:t>Delinquencies are a pre-default measure that can serve as an early warning indicator of the deterioration of SHUSA’s retail portfolios</w:t>
            </w:r>
            <w:r>
              <w:rPr>
                <w:bCs/>
                <w:iCs/>
              </w:rPr>
              <w:t>; %60/61+ days past due (DPD) is ideal because %30+ DPD is too conservative (significant portion of these loans recover between 31-60 days) and %90+ DPD is too late</w:t>
            </w:r>
          </w:p>
        </w:tc>
      </w:tr>
      <w:tr w:rsidR="00611623" w:rsidRPr="00206D41" w14:paraId="04C47216" w14:textId="77777777" w:rsidTr="00D675A0">
        <w:trPr>
          <w:trHeight w:val="270"/>
        </w:trPr>
        <w:tc>
          <w:tcPr>
            <w:tcW w:w="1581" w:type="dxa"/>
            <w:shd w:val="clear" w:color="auto" w:fill="auto"/>
          </w:tcPr>
          <w:p w14:paraId="0DB9772E" w14:textId="77777777" w:rsidR="00611623" w:rsidRPr="00206D41" w:rsidRDefault="00611623" w:rsidP="007D434D">
            <w:pPr>
              <w:rPr>
                <w:b/>
                <w:bCs/>
                <w:iCs/>
              </w:rPr>
            </w:pPr>
            <w:r>
              <w:rPr>
                <w:b/>
                <w:bCs/>
                <w:iCs/>
              </w:rPr>
              <w:t>ENTITY</w:t>
            </w:r>
          </w:p>
        </w:tc>
        <w:tc>
          <w:tcPr>
            <w:tcW w:w="7797" w:type="dxa"/>
            <w:shd w:val="clear" w:color="auto" w:fill="auto"/>
          </w:tcPr>
          <w:p w14:paraId="10BB8405" w14:textId="3DCD66C6" w:rsidR="00611623" w:rsidRDefault="00611623" w:rsidP="00611623">
            <w:pPr>
              <w:spacing w:after="0" w:line="240" w:lineRule="auto"/>
              <w:rPr>
                <w:bCs/>
                <w:iCs/>
              </w:rPr>
            </w:pPr>
            <w:r>
              <w:rPr>
                <w:b/>
                <w:bCs/>
                <w:iCs/>
              </w:rPr>
              <w:t xml:space="preserve">SBNA, </w:t>
            </w:r>
            <w:r w:rsidRPr="005A6F8C">
              <w:rPr>
                <w:b/>
                <w:bCs/>
                <w:iCs/>
              </w:rPr>
              <w:t>SC</w:t>
            </w:r>
            <w:r>
              <w:rPr>
                <w:b/>
                <w:bCs/>
                <w:iCs/>
              </w:rPr>
              <w:t>, BSPR</w:t>
            </w:r>
          </w:p>
        </w:tc>
      </w:tr>
      <w:tr w:rsidR="00611623" w:rsidRPr="00206D41" w14:paraId="48A255C8" w14:textId="77777777" w:rsidTr="00611623">
        <w:trPr>
          <w:trHeight w:val="641"/>
        </w:trPr>
        <w:tc>
          <w:tcPr>
            <w:tcW w:w="1581" w:type="dxa"/>
            <w:shd w:val="clear" w:color="auto" w:fill="auto"/>
          </w:tcPr>
          <w:p w14:paraId="41DEE801" w14:textId="5E9FDCCE" w:rsidR="00611623" w:rsidRPr="00206D41" w:rsidRDefault="00511F11" w:rsidP="00611623">
            <w:pPr>
              <w:rPr>
                <w:b/>
                <w:bCs/>
                <w:iCs/>
              </w:rPr>
            </w:pPr>
            <w:r>
              <w:rPr>
                <w:rFonts w:asciiTheme="minorHAnsi" w:hAnsiTheme="minorHAnsi"/>
                <w:b/>
                <w:bCs/>
                <w:iCs/>
              </w:rPr>
              <w:t>METRIC PROVIDER</w:t>
            </w:r>
          </w:p>
        </w:tc>
        <w:tc>
          <w:tcPr>
            <w:tcW w:w="7797" w:type="dxa"/>
            <w:shd w:val="clear" w:color="auto" w:fill="auto"/>
          </w:tcPr>
          <w:p w14:paraId="1379F46B" w14:textId="6757ADF2" w:rsidR="00611623" w:rsidRDefault="00611623" w:rsidP="00611623">
            <w:pPr>
              <w:spacing w:after="0" w:line="240" w:lineRule="auto"/>
              <w:rPr>
                <w:bCs/>
                <w:iCs/>
              </w:rPr>
            </w:pPr>
            <w:r w:rsidRPr="00611623">
              <w:rPr>
                <w:b/>
                <w:bCs/>
                <w:iCs/>
              </w:rPr>
              <w:t>SHUSA Credit Risk manager</w:t>
            </w:r>
            <w:r>
              <w:rPr>
                <w:b/>
                <w:bCs/>
                <w:iCs/>
              </w:rPr>
              <w:t xml:space="preserve">, </w:t>
            </w:r>
            <w:r w:rsidRPr="00611623">
              <w:rPr>
                <w:b/>
                <w:bCs/>
                <w:iCs/>
              </w:rPr>
              <w:t>SBNA Heads of Business</w:t>
            </w:r>
            <w:r>
              <w:rPr>
                <w:b/>
                <w:bCs/>
                <w:iCs/>
              </w:rPr>
              <w:t xml:space="preserve">, </w:t>
            </w:r>
            <w:r w:rsidRPr="00611623">
              <w:rPr>
                <w:b/>
                <w:bCs/>
                <w:iCs/>
              </w:rPr>
              <w:t xml:space="preserve">SC </w:t>
            </w:r>
            <w:r>
              <w:rPr>
                <w:b/>
                <w:bCs/>
                <w:iCs/>
              </w:rPr>
              <w:t xml:space="preserve">COO, </w:t>
            </w:r>
            <w:r w:rsidRPr="00611623">
              <w:rPr>
                <w:b/>
                <w:bCs/>
                <w:iCs/>
              </w:rPr>
              <w:t>BSPR Credit Risk</w:t>
            </w:r>
          </w:p>
        </w:tc>
      </w:tr>
      <w:tr w:rsidR="007D434D" w:rsidRPr="00206D41" w14:paraId="25C65DAC" w14:textId="77777777" w:rsidTr="00611623">
        <w:trPr>
          <w:cantSplit/>
          <w:trHeight w:val="360"/>
        </w:trPr>
        <w:tc>
          <w:tcPr>
            <w:tcW w:w="1581" w:type="dxa"/>
            <w:shd w:val="clear" w:color="auto" w:fill="auto"/>
          </w:tcPr>
          <w:p w14:paraId="00DB4D8E" w14:textId="77777777" w:rsidR="007D434D" w:rsidRPr="00206D41" w:rsidRDefault="007D434D" w:rsidP="007D434D">
            <w:pPr>
              <w:rPr>
                <w:b/>
                <w:bCs/>
                <w:iCs/>
              </w:rPr>
            </w:pPr>
            <w:r>
              <w:rPr>
                <w:b/>
                <w:bCs/>
                <w:iCs/>
              </w:rPr>
              <w:t>TRIGGER AND LIMIT SETTING</w:t>
            </w:r>
          </w:p>
        </w:tc>
        <w:tc>
          <w:tcPr>
            <w:tcW w:w="7797" w:type="dxa"/>
            <w:shd w:val="clear" w:color="auto" w:fill="auto"/>
          </w:tcPr>
          <w:p w14:paraId="783AE2E6" w14:textId="77777777" w:rsidR="007D434D" w:rsidRDefault="007D434D" w:rsidP="007D434D">
            <w:pPr>
              <w:spacing w:after="0" w:line="240" w:lineRule="auto"/>
              <w:rPr>
                <w:bCs/>
                <w:iCs/>
              </w:rPr>
            </w:pPr>
            <w:r>
              <w:rPr>
                <w:bCs/>
                <w:iCs/>
              </w:rPr>
              <w:t>Days Past Due (DPD) triggers and limits are established annually through a calibration process. Each material portfolio is analyzed as follows:</w:t>
            </w:r>
          </w:p>
          <w:p w14:paraId="061F991B" w14:textId="77777777" w:rsidR="007D434D" w:rsidRDefault="007D434D" w:rsidP="007D434D">
            <w:pPr>
              <w:spacing w:after="0" w:line="240" w:lineRule="auto"/>
              <w:rPr>
                <w:bCs/>
                <w:iCs/>
              </w:rPr>
            </w:pPr>
          </w:p>
          <w:p w14:paraId="05415018" w14:textId="77777777" w:rsidR="007D434D" w:rsidRDefault="007D434D" w:rsidP="007D434D">
            <w:pPr>
              <w:pStyle w:val="ListParagraph"/>
              <w:numPr>
                <w:ilvl w:val="0"/>
                <w:numId w:val="10"/>
              </w:numPr>
              <w:spacing w:after="0" w:line="240" w:lineRule="auto"/>
              <w:rPr>
                <w:bCs/>
                <w:iCs/>
              </w:rPr>
            </w:pPr>
            <w:r>
              <w:rPr>
                <w:bCs/>
                <w:iCs/>
              </w:rPr>
              <w:t xml:space="preserve">Calculation of the historical relationship (SBNA &amp; BSPR) or forecasted CCAR relationship (SC) between NCOs and 60+/61+ DPD by establishing the scalar between NCO and DPD rates as percentages of balances (Scalar is calculated by dividing average DPDs over the time series by Average NCO rate over the same time series) </w:t>
            </w:r>
          </w:p>
          <w:p w14:paraId="35AA4D6F" w14:textId="77777777" w:rsidR="007D434D" w:rsidRDefault="007D434D" w:rsidP="007D434D">
            <w:pPr>
              <w:pStyle w:val="ListParagraph"/>
              <w:numPr>
                <w:ilvl w:val="0"/>
                <w:numId w:val="10"/>
              </w:numPr>
              <w:spacing w:after="0" w:line="240" w:lineRule="auto"/>
              <w:rPr>
                <w:bCs/>
                <w:iCs/>
              </w:rPr>
            </w:pPr>
            <w:r>
              <w:rPr>
                <w:bCs/>
                <w:iCs/>
              </w:rPr>
              <w:t xml:space="preserve">Applying the </w:t>
            </w:r>
            <w:r w:rsidRPr="00EE0CC1">
              <w:rPr>
                <w:bCs/>
                <w:iCs/>
                <w:u w:val="single"/>
              </w:rPr>
              <w:t>DPD ratio to amber and red NCO limits</w:t>
            </w:r>
            <w:r>
              <w:rPr>
                <w:bCs/>
                <w:iCs/>
              </w:rPr>
              <w:t xml:space="preserve"> to derive DPD triggers and limits</w:t>
            </w:r>
          </w:p>
          <w:p w14:paraId="61697550" w14:textId="77777777" w:rsidR="007D434D" w:rsidRPr="00FB164D" w:rsidRDefault="007D434D" w:rsidP="007D434D">
            <w:pPr>
              <w:pStyle w:val="ListParagraph"/>
              <w:spacing w:after="0" w:line="240" w:lineRule="auto"/>
              <w:ind w:left="360"/>
              <w:rPr>
                <w:bCs/>
                <w:iCs/>
              </w:rPr>
            </w:pPr>
          </w:p>
        </w:tc>
      </w:tr>
      <w:tr w:rsidR="007D434D" w:rsidRPr="00206D41" w14:paraId="2B4D19A8" w14:textId="77777777" w:rsidTr="00611623">
        <w:trPr>
          <w:cantSplit/>
          <w:trHeight w:val="360"/>
        </w:trPr>
        <w:tc>
          <w:tcPr>
            <w:tcW w:w="1581" w:type="dxa"/>
            <w:shd w:val="clear" w:color="auto" w:fill="auto"/>
          </w:tcPr>
          <w:p w14:paraId="460460A2" w14:textId="77777777" w:rsidR="007D434D" w:rsidRPr="00206D41" w:rsidRDefault="007D434D" w:rsidP="007D434D">
            <w:pPr>
              <w:rPr>
                <w:b/>
                <w:bCs/>
                <w:iCs/>
              </w:rPr>
            </w:pPr>
            <w:r w:rsidRPr="005B0BAF">
              <w:rPr>
                <w:rFonts w:asciiTheme="minorHAnsi" w:hAnsiTheme="minorHAnsi"/>
                <w:b/>
                <w:bCs/>
                <w:iCs/>
              </w:rPr>
              <w:t>TESTING FREQUENCY</w:t>
            </w:r>
          </w:p>
        </w:tc>
        <w:tc>
          <w:tcPr>
            <w:tcW w:w="7797" w:type="dxa"/>
            <w:shd w:val="clear" w:color="auto" w:fill="auto"/>
          </w:tcPr>
          <w:p w14:paraId="1E51DAFF" w14:textId="017115BD" w:rsidR="00AD7D38" w:rsidRPr="00611623" w:rsidRDefault="00611623" w:rsidP="00611623">
            <w:pPr>
              <w:rPr>
                <w:rFonts w:asciiTheme="minorHAnsi" w:eastAsiaTheme="minorHAnsi" w:hAnsiTheme="minorHAnsi" w:cstheme="minorBidi"/>
                <w:iCs/>
                <w:color w:val="000000" w:themeColor="text1"/>
              </w:rPr>
            </w:pPr>
            <w:r>
              <w:rPr>
                <w:rFonts w:asciiTheme="minorHAnsi" w:eastAsiaTheme="minorHAnsi" w:hAnsiTheme="minorHAnsi" w:cstheme="minorBidi"/>
                <w:iCs/>
                <w:color w:val="000000" w:themeColor="text1"/>
              </w:rPr>
              <w:t>Monthly.</w:t>
            </w:r>
          </w:p>
          <w:p w14:paraId="4D128AB9" w14:textId="55A89EDF" w:rsidR="007D434D" w:rsidRPr="00AD7D38" w:rsidRDefault="00DB2B0B" w:rsidP="007D434D">
            <w:pPr>
              <w:jc w:val="center"/>
              <w:rPr>
                <w:rFonts w:asciiTheme="minorHAnsi" w:eastAsiaTheme="minorEastAsia" w:hAnsiTheme="minorHAnsi" w:cstheme="minorBidi"/>
                <w:iCs/>
                <w:strike/>
                <w:sz w:val="28"/>
                <w:szCs w:val="28"/>
              </w:rPr>
            </w:pPr>
            <m:oMathPara>
              <m:oMath>
                <m:f>
                  <m:fPr>
                    <m:ctrlPr>
                      <w:rPr>
                        <w:rFonts w:ascii="Cambria Math" w:eastAsiaTheme="minorHAnsi" w:hAnsi="Cambria Math" w:cstheme="minorBidi"/>
                        <w:i/>
                        <w:iCs/>
                      </w:rPr>
                    </m:ctrlPr>
                  </m:fPr>
                  <m:num>
                    <m:r>
                      <w:rPr>
                        <w:rFonts w:ascii="Cambria Math" w:eastAsiaTheme="minorHAnsi" w:hAnsi="Cambria Math" w:cstheme="minorBidi"/>
                      </w:rPr>
                      <m:t>Averge of 12 month trailing 61+DPD Balance</m:t>
                    </m:r>
                  </m:num>
                  <m:den>
                    <m:r>
                      <w:rPr>
                        <w:rFonts w:ascii="Cambria Math" w:eastAsiaTheme="minorHAnsi" w:hAnsi="Cambria Math" w:cstheme="minorBidi"/>
                      </w:rPr>
                      <m:t>Average of 12 months trailing Outstanding balance</m:t>
                    </m:r>
                  </m:den>
                </m:f>
              </m:oMath>
            </m:oMathPara>
          </w:p>
          <w:p w14:paraId="5B60CAB3" w14:textId="77777777" w:rsidR="007D434D" w:rsidRPr="00B65A13" w:rsidRDefault="007D434D" w:rsidP="007D434D">
            <w:pPr>
              <w:rPr>
                <w:color w:val="1F497D"/>
              </w:rPr>
            </w:pPr>
            <w:r>
              <w:rPr>
                <w:rFonts w:asciiTheme="minorHAnsi" w:eastAsiaTheme="minorHAnsi" w:hAnsiTheme="minorHAnsi" w:cstheme="minorBidi"/>
                <w:iCs/>
                <w:color w:val="000000" w:themeColor="text1"/>
              </w:rPr>
              <w:t>Total outstanding balances are defined as total “on balance sheet” balances, including interest accruing and non-interest accruing (NPL) balances. Outstanding balances are as of the last day of the month.</w:t>
            </w:r>
            <w:r>
              <w:rPr>
                <w:color w:val="1F497D"/>
              </w:rPr>
              <w:t> </w:t>
            </w:r>
          </w:p>
        </w:tc>
      </w:tr>
      <w:tr w:rsidR="007D434D" w:rsidRPr="00206D41" w14:paraId="773F6B88" w14:textId="77777777" w:rsidTr="00611623">
        <w:trPr>
          <w:trHeight w:val="525"/>
        </w:trPr>
        <w:tc>
          <w:tcPr>
            <w:tcW w:w="1581" w:type="dxa"/>
            <w:shd w:val="clear" w:color="auto" w:fill="auto"/>
          </w:tcPr>
          <w:p w14:paraId="47DE19B2" w14:textId="77777777" w:rsidR="007D434D" w:rsidRPr="00206D41" w:rsidRDefault="007D434D" w:rsidP="007D434D">
            <w:pPr>
              <w:rPr>
                <w:b/>
                <w:bCs/>
                <w:iCs/>
              </w:rPr>
            </w:pPr>
            <w:r w:rsidRPr="00206D41">
              <w:rPr>
                <w:b/>
                <w:bCs/>
                <w:iCs/>
              </w:rPr>
              <w:t>SOURCE OF INFORMATION</w:t>
            </w:r>
          </w:p>
        </w:tc>
        <w:tc>
          <w:tcPr>
            <w:tcW w:w="7797" w:type="dxa"/>
            <w:shd w:val="clear" w:color="auto" w:fill="auto"/>
          </w:tcPr>
          <w:p w14:paraId="2E8CAF6F" w14:textId="77777777" w:rsidR="007D434D" w:rsidRPr="003B5980" w:rsidRDefault="007D434D" w:rsidP="007D434D">
            <w:pPr>
              <w:spacing w:before="100" w:after="100"/>
              <w:rPr>
                <w:b/>
                <w:bCs/>
                <w:iCs/>
              </w:rPr>
            </w:pPr>
            <w:r w:rsidRPr="003B5980">
              <w:rPr>
                <w:bCs/>
                <w:iCs/>
              </w:rPr>
              <w:t xml:space="preserve">SBNA Risk MI - Most recent month’s 60+ Delinquency by portfolio is available within the Delinquency report published by SBNA Risk MI.  The report is available at </w:t>
            </w:r>
            <w:r w:rsidRPr="003B5980">
              <w:t>R:\CMTEC\RRPT\_Solvency Risk\Regulatory Reporting</w:t>
            </w:r>
          </w:p>
          <w:p w14:paraId="66331322" w14:textId="77777777" w:rsidR="007D434D" w:rsidRPr="003B5980" w:rsidRDefault="007D434D" w:rsidP="007D434D">
            <w:pPr>
              <w:spacing w:after="0" w:line="240" w:lineRule="auto"/>
              <w:rPr>
                <w:bCs/>
                <w:iCs/>
              </w:rPr>
            </w:pPr>
          </w:p>
          <w:p w14:paraId="5071E913" w14:textId="77777777" w:rsidR="007D434D" w:rsidRPr="003B5980" w:rsidRDefault="007D434D" w:rsidP="007D434D">
            <w:pPr>
              <w:rPr>
                <w:bCs/>
                <w:iCs/>
              </w:rPr>
            </w:pPr>
            <w:r w:rsidRPr="003B5980">
              <w:rPr>
                <w:bCs/>
                <w:iCs/>
              </w:rPr>
              <w:t xml:space="preserve">Total outstanding balances by portfolio available within the Credit Metric Trends report  (Commercial and Retail Risk data) published by SBNA Risk MI on a monthly basis.  The report is available at </w:t>
            </w:r>
            <w:r w:rsidRPr="003B5980">
              <w:t>R:\CRMIS\DEPT\REPORTS\Credit Metrics</w:t>
            </w:r>
          </w:p>
          <w:p w14:paraId="66935C17" w14:textId="6F2FCA6C" w:rsidR="002D0B8B" w:rsidRDefault="007D434D" w:rsidP="002D0B8B">
            <w:pPr>
              <w:pStyle w:val="CommentText"/>
            </w:pPr>
            <w:r w:rsidRPr="002D0B8B">
              <w:rPr>
                <w:bCs/>
                <w:iCs/>
              </w:rPr>
              <w:t xml:space="preserve">SC </w:t>
            </w:r>
            <w:r w:rsidR="003B5980" w:rsidRPr="002D0B8B">
              <w:rPr>
                <w:bCs/>
                <w:iCs/>
              </w:rPr>
              <w:t xml:space="preserve">- </w:t>
            </w:r>
            <w:r w:rsidR="003B5980" w:rsidRPr="002D0B8B">
              <w:t>COO</w:t>
            </w:r>
            <w:r w:rsidR="002D0B8B">
              <w:t xml:space="preserve"> is the owner of this metric.  The data is queried from SC’s database by the Operational Data Development team.</w:t>
            </w:r>
          </w:p>
          <w:p w14:paraId="5F6FF22A" w14:textId="34EF977D" w:rsidR="007D434D" w:rsidRPr="00FB164D" w:rsidRDefault="007D434D" w:rsidP="007D434D">
            <w:pPr>
              <w:spacing w:after="0" w:line="240" w:lineRule="auto"/>
              <w:rPr>
                <w:iCs/>
                <w:highlight w:val="yellow"/>
              </w:rPr>
            </w:pPr>
          </w:p>
          <w:p w14:paraId="6F7BB0ED" w14:textId="41EFA5BF" w:rsidR="007D434D" w:rsidRPr="00DF7DD0" w:rsidRDefault="007D434D" w:rsidP="00DF7DD0">
            <w:pPr>
              <w:spacing w:after="0" w:line="240" w:lineRule="auto"/>
              <w:rPr>
                <w:iCs/>
              </w:rPr>
            </w:pPr>
            <w:r w:rsidRPr="003B5980">
              <w:rPr>
                <w:iCs/>
              </w:rPr>
              <w:t>BSPR:</w:t>
            </w:r>
            <w:r w:rsidR="003B5980">
              <w:rPr>
                <w:iCs/>
              </w:rPr>
              <w:t xml:space="preserve"> </w:t>
            </w:r>
            <w:r w:rsidR="00DF7DD0" w:rsidRPr="003D435B">
              <w:rPr>
                <w:iCs/>
              </w:rPr>
              <w:t xml:space="preserve"> </w:t>
            </w:r>
            <w:r w:rsidR="00DF7DD0" w:rsidRPr="003D435B">
              <w:rPr>
                <w:iCs/>
              </w:rPr>
              <w:t xml:space="preserve">The information is provided by </w:t>
            </w:r>
            <w:r w:rsidR="00DF7DD0">
              <w:rPr>
                <w:iCs/>
              </w:rPr>
              <w:t xml:space="preserve">Credit </w:t>
            </w:r>
            <w:r w:rsidR="00DF7DD0" w:rsidRPr="003D435B">
              <w:rPr>
                <w:iCs/>
              </w:rPr>
              <w:t xml:space="preserve">Risk MI </w:t>
            </w:r>
            <w:r w:rsidR="00DF7DD0">
              <w:rPr>
                <w:iCs/>
              </w:rPr>
              <w:t xml:space="preserve">area </w:t>
            </w:r>
            <w:r w:rsidR="00DF7DD0" w:rsidRPr="003D435B">
              <w:rPr>
                <w:iCs/>
              </w:rPr>
              <w:t>on a monthly basis</w:t>
            </w:r>
            <w:r w:rsidR="00DF7DD0">
              <w:rPr>
                <w:iCs/>
              </w:rPr>
              <w:t xml:space="preserve"> and included within the Credit Trends Report</w:t>
            </w:r>
            <w:r w:rsidR="00DF7DD0" w:rsidRPr="009C1D2E">
              <w:rPr>
                <w:iCs/>
              </w:rPr>
              <w:t>.</w:t>
            </w:r>
          </w:p>
        </w:tc>
      </w:tr>
    </w:tbl>
    <w:p w14:paraId="570D2EED" w14:textId="77777777" w:rsidR="00785EA3" w:rsidRDefault="00785EA3" w:rsidP="00B52E32"/>
    <w:p w14:paraId="35617100" w14:textId="2BC6844E" w:rsidR="00184DCB" w:rsidRPr="00184DCB" w:rsidRDefault="00184DCB" w:rsidP="00B52E32">
      <w:pPr>
        <w:pStyle w:val="SANUS2"/>
        <w:numPr>
          <w:ilvl w:val="1"/>
          <w:numId w:val="1"/>
        </w:numPr>
        <w:tabs>
          <w:tab w:val="num" w:pos="540"/>
        </w:tabs>
        <w:ind w:left="567" w:hanging="567"/>
        <w:rPr>
          <w:color w:val="000000" w:themeColor="text1"/>
        </w:rPr>
      </w:pPr>
      <w:bookmarkStart w:id="83" w:name="_Toc452544128"/>
      <w:bookmarkStart w:id="84" w:name="_Toc453849285"/>
      <w:r>
        <w:rPr>
          <w:color w:val="000000" w:themeColor="text1"/>
        </w:rPr>
        <w:t>Single obligor (Corporates and Financial Institutions) exposure</w:t>
      </w:r>
      <w:bookmarkEnd w:id="83"/>
      <w:bookmarkEnd w:id="84"/>
    </w:p>
    <w:tbl>
      <w:tblPr>
        <w:tblpPr w:leftFromText="180" w:rightFromText="180" w:vertAnchor="text" w:tblpX="168" w:tblpY="1"/>
        <w:tblOverlap w:val="never"/>
        <w:tblW w:w="9198"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000" w:firstRow="0" w:lastRow="0" w:firstColumn="0" w:lastColumn="0" w:noHBand="0" w:noVBand="0"/>
      </w:tblPr>
      <w:tblGrid>
        <w:gridCol w:w="1728"/>
        <w:gridCol w:w="7470"/>
      </w:tblGrid>
      <w:tr w:rsidR="00184DCB" w:rsidRPr="00206D41" w14:paraId="7F9D44F5" w14:textId="77777777" w:rsidTr="00D675A0">
        <w:trPr>
          <w:trHeight w:val="462"/>
        </w:trPr>
        <w:tc>
          <w:tcPr>
            <w:tcW w:w="1728" w:type="dxa"/>
            <w:shd w:val="clear" w:color="auto" w:fill="auto"/>
          </w:tcPr>
          <w:p w14:paraId="5ED020D0" w14:textId="77777777" w:rsidR="00184DCB" w:rsidRPr="00206D41" w:rsidRDefault="00184DCB" w:rsidP="00D675A0">
            <w:pPr>
              <w:rPr>
                <w:b/>
                <w:bCs/>
                <w:iCs/>
              </w:rPr>
            </w:pPr>
            <w:r>
              <w:rPr>
                <w:b/>
                <w:bCs/>
                <w:iCs/>
              </w:rPr>
              <w:t>DEFINITION</w:t>
            </w:r>
          </w:p>
        </w:tc>
        <w:tc>
          <w:tcPr>
            <w:tcW w:w="7470" w:type="dxa"/>
            <w:shd w:val="clear" w:color="auto" w:fill="auto"/>
          </w:tcPr>
          <w:p w14:paraId="7187B416" w14:textId="77777777" w:rsidR="00184DCB" w:rsidRDefault="00184DCB" w:rsidP="00D675A0">
            <w:pPr>
              <w:spacing w:after="0" w:line="240" w:lineRule="auto"/>
              <w:rPr>
                <w:bCs/>
                <w:iCs/>
              </w:rPr>
            </w:pPr>
            <w:r w:rsidRPr="00206D41">
              <w:rPr>
                <w:bCs/>
                <w:iCs/>
              </w:rPr>
              <w:t xml:space="preserve">The </w:t>
            </w:r>
            <w:r>
              <w:rPr>
                <w:bCs/>
                <w:iCs/>
              </w:rPr>
              <w:t>dollar value</w:t>
            </w:r>
            <w:r w:rsidRPr="00206D41">
              <w:rPr>
                <w:bCs/>
                <w:iCs/>
              </w:rPr>
              <w:t xml:space="preserve"> of </w:t>
            </w:r>
            <w:r>
              <w:rPr>
                <w:bCs/>
                <w:iCs/>
              </w:rPr>
              <w:t xml:space="preserve">total exposure to any individual customer (or aggregated to guarantor) in Global Corporate Banking, Middle Market, Auto or Specialty Lending. </w:t>
            </w:r>
          </w:p>
          <w:p w14:paraId="7E1498BD" w14:textId="00C8A1AA" w:rsidR="00184DCB" w:rsidRDefault="00184DCB" w:rsidP="00D675A0">
            <w:pPr>
              <w:spacing w:after="0" w:line="240" w:lineRule="auto"/>
              <w:rPr>
                <w:bCs/>
                <w:iCs/>
              </w:rPr>
            </w:pPr>
            <w:r>
              <w:rPr>
                <w:bCs/>
                <w:iCs/>
              </w:rPr>
              <w:t>It includes Financial Institutions and Corporates and other market counterparties. This subset excludes mortgage clearing houses.</w:t>
            </w:r>
          </w:p>
          <w:p w14:paraId="77348876" w14:textId="77777777" w:rsidR="00184DCB" w:rsidRDefault="00184DCB" w:rsidP="00D675A0">
            <w:pPr>
              <w:spacing w:after="0" w:line="240" w:lineRule="auto"/>
              <w:rPr>
                <w:bCs/>
                <w:iCs/>
              </w:rPr>
            </w:pPr>
          </w:p>
          <w:p w14:paraId="3564162C" w14:textId="77777777" w:rsidR="00184DCB" w:rsidRDefault="00184DCB" w:rsidP="00D675A0">
            <w:pPr>
              <w:contextualSpacing/>
              <w:rPr>
                <w:rFonts w:asciiTheme="minorHAnsi" w:eastAsiaTheme="minorHAnsi" w:hAnsiTheme="minorHAnsi" w:cstheme="minorBidi"/>
                <w:bCs/>
                <w:iCs/>
                <w:lang w:val="en-GB"/>
              </w:rPr>
            </w:pPr>
            <w:r w:rsidRPr="00BF190C">
              <w:rPr>
                <w:rFonts w:asciiTheme="minorHAnsi" w:eastAsiaTheme="minorHAnsi" w:hAnsiTheme="minorHAnsi" w:cstheme="minorBidi"/>
                <w:bCs/>
                <w:iCs/>
                <w:lang w:val="en-GB"/>
              </w:rPr>
              <w:t xml:space="preserve">Exposure </w:t>
            </w:r>
            <w:r>
              <w:rPr>
                <w:rFonts w:asciiTheme="minorHAnsi" w:eastAsiaTheme="minorHAnsi" w:hAnsiTheme="minorHAnsi" w:cstheme="minorBidi"/>
                <w:bCs/>
                <w:iCs/>
                <w:lang w:val="en-GB"/>
              </w:rPr>
              <w:t xml:space="preserve">is defined as </w:t>
            </w:r>
            <w:r w:rsidRPr="00BF190C">
              <w:rPr>
                <w:rFonts w:asciiTheme="minorHAnsi" w:eastAsiaTheme="minorHAnsi" w:hAnsiTheme="minorHAnsi" w:cstheme="minorBidi"/>
                <w:bCs/>
                <w:iCs/>
                <w:lang w:val="en-GB"/>
              </w:rPr>
              <w:t xml:space="preserve">the </w:t>
            </w:r>
            <w:r w:rsidRPr="00BF190C">
              <w:rPr>
                <w:rFonts w:asciiTheme="minorHAnsi" w:eastAsiaTheme="minorHAnsi" w:hAnsiTheme="minorHAnsi" w:cstheme="minorBidi"/>
                <w:bCs/>
                <w:iCs/>
                <w:u w:val="single"/>
                <w:lang w:val="en-GB"/>
              </w:rPr>
              <w:t>sum</w:t>
            </w:r>
            <w:r w:rsidRPr="00BF190C">
              <w:rPr>
                <w:rFonts w:asciiTheme="minorHAnsi" w:eastAsiaTheme="minorHAnsi" w:hAnsiTheme="minorHAnsi" w:cstheme="minorBidi"/>
                <w:bCs/>
                <w:iCs/>
                <w:lang w:val="en-GB"/>
              </w:rPr>
              <w:t xml:space="preserve"> of: </w:t>
            </w:r>
          </w:p>
          <w:p w14:paraId="5BB360D6" w14:textId="77777777" w:rsidR="00184DCB" w:rsidRDefault="00184DCB" w:rsidP="00D675A0">
            <w:pPr>
              <w:numPr>
                <w:ilvl w:val="1"/>
                <w:numId w:val="11"/>
              </w:numPr>
              <w:contextualSpacing/>
              <w:rPr>
                <w:rFonts w:asciiTheme="minorHAnsi" w:eastAsiaTheme="minorHAnsi" w:hAnsiTheme="minorHAnsi" w:cstheme="minorBidi"/>
                <w:bCs/>
                <w:iCs/>
                <w:lang w:val="en-GB"/>
              </w:rPr>
            </w:pPr>
            <w:r w:rsidRPr="00BF190C">
              <w:rPr>
                <w:rFonts w:asciiTheme="minorHAnsi" w:eastAsiaTheme="minorHAnsi" w:hAnsiTheme="minorHAnsi" w:cstheme="minorBidi"/>
                <w:bCs/>
                <w:iCs/>
                <w:lang w:val="en-GB"/>
              </w:rPr>
              <w:t xml:space="preserve">Committed facilities (drawn and undrawn)  </w:t>
            </w:r>
          </w:p>
          <w:p w14:paraId="0B96DD31" w14:textId="77777777" w:rsidR="00184DCB" w:rsidRDefault="00184DCB" w:rsidP="00D675A0">
            <w:pPr>
              <w:numPr>
                <w:ilvl w:val="1"/>
                <w:numId w:val="11"/>
              </w:numPr>
              <w:contextualSpacing/>
              <w:rPr>
                <w:rFonts w:asciiTheme="minorHAnsi" w:eastAsiaTheme="minorHAnsi" w:hAnsiTheme="minorHAnsi" w:cstheme="minorBidi"/>
                <w:bCs/>
                <w:iCs/>
                <w:lang w:val="en-GB"/>
              </w:rPr>
            </w:pPr>
            <w:r>
              <w:rPr>
                <w:rFonts w:asciiTheme="minorHAnsi" w:eastAsiaTheme="minorHAnsi" w:hAnsiTheme="minorHAnsi" w:cstheme="minorBidi"/>
                <w:bCs/>
                <w:iCs/>
                <w:lang w:val="en-GB"/>
              </w:rPr>
              <w:t>D</w:t>
            </w:r>
            <w:r w:rsidRPr="00BF190C">
              <w:rPr>
                <w:rFonts w:asciiTheme="minorHAnsi" w:eastAsiaTheme="minorHAnsi" w:hAnsiTheme="minorHAnsi" w:cstheme="minorBidi"/>
                <w:bCs/>
                <w:iCs/>
                <w:lang w:val="en-GB"/>
              </w:rPr>
              <w:t>rawn</w:t>
            </w:r>
            <w:r>
              <w:rPr>
                <w:rFonts w:asciiTheme="minorHAnsi" w:eastAsiaTheme="minorHAnsi" w:hAnsiTheme="minorHAnsi" w:cstheme="minorBidi"/>
                <w:bCs/>
                <w:iCs/>
                <w:lang w:val="en-GB"/>
              </w:rPr>
              <w:t xml:space="preserve"> balances</w:t>
            </w:r>
            <w:r w:rsidRPr="00BF190C">
              <w:rPr>
                <w:rFonts w:asciiTheme="minorHAnsi" w:eastAsiaTheme="minorHAnsi" w:hAnsiTheme="minorHAnsi" w:cstheme="minorBidi"/>
                <w:bCs/>
                <w:iCs/>
                <w:lang w:val="en-GB"/>
              </w:rPr>
              <w:t xml:space="preserve"> under uncommitted facilities  </w:t>
            </w:r>
          </w:p>
          <w:p w14:paraId="35B06669" w14:textId="77777777" w:rsidR="00184DCB" w:rsidRDefault="00184DCB" w:rsidP="00D675A0">
            <w:pPr>
              <w:numPr>
                <w:ilvl w:val="1"/>
                <w:numId w:val="11"/>
              </w:numPr>
              <w:contextualSpacing/>
              <w:rPr>
                <w:rFonts w:asciiTheme="minorHAnsi" w:eastAsiaTheme="minorHAnsi" w:hAnsiTheme="minorHAnsi" w:cstheme="minorBidi"/>
                <w:bCs/>
                <w:iCs/>
                <w:lang w:val="en-GB"/>
              </w:rPr>
            </w:pPr>
            <w:r>
              <w:rPr>
                <w:rFonts w:asciiTheme="minorHAnsi" w:eastAsiaTheme="minorHAnsi" w:hAnsiTheme="minorHAnsi" w:cstheme="minorBidi"/>
                <w:bCs/>
                <w:iCs/>
                <w:lang w:val="en-GB"/>
              </w:rPr>
              <w:t>O</w:t>
            </w:r>
            <w:r w:rsidRPr="00BF190C">
              <w:rPr>
                <w:rFonts w:asciiTheme="minorHAnsi" w:eastAsiaTheme="minorHAnsi" w:hAnsiTheme="minorHAnsi" w:cstheme="minorBidi"/>
                <w:bCs/>
                <w:iCs/>
                <w:lang w:val="en-GB"/>
              </w:rPr>
              <w:t xml:space="preserve">ff balance sheet items (e.g. Letters of Credit)  </w:t>
            </w:r>
          </w:p>
          <w:p w14:paraId="4B559A2B" w14:textId="77777777" w:rsidR="00184DCB" w:rsidRDefault="00184DCB" w:rsidP="00D675A0">
            <w:pPr>
              <w:numPr>
                <w:ilvl w:val="1"/>
                <w:numId w:val="11"/>
              </w:numPr>
              <w:contextualSpacing/>
              <w:rPr>
                <w:rFonts w:asciiTheme="minorHAnsi" w:eastAsiaTheme="minorHAnsi" w:hAnsiTheme="minorHAnsi" w:cstheme="minorBidi"/>
                <w:bCs/>
                <w:iCs/>
                <w:lang w:val="en-GB"/>
              </w:rPr>
            </w:pPr>
            <w:r w:rsidRPr="00BF190C">
              <w:rPr>
                <w:rFonts w:asciiTheme="minorHAnsi" w:eastAsiaTheme="minorHAnsi" w:hAnsiTheme="minorHAnsi" w:cstheme="minorBidi"/>
                <w:bCs/>
                <w:iCs/>
                <w:lang w:val="en-GB"/>
              </w:rPr>
              <w:t>PFE</w:t>
            </w:r>
            <w:r w:rsidRPr="00BF190C">
              <w:rPr>
                <w:rFonts w:asciiTheme="minorHAnsi" w:eastAsiaTheme="minorHAnsi" w:hAnsiTheme="minorHAnsi" w:cstheme="minorBidi"/>
                <w:bCs/>
                <w:iCs/>
                <w:vertAlign w:val="superscript"/>
                <w:lang w:val="en-GB"/>
              </w:rPr>
              <w:footnoteReference w:id="2"/>
            </w:r>
            <w:r w:rsidRPr="00BF190C">
              <w:rPr>
                <w:rFonts w:asciiTheme="minorHAnsi" w:eastAsiaTheme="minorHAnsi" w:hAnsiTheme="minorHAnsi" w:cstheme="minorBidi"/>
                <w:bCs/>
                <w:iCs/>
                <w:lang w:val="en-GB"/>
              </w:rPr>
              <w:t xml:space="preserve"> (“REC”) for derivatives. </w:t>
            </w:r>
          </w:p>
          <w:p w14:paraId="2E083D29" w14:textId="77777777" w:rsidR="00184DCB" w:rsidRDefault="00184DCB" w:rsidP="00D675A0">
            <w:pPr>
              <w:spacing w:after="0" w:line="240" w:lineRule="auto"/>
              <w:rPr>
                <w:rFonts w:asciiTheme="minorHAnsi" w:eastAsiaTheme="minorHAnsi" w:hAnsiTheme="minorHAnsi" w:cstheme="minorBidi"/>
                <w:bCs/>
                <w:iCs/>
                <w:lang w:val="en-GB"/>
              </w:rPr>
            </w:pPr>
            <w:r w:rsidRPr="00BF190C">
              <w:rPr>
                <w:rFonts w:asciiTheme="minorHAnsi" w:eastAsiaTheme="minorHAnsi" w:hAnsiTheme="minorHAnsi" w:cstheme="minorBidi"/>
                <w:bCs/>
                <w:iCs/>
                <w:lang w:val="en-GB"/>
              </w:rPr>
              <w:t>Exposures will be calculated at individual counterparty level and aggregated as required to ultimate parent (economic group) level. Exposures to non-recourse project finance will be treated as individual exposures and not aggregated to the sponsor.</w:t>
            </w:r>
          </w:p>
          <w:p w14:paraId="0D1F2A0F" w14:textId="77777777" w:rsidR="00184DCB" w:rsidRPr="00206D41" w:rsidRDefault="00184DCB" w:rsidP="00D675A0">
            <w:pPr>
              <w:spacing w:after="0" w:line="240" w:lineRule="auto"/>
              <w:rPr>
                <w:bCs/>
                <w:iCs/>
              </w:rPr>
            </w:pPr>
          </w:p>
        </w:tc>
      </w:tr>
      <w:tr w:rsidR="00184DCB" w:rsidRPr="00206D41" w14:paraId="22BA77A0" w14:textId="77777777" w:rsidTr="00D675A0">
        <w:trPr>
          <w:cantSplit/>
          <w:trHeight w:val="462"/>
        </w:trPr>
        <w:tc>
          <w:tcPr>
            <w:tcW w:w="1728" w:type="dxa"/>
            <w:shd w:val="clear" w:color="auto" w:fill="auto"/>
          </w:tcPr>
          <w:p w14:paraId="4F6B5E18" w14:textId="77777777" w:rsidR="00184DCB" w:rsidRPr="00206D41" w:rsidRDefault="00184DCB" w:rsidP="00D675A0">
            <w:pPr>
              <w:rPr>
                <w:b/>
                <w:bCs/>
                <w:iCs/>
              </w:rPr>
            </w:pPr>
            <w:r>
              <w:rPr>
                <w:b/>
                <w:bCs/>
                <w:iCs/>
              </w:rPr>
              <w:t xml:space="preserve">RISK TYPE </w:t>
            </w:r>
          </w:p>
        </w:tc>
        <w:tc>
          <w:tcPr>
            <w:tcW w:w="7470" w:type="dxa"/>
            <w:shd w:val="clear" w:color="auto" w:fill="auto"/>
          </w:tcPr>
          <w:p w14:paraId="6505988E" w14:textId="77777777" w:rsidR="00184DCB" w:rsidRPr="00206D41" w:rsidRDefault="00184DCB" w:rsidP="00D675A0">
            <w:pPr>
              <w:spacing w:after="0" w:line="240" w:lineRule="auto"/>
              <w:rPr>
                <w:bCs/>
                <w:iCs/>
              </w:rPr>
            </w:pPr>
            <w:r>
              <w:rPr>
                <w:bCs/>
                <w:iCs/>
              </w:rPr>
              <w:t>Credit Risk</w:t>
            </w:r>
          </w:p>
        </w:tc>
      </w:tr>
      <w:tr w:rsidR="00184DCB" w:rsidRPr="00206D41" w14:paraId="1BA76472" w14:textId="77777777" w:rsidTr="00D675A0">
        <w:trPr>
          <w:cantSplit/>
          <w:trHeight w:val="462"/>
        </w:trPr>
        <w:tc>
          <w:tcPr>
            <w:tcW w:w="1728" w:type="dxa"/>
            <w:shd w:val="clear" w:color="auto" w:fill="auto"/>
          </w:tcPr>
          <w:p w14:paraId="668BE826" w14:textId="77777777" w:rsidR="00184DCB" w:rsidRDefault="00184DCB" w:rsidP="00D675A0">
            <w:pPr>
              <w:rPr>
                <w:b/>
                <w:bCs/>
                <w:iCs/>
              </w:rPr>
            </w:pPr>
            <w:r>
              <w:rPr>
                <w:b/>
                <w:bCs/>
                <w:iCs/>
              </w:rPr>
              <w:t>RATIONALE</w:t>
            </w:r>
          </w:p>
        </w:tc>
        <w:tc>
          <w:tcPr>
            <w:tcW w:w="7470" w:type="dxa"/>
            <w:shd w:val="clear" w:color="auto" w:fill="auto"/>
          </w:tcPr>
          <w:p w14:paraId="2055EE65" w14:textId="77777777" w:rsidR="00184DCB" w:rsidRDefault="00184DCB" w:rsidP="00D675A0">
            <w:pPr>
              <w:spacing w:after="0" w:line="240" w:lineRule="auto"/>
              <w:rPr>
                <w:bCs/>
                <w:iCs/>
              </w:rPr>
            </w:pPr>
            <w:r>
              <w:rPr>
                <w:bCs/>
                <w:iCs/>
              </w:rPr>
              <w:t>I</w:t>
            </w:r>
            <w:r w:rsidRPr="000864B0">
              <w:rPr>
                <w:bCs/>
                <w:iCs/>
              </w:rPr>
              <w:t>mportant for SHUSA to monitor and manage obligor concentrations, given the size of their largest exposures</w:t>
            </w:r>
            <w:r>
              <w:rPr>
                <w:bCs/>
                <w:iCs/>
              </w:rPr>
              <w:t>, in order to limit the impact on capital of unexpected borrower events; cascaded from group.</w:t>
            </w:r>
          </w:p>
        </w:tc>
      </w:tr>
      <w:tr w:rsidR="00184DCB" w:rsidRPr="00206D41" w14:paraId="131A2465" w14:textId="77777777" w:rsidTr="00D675A0">
        <w:trPr>
          <w:trHeight w:val="270"/>
        </w:trPr>
        <w:tc>
          <w:tcPr>
            <w:tcW w:w="1728" w:type="dxa"/>
            <w:shd w:val="clear" w:color="auto" w:fill="auto"/>
          </w:tcPr>
          <w:p w14:paraId="7FC53563" w14:textId="77777777" w:rsidR="00184DCB" w:rsidRPr="00206D41" w:rsidRDefault="00184DCB" w:rsidP="00D675A0">
            <w:pPr>
              <w:rPr>
                <w:b/>
                <w:bCs/>
                <w:iCs/>
              </w:rPr>
            </w:pPr>
            <w:r>
              <w:rPr>
                <w:b/>
                <w:bCs/>
                <w:iCs/>
              </w:rPr>
              <w:t>ENTITY</w:t>
            </w:r>
          </w:p>
        </w:tc>
        <w:tc>
          <w:tcPr>
            <w:tcW w:w="7470" w:type="dxa"/>
            <w:shd w:val="clear" w:color="auto" w:fill="auto"/>
          </w:tcPr>
          <w:p w14:paraId="0A023E3B" w14:textId="301A8440" w:rsidR="00184DCB" w:rsidRPr="00184DCB" w:rsidRDefault="00184DCB" w:rsidP="00184DCB">
            <w:pPr>
              <w:spacing w:after="0" w:line="240" w:lineRule="auto"/>
              <w:rPr>
                <w:b/>
                <w:bCs/>
                <w:iCs/>
              </w:rPr>
            </w:pPr>
            <w:r w:rsidRPr="00E66FFB">
              <w:rPr>
                <w:b/>
                <w:bCs/>
                <w:iCs/>
              </w:rPr>
              <w:t>SBNA</w:t>
            </w:r>
          </w:p>
        </w:tc>
      </w:tr>
      <w:tr w:rsidR="00184DCB" w:rsidRPr="00206D41" w14:paraId="24EF77ED" w14:textId="77777777" w:rsidTr="00D675A0">
        <w:trPr>
          <w:trHeight w:val="270"/>
        </w:trPr>
        <w:tc>
          <w:tcPr>
            <w:tcW w:w="1728" w:type="dxa"/>
            <w:shd w:val="clear" w:color="auto" w:fill="auto"/>
          </w:tcPr>
          <w:p w14:paraId="3088775D" w14:textId="6F7B8DA9" w:rsidR="00184DCB" w:rsidRPr="00206D41" w:rsidRDefault="00511F11" w:rsidP="00D675A0">
            <w:pPr>
              <w:rPr>
                <w:b/>
                <w:bCs/>
                <w:iCs/>
              </w:rPr>
            </w:pPr>
            <w:r>
              <w:rPr>
                <w:rFonts w:asciiTheme="minorHAnsi" w:hAnsiTheme="minorHAnsi"/>
                <w:b/>
                <w:bCs/>
                <w:iCs/>
              </w:rPr>
              <w:t>METRIC PROVIDER</w:t>
            </w:r>
          </w:p>
        </w:tc>
        <w:tc>
          <w:tcPr>
            <w:tcW w:w="7470" w:type="dxa"/>
            <w:shd w:val="clear" w:color="auto" w:fill="auto"/>
          </w:tcPr>
          <w:p w14:paraId="2BF65A35" w14:textId="3ED40667" w:rsidR="00184DCB" w:rsidRPr="00184DCB" w:rsidRDefault="00184DCB" w:rsidP="00D675A0">
            <w:pPr>
              <w:spacing w:after="0" w:line="240" w:lineRule="auto"/>
              <w:rPr>
                <w:b/>
                <w:bCs/>
                <w:iCs/>
              </w:rPr>
            </w:pPr>
            <w:r w:rsidRPr="00E66FFB">
              <w:rPr>
                <w:b/>
                <w:bCs/>
                <w:iCs/>
              </w:rPr>
              <w:t>SBNA</w:t>
            </w:r>
            <w:r>
              <w:rPr>
                <w:b/>
                <w:bCs/>
                <w:iCs/>
              </w:rPr>
              <w:t xml:space="preserve"> Solvency </w:t>
            </w:r>
          </w:p>
        </w:tc>
      </w:tr>
      <w:tr w:rsidR="00184DCB" w:rsidRPr="00206D41" w14:paraId="56603B54" w14:textId="77777777" w:rsidTr="00D675A0">
        <w:trPr>
          <w:trHeight w:val="439"/>
        </w:trPr>
        <w:tc>
          <w:tcPr>
            <w:tcW w:w="1728" w:type="dxa"/>
            <w:shd w:val="clear" w:color="auto" w:fill="auto"/>
          </w:tcPr>
          <w:p w14:paraId="4DBFB4AC" w14:textId="77777777" w:rsidR="00184DCB" w:rsidRPr="00206D41" w:rsidRDefault="00184DCB" w:rsidP="00D675A0">
            <w:pPr>
              <w:rPr>
                <w:b/>
                <w:bCs/>
                <w:iCs/>
              </w:rPr>
            </w:pPr>
            <w:r>
              <w:rPr>
                <w:b/>
                <w:bCs/>
                <w:iCs/>
              </w:rPr>
              <w:t>TRIGGER AND LIMIT SETTING</w:t>
            </w:r>
          </w:p>
        </w:tc>
        <w:tc>
          <w:tcPr>
            <w:tcW w:w="7470" w:type="dxa"/>
            <w:shd w:val="clear" w:color="auto" w:fill="auto"/>
          </w:tcPr>
          <w:p w14:paraId="4E831076" w14:textId="33AABB91" w:rsidR="00184DCB" w:rsidRDefault="00184DCB" w:rsidP="00D675A0">
            <w:pPr>
              <w:spacing w:after="0" w:line="240" w:lineRule="auto"/>
              <w:rPr>
                <w:rFonts w:asciiTheme="minorHAnsi" w:eastAsiaTheme="minorHAnsi" w:hAnsiTheme="minorHAnsi" w:cstheme="minorBidi"/>
                <w:iCs/>
              </w:rPr>
            </w:pPr>
            <w:r>
              <w:rPr>
                <w:rFonts w:asciiTheme="minorHAnsi" w:eastAsiaTheme="minorHAnsi" w:hAnsiTheme="minorHAnsi" w:cstheme="minorBidi"/>
                <w:iCs/>
              </w:rPr>
              <w:t xml:space="preserve">This metric has no amber trigger. </w:t>
            </w:r>
            <w:r w:rsidR="007D548B">
              <w:rPr>
                <w:rFonts w:asciiTheme="minorHAnsi" w:eastAsiaTheme="minorHAnsi" w:hAnsiTheme="minorHAnsi" w:cstheme="minorBidi"/>
                <w:iCs/>
              </w:rPr>
              <w:t xml:space="preserve">The red limit is set per management discretion. </w:t>
            </w:r>
          </w:p>
          <w:p w14:paraId="151B60E0" w14:textId="77777777" w:rsidR="00184DCB" w:rsidRDefault="00184DCB" w:rsidP="00D675A0">
            <w:pPr>
              <w:spacing w:after="0" w:line="240" w:lineRule="auto"/>
              <w:rPr>
                <w:rFonts w:asciiTheme="minorHAnsi" w:eastAsiaTheme="minorHAnsi" w:hAnsiTheme="minorHAnsi" w:cstheme="minorBidi"/>
                <w:iCs/>
              </w:rPr>
            </w:pPr>
          </w:p>
        </w:tc>
      </w:tr>
      <w:tr w:rsidR="00184DCB" w:rsidRPr="00206D41" w14:paraId="17F440B1" w14:textId="77777777" w:rsidTr="00D675A0">
        <w:trPr>
          <w:trHeight w:val="303"/>
        </w:trPr>
        <w:tc>
          <w:tcPr>
            <w:tcW w:w="1728" w:type="dxa"/>
            <w:shd w:val="clear" w:color="auto" w:fill="auto"/>
          </w:tcPr>
          <w:p w14:paraId="44D0EA12" w14:textId="77777777" w:rsidR="00184DCB" w:rsidRPr="00206D41" w:rsidRDefault="00184DCB" w:rsidP="00D675A0">
            <w:pPr>
              <w:rPr>
                <w:b/>
                <w:bCs/>
                <w:iCs/>
              </w:rPr>
            </w:pPr>
            <w:r>
              <w:rPr>
                <w:b/>
                <w:bCs/>
                <w:iCs/>
              </w:rPr>
              <w:t xml:space="preserve">TESTING </w:t>
            </w:r>
            <w:r w:rsidRPr="00206D41">
              <w:rPr>
                <w:b/>
                <w:bCs/>
                <w:iCs/>
              </w:rPr>
              <w:t>FREQUENCY</w:t>
            </w:r>
          </w:p>
        </w:tc>
        <w:tc>
          <w:tcPr>
            <w:tcW w:w="7470" w:type="dxa"/>
            <w:shd w:val="clear" w:color="auto" w:fill="auto"/>
          </w:tcPr>
          <w:p w14:paraId="1DB0853D" w14:textId="77777777" w:rsidR="00184DCB" w:rsidRPr="00206D41" w:rsidRDefault="00184DCB" w:rsidP="00D675A0">
            <w:r w:rsidRPr="00206D41">
              <w:rPr>
                <w:rFonts w:asciiTheme="minorHAnsi" w:eastAsiaTheme="minorHAnsi" w:hAnsiTheme="minorHAnsi" w:cstheme="minorBidi"/>
                <w:iCs/>
              </w:rPr>
              <w:t>Monthly</w:t>
            </w:r>
          </w:p>
        </w:tc>
      </w:tr>
      <w:tr w:rsidR="00184DCB" w:rsidRPr="00206D41" w14:paraId="34A9A418" w14:textId="77777777" w:rsidTr="00D675A0">
        <w:trPr>
          <w:trHeight w:val="525"/>
        </w:trPr>
        <w:tc>
          <w:tcPr>
            <w:tcW w:w="1728" w:type="dxa"/>
            <w:shd w:val="clear" w:color="auto" w:fill="auto"/>
          </w:tcPr>
          <w:p w14:paraId="10627D60" w14:textId="77777777" w:rsidR="00184DCB" w:rsidRPr="00206D41" w:rsidRDefault="00184DCB" w:rsidP="00D675A0">
            <w:pPr>
              <w:rPr>
                <w:b/>
                <w:bCs/>
                <w:iCs/>
              </w:rPr>
            </w:pPr>
            <w:r w:rsidRPr="00206D41">
              <w:rPr>
                <w:b/>
                <w:bCs/>
                <w:iCs/>
              </w:rPr>
              <w:t>SOURCE OF INFORMATION</w:t>
            </w:r>
          </w:p>
        </w:tc>
        <w:tc>
          <w:tcPr>
            <w:tcW w:w="7470" w:type="dxa"/>
            <w:shd w:val="clear" w:color="auto" w:fill="auto"/>
          </w:tcPr>
          <w:p w14:paraId="2D7092C2" w14:textId="77777777" w:rsidR="00184DCB" w:rsidRDefault="00184DCB" w:rsidP="00D675A0">
            <w:pPr>
              <w:spacing w:after="0" w:line="240" w:lineRule="auto"/>
              <w:rPr>
                <w:bCs/>
                <w:iCs/>
              </w:rPr>
            </w:pPr>
            <w:r>
              <w:rPr>
                <w:bCs/>
                <w:iCs/>
              </w:rPr>
              <w:t xml:space="preserve">The information is obtained from CCMIS.  </w:t>
            </w:r>
          </w:p>
          <w:p w14:paraId="52BAEFDF" w14:textId="77777777" w:rsidR="00184DCB" w:rsidRPr="00F7119F" w:rsidRDefault="00184DCB" w:rsidP="00D675A0">
            <w:pPr>
              <w:pStyle w:val="ListParagraph"/>
              <w:numPr>
                <w:ilvl w:val="0"/>
                <w:numId w:val="60"/>
              </w:numPr>
              <w:spacing w:after="0" w:line="240" w:lineRule="auto"/>
              <w:rPr>
                <w:bCs/>
                <w:iCs/>
              </w:rPr>
            </w:pPr>
            <w:r w:rsidRPr="00F7119F">
              <w:rPr>
                <w:bCs/>
                <w:iCs/>
              </w:rPr>
              <w:t xml:space="preserve">Single Obligor is defined as all related customers from the Customer table with a common Master One Obligor Number creating a Master One Obligor grouping.  </w:t>
            </w:r>
          </w:p>
          <w:p w14:paraId="68911E38" w14:textId="77777777" w:rsidR="00184DCB" w:rsidRPr="00F7119F" w:rsidRDefault="00184DCB" w:rsidP="00D675A0">
            <w:pPr>
              <w:pStyle w:val="ListParagraph"/>
              <w:numPr>
                <w:ilvl w:val="0"/>
                <w:numId w:val="60"/>
              </w:numPr>
              <w:spacing w:after="0" w:line="240" w:lineRule="auto"/>
              <w:rPr>
                <w:bCs/>
                <w:iCs/>
              </w:rPr>
            </w:pPr>
            <w:r w:rsidRPr="00F7119F">
              <w:rPr>
                <w:bCs/>
                <w:iCs/>
              </w:rPr>
              <w:t xml:space="preserve">Exposure is the sum of Binding Exposure for each Customer in the Customer table within the Master One Obligor grouping.   </w:t>
            </w:r>
          </w:p>
          <w:p w14:paraId="22412CE0" w14:textId="77777777" w:rsidR="00184DCB" w:rsidRPr="00F7119F" w:rsidRDefault="00184DCB" w:rsidP="00D675A0">
            <w:pPr>
              <w:pStyle w:val="ListParagraph"/>
              <w:numPr>
                <w:ilvl w:val="0"/>
                <w:numId w:val="60"/>
              </w:numPr>
              <w:spacing w:after="0" w:line="240" w:lineRule="auto"/>
              <w:rPr>
                <w:bCs/>
                <w:iCs/>
              </w:rPr>
            </w:pPr>
            <w:r w:rsidRPr="00F7119F">
              <w:rPr>
                <w:bCs/>
                <w:iCs/>
              </w:rPr>
              <w:t xml:space="preserve">Master One Obligor Number is obtained by joining the Customer table to the Customer Additional Fields table using their native keys and joining the Master Customer Number in the Customer Additional Fields table to the Master Customer Number in the Master One Obligor </w:t>
            </w:r>
            <w:proofErr w:type="gramStart"/>
            <w:r w:rsidRPr="00F7119F">
              <w:rPr>
                <w:bCs/>
                <w:iCs/>
              </w:rPr>
              <w:t>To</w:t>
            </w:r>
            <w:proofErr w:type="gramEnd"/>
            <w:r w:rsidRPr="00F7119F">
              <w:rPr>
                <w:bCs/>
                <w:iCs/>
              </w:rPr>
              <w:t xml:space="preserve"> Master Customer table.</w:t>
            </w:r>
          </w:p>
          <w:p w14:paraId="396361BF" w14:textId="77777777" w:rsidR="00184DCB" w:rsidRPr="00F7119F" w:rsidRDefault="00184DCB" w:rsidP="00D675A0">
            <w:pPr>
              <w:pStyle w:val="ListParagraph"/>
              <w:numPr>
                <w:ilvl w:val="0"/>
                <w:numId w:val="60"/>
              </w:numPr>
              <w:spacing w:after="0" w:line="240" w:lineRule="auto"/>
              <w:rPr>
                <w:bCs/>
                <w:iCs/>
              </w:rPr>
            </w:pPr>
            <w:r w:rsidRPr="0095495D">
              <w:rPr>
                <w:bCs/>
                <w:iCs/>
              </w:rPr>
              <w:t>Note, PFE is not currently included as the calibration of limits did not take PFE into consideration</w:t>
            </w:r>
          </w:p>
        </w:tc>
      </w:tr>
    </w:tbl>
    <w:p w14:paraId="7638DE12" w14:textId="77777777" w:rsidR="00184DCB" w:rsidRDefault="00184DCB" w:rsidP="00B52E32"/>
    <w:p w14:paraId="177593B0" w14:textId="77777777" w:rsidR="003B5980" w:rsidRDefault="003B5980" w:rsidP="00B52E32"/>
    <w:p w14:paraId="6EF8EE05" w14:textId="5297DF0E" w:rsidR="00184DCB" w:rsidRPr="00B83408" w:rsidRDefault="009D2336" w:rsidP="00B52E32">
      <w:pPr>
        <w:pStyle w:val="SANUS2"/>
        <w:numPr>
          <w:ilvl w:val="1"/>
          <w:numId w:val="1"/>
        </w:numPr>
        <w:tabs>
          <w:tab w:val="num" w:pos="540"/>
        </w:tabs>
        <w:ind w:left="567" w:hanging="567"/>
        <w:rPr>
          <w:color w:val="000000" w:themeColor="text1"/>
        </w:rPr>
      </w:pPr>
      <w:bookmarkStart w:id="85" w:name="_Toc452544129"/>
      <w:bookmarkStart w:id="86" w:name="_Toc453849286"/>
      <w:r>
        <w:rPr>
          <w:color w:val="000000" w:themeColor="text1"/>
        </w:rPr>
        <w:t>Top 20 Corporates E</w:t>
      </w:r>
      <w:r w:rsidR="00B83408">
        <w:rPr>
          <w:color w:val="000000" w:themeColor="text1"/>
        </w:rPr>
        <w:t>xposure</w:t>
      </w:r>
      <w:bookmarkEnd w:id="85"/>
      <w:bookmarkEnd w:id="86"/>
    </w:p>
    <w:tbl>
      <w:tblPr>
        <w:tblpPr w:leftFromText="180" w:rightFromText="180" w:vertAnchor="text" w:tblpX="168" w:tblpY="1"/>
        <w:tblOverlap w:val="never"/>
        <w:tblW w:w="9198"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000" w:firstRow="0" w:lastRow="0" w:firstColumn="0" w:lastColumn="0" w:noHBand="0" w:noVBand="0"/>
      </w:tblPr>
      <w:tblGrid>
        <w:gridCol w:w="1728"/>
        <w:gridCol w:w="7470"/>
      </w:tblGrid>
      <w:tr w:rsidR="00B83408" w:rsidRPr="00206D41" w14:paraId="1D2033B5" w14:textId="77777777" w:rsidTr="00D675A0">
        <w:trPr>
          <w:trHeight w:val="439"/>
        </w:trPr>
        <w:tc>
          <w:tcPr>
            <w:tcW w:w="1728" w:type="dxa"/>
            <w:shd w:val="clear" w:color="auto" w:fill="auto"/>
          </w:tcPr>
          <w:p w14:paraId="131592FF" w14:textId="77777777" w:rsidR="00B83408" w:rsidRPr="00206D41" w:rsidRDefault="00B83408" w:rsidP="00D675A0">
            <w:pPr>
              <w:rPr>
                <w:b/>
                <w:bCs/>
                <w:iCs/>
              </w:rPr>
            </w:pPr>
            <w:r>
              <w:rPr>
                <w:b/>
                <w:bCs/>
                <w:iCs/>
              </w:rPr>
              <w:t>DEFINITION</w:t>
            </w:r>
          </w:p>
        </w:tc>
        <w:tc>
          <w:tcPr>
            <w:tcW w:w="7470" w:type="dxa"/>
            <w:shd w:val="clear" w:color="auto" w:fill="auto"/>
          </w:tcPr>
          <w:p w14:paraId="3DB500DA" w14:textId="77777777" w:rsidR="00B83408" w:rsidRDefault="00B83408" w:rsidP="00D675A0">
            <w:pPr>
              <w:spacing w:after="0" w:line="240" w:lineRule="auto"/>
              <w:rPr>
                <w:bCs/>
                <w:iCs/>
              </w:rPr>
            </w:pPr>
            <w:r w:rsidRPr="00206D41">
              <w:rPr>
                <w:bCs/>
                <w:iCs/>
              </w:rPr>
              <w:t xml:space="preserve">The </w:t>
            </w:r>
            <w:r>
              <w:rPr>
                <w:bCs/>
                <w:iCs/>
              </w:rPr>
              <w:t>sum of the dollar value</w:t>
            </w:r>
            <w:r w:rsidRPr="00206D41">
              <w:rPr>
                <w:bCs/>
                <w:iCs/>
              </w:rPr>
              <w:t xml:space="preserve"> of</w:t>
            </w:r>
            <w:r>
              <w:rPr>
                <w:bCs/>
                <w:iCs/>
              </w:rPr>
              <w:t xml:space="preserve"> total exposure to </w:t>
            </w:r>
            <w:r w:rsidRPr="00CC4B97">
              <w:rPr>
                <w:bCs/>
                <w:iCs/>
              </w:rPr>
              <w:t>any individual customer</w:t>
            </w:r>
            <w:r w:rsidRPr="00CE7400">
              <w:rPr>
                <w:bCs/>
                <w:iCs/>
              </w:rPr>
              <w:t xml:space="preserve"> (</w:t>
            </w:r>
            <w:r>
              <w:rPr>
                <w:bCs/>
                <w:iCs/>
              </w:rPr>
              <w:t xml:space="preserve">or aggregated to guarantor) in Global Corporate Banking, Middle Market, Auto or Specialty Lending. </w:t>
            </w:r>
          </w:p>
          <w:p w14:paraId="63EE7838" w14:textId="197BBD96" w:rsidR="00B83408" w:rsidRDefault="00B83408" w:rsidP="00D675A0">
            <w:pPr>
              <w:spacing w:after="0" w:line="240" w:lineRule="auto"/>
              <w:rPr>
                <w:bCs/>
                <w:iCs/>
              </w:rPr>
            </w:pPr>
            <w:r>
              <w:rPr>
                <w:bCs/>
                <w:iCs/>
              </w:rPr>
              <w:t>It excludes Fin</w:t>
            </w:r>
            <w:r w:rsidR="003B5980">
              <w:rPr>
                <w:bCs/>
                <w:iCs/>
              </w:rPr>
              <w:t>ancial Institutions</w:t>
            </w:r>
            <w:r>
              <w:rPr>
                <w:bCs/>
                <w:iCs/>
              </w:rPr>
              <w:t xml:space="preserve"> and other market counterparties. </w:t>
            </w:r>
          </w:p>
          <w:p w14:paraId="4E86F20E" w14:textId="77777777" w:rsidR="00B83408" w:rsidRDefault="00B83408" w:rsidP="00D675A0">
            <w:pPr>
              <w:spacing w:after="0" w:line="240" w:lineRule="auto"/>
              <w:rPr>
                <w:bCs/>
                <w:iCs/>
              </w:rPr>
            </w:pPr>
          </w:p>
          <w:p w14:paraId="2A00EAA3" w14:textId="77777777" w:rsidR="00B83408" w:rsidRDefault="00B83408" w:rsidP="00D675A0">
            <w:pPr>
              <w:contextualSpacing/>
              <w:rPr>
                <w:rFonts w:asciiTheme="minorHAnsi" w:eastAsiaTheme="minorHAnsi" w:hAnsiTheme="minorHAnsi" w:cstheme="minorBidi"/>
                <w:bCs/>
                <w:iCs/>
                <w:lang w:val="en-GB"/>
              </w:rPr>
            </w:pPr>
            <w:r w:rsidRPr="00BF190C">
              <w:rPr>
                <w:rFonts w:asciiTheme="minorHAnsi" w:eastAsiaTheme="minorHAnsi" w:hAnsiTheme="minorHAnsi" w:cstheme="minorBidi"/>
                <w:bCs/>
                <w:iCs/>
                <w:lang w:val="en-GB"/>
              </w:rPr>
              <w:t xml:space="preserve">Exposure </w:t>
            </w:r>
            <w:r>
              <w:rPr>
                <w:rFonts w:asciiTheme="minorHAnsi" w:eastAsiaTheme="minorHAnsi" w:hAnsiTheme="minorHAnsi" w:cstheme="minorBidi"/>
                <w:bCs/>
                <w:iCs/>
                <w:lang w:val="en-GB"/>
              </w:rPr>
              <w:t xml:space="preserve">is defined as </w:t>
            </w:r>
            <w:r w:rsidRPr="00BF190C">
              <w:rPr>
                <w:rFonts w:asciiTheme="minorHAnsi" w:eastAsiaTheme="minorHAnsi" w:hAnsiTheme="minorHAnsi" w:cstheme="minorBidi"/>
                <w:bCs/>
                <w:iCs/>
                <w:lang w:val="en-GB"/>
              </w:rPr>
              <w:t xml:space="preserve">the </w:t>
            </w:r>
            <w:r w:rsidRPr="00BF190C">
              <w:rPr>
                <w:rFonts w:asciiTheme="minorHAnsi" w:eastAsiaTheme="minorHAnsi" w:hAnsiTheme="minorHAnsi" w:cstheme="minorBidi"/>
                <w:bCs/>
                <w:iCs/>
                <w:u w:val="single"/>
                <w:lang w:val="en-GB"/>
              </w:rPr>
              <w:t>sum</w:t>
            </w:r>
            <w:r w:rsidRPr="00BF190C">
              <w:rPr>
                <w:rFonts w:asciiTheme="minorHAnsi" w:eastAsiaTheme="minorHAnsi" w:hAnsiTheme="minorHAnsi" w:cstheme="minorBidi"/>
                <w:bCs/>
                <w:iCs/>
                <w:lang w:val="en-GB"/>
              </w:rPr>
              <w:t xml:space="preserve"> of: </w:t>
            </w:r>
          </w:p>
          <w:p w14:paraId="00364A1B" w14:textId="77777777" w:rsidR="00B83408" w:rsidRDefault="00B83408" w:rsidP="00D675A0">
            <w:pPr>
              <w:numPr>
                <w:ilvl w:val="1"/>
                <w:numId w:val="11"/>
              </w:numPr>
              <w:contextualSpacing/>
              <w:rPr>
                <w:rFonts w:asciiTheme="minorHAnsi" w:eastAsiaTheme="minorHAnsi" w:hAnsiTheme="minorHAnsi" w:cstheme="minorBidi"/>
                <w:bCs/>
                <w:iCs/>
                <w:lang w:val="en-GB"/>
              </w:rPr>
            </w:pPr>
            <w:r w:rsidRPr="00BF190C">
              <w:rPr>
                <w:rFonts w:asciiTheme="minorHAnsi" w:eastAsiaTheme="minorHAnsi" w:hAnsiTheme="minorHAnsi" w:cstheme="minorBidi"/>
                <w:bCs/>
                <w:iCs/>
                <w:lang w:val="en-GB"/>
              </w:rPr>
              <w:t xml:space="preserve">Committed facilities (drawn and undrawn)  </w:t>
            </w:r>
          </w:p>
          <w:p w14:paraId="3DC5ADF3" w14:textId="77777777" w:rsidR="00B83408" w:rsidRDefault="00B83408" w:rsidP="00D675A0">
            <w:pPr>
              <w:numPr>
                <w:ilvl w:val="1"/>
                <w:numId w:val="11"/>
              </w:numPr>
              <w:contextualSpacing/>
              <w:rPr>
                <w:rFonts w:asciiTheme="minorHAnsi" w:eastAsiaTheme="minorHAnsi" w:hAnsiTheme="minorHAnsi" w:cstheme="minorBidi"/>
                <w:bCs/>
                <w:iCs/>
                <w:lang w:val="en-GB"/>
              </w:rPr>
            </w:pPr>
            <w:r>
              <w:rPr>
                <w:rFonts w:asciiTheme="minorHAnsi" w:eastAsiaTheme="minorHAnsi" w:hAnsiTheme="minorHAnsi" w:cstheme="minorBidi"/>
                <w:bCs/>
                <w:iCs/>
                <w:lang w:val="en-GB"/>
              </w:rPr>
              <w:t>D</w:t>
            </w:r>
            <w:r w:rsidRPr="00BF190C">
              <w:rPr>
                <w:rFonts w:asciiTheme="minorHAnsi" w:eastAsiaTheme="minorHAnsi" w:hAnsiTheme="minorHAnsi" w:cstheme="minorBidi"/>
                <w:bCs/>
                <w:iCs/>
                <w:lang w:val="en-GB"/>
              </w:rPr>
              <w:t>rawn</w:t>
            </w:r>
            <w:r>
              <w:rPr>
                <w:rFonts w:asciiTheme="minorHAnsi" w:eastAsiaTheme="minorHAnsi" w:hAnsiTheme="minorHAnsi" w:cstheme="minorBidi"/>
                <w:bCs/>
                <w:iCs/>
                <w:lang w:val="en-GB"/>
              </w:rPr>
              <w:t xml:space="preserve"> balances</w:t>
            </w:r>
            <w:r w:rsidRPr="00BF190C">
              <w:rPr>
                <w:rFonts w:asciiTheme="minorHAnsi" w:eastAsiaTheme="minorHAnsi" w:hAnsiTheme="minorHAnsi" w:cstheme="minorBidi"/>
                <w:bCs/>
                <w:iCs/>
                <w:lang w:val="en-GB"/>
              </w:rPr>
              <w:t xml:space="preserve"> under uncommitted facilities  </w:t>
            </w:r>
          </w:p>
          <w:p w14:paraId="63AF0956" w14:textId="77777777" w:rsidR="00B83408" w:rsidRDefault="00B83408" w:rsidP="00D675A0">
            <w:pPr>
              <w:numPr>
                <w:ilvl w:val="1"/>
                <w:numId w:val="11"/>
              </w:numPr>
              <w:contextualSpacing/>
              <w:rPr>
                <w:rFonts w:asciiTheme="minorHAnsi" w:eastAsiaTheme="minorHAnsi" w:hAnsiTheme="minorHAnsi" w:cstheme="minorBidi"/>
                <w:bCs/>
                <w:iCs/>
                <w:lang w:val="en-GB"/>
              </w:rPr>
            </w:pPr>
            <w:r>
              <w:rPr>
                <w:rFonts w:asciiTheme="minorHAnsi" w:eastAsiaTheme="minorHAnsi" w:hAnsiTheme="minorHAnsi" w:cstheme="minorBidi"/>
                <w:bCs/>
                <w:iCs/>
                <w:lang w:val="en-GB"/>
              </w:rPr>
              <w:t>O</w:t>
            </w:r>
            <w:r w:rsidRPr="00BF190C">
              <w:rPr>
                <w:rFonts w:asciiTheme="minorHAnsi" w:eastAsiaTheme="minorHAnsi" w:hAnsiTheme="minorHAnsi" w:cstheme="minorBidi"/>
                <w:bCs/>
                <w:iCs/>
                <w:lang w:val="en-GB"/>
              </w:rPr>
              <w:t xml:space="preserve">ff balance sheet items (e.g. Letters of Credit)  </w:t>
            </w:r>
          </w:p>
          <w:p w14:paraId="4D060A19" w14:textId="77777777" w:rsidR="00B83408" w:rsidRDefault="00B83408" w:rsidP="00D675A0">
            <w:pPr>
              <w:numPr>
                <w:ilvl w:val="1"/>
                <w:numId w:val="11"/>
              </w:numPr>
              <w:contextualSpacing/>
              <w:rPr>
                <w:rFonts w:asciiTheme="minorHAnsi" w:eastAsiaTheme="minorHAnsi" w:hAnsiTheme="minorHAnsi" w:cstheme="minorBidi"/>
                <w:bCs/>
                <w:iCs/>
                <w:lang w:val="en-GB"/>
              </w:rPr>
            </w:pPr>
            <w:r w:rsidRPr="00BF190C">
              <w:rPr>
                <w:rFonts w:asciiTheme="minorHAnsi" w:eastAsiaTheme="minorHAnsi" w:hAnsiTheme="minorHAnsi" w:cstheme="minorBidi"/>
                <w:bCs/>
                <w:iCs/>
                <w:lang w:val="en-GB"/>
              </w:rPr>
              <w:t>PFE</w:t>
            </w:r>
            <w:r w:rsidRPr="00BF190C">
              <w:rPr>
                <w:rFonts w:asciiTheme="minorHAnsi" w:eastAsiaTheme="minorHAnsi" w:hAnsiTheme="minorHAnsi" w:cstheme="minorBidi"/>
                <w:bCs/>
                <w:iCs/>
                <w:vertAlign w:val="superscript"/>
                <w:lang w:val="en-GB"/>
              </w:rPr>
              <w:footnoteReference w:id="3"/>
            </w:r>
            <w:r w:rsidRPr="00BF190C">
              <w:rPr>
                <w:rFonts w:asciiTheme="minorHAnsi" w:eastAsiaTheme="minorHAnsi" w:hAnsiTheme="minorHAnsi" w:cstheme="minorBidi"/>
                <w:bCs/>
                <w:iCs/>
                <w:lang w:val="en-GB"/>
              </w:rPr>
              <w:t xml:space="preserve"> (“REC”) for derivatives. </w:t>
            </w:r>
          </w:p>
          <w:p w14:paraId="7BBE4376" w14:textId="77777777" w:rsidR="00B83408" w:rsidRDefault="00B83408" w:rsidP="00D675A0">
            <w:pPr>
              <w:spacing w:after="0" w:line="240" w:lineRule="auto"/>
              <w:rPr>
                <w:rFonts w:asciiTheme="minorHAnsi" w:eastAsiaTheme="minorHAnsi" w:hAnsiTheme="minorHAnsi" w:cstheme="minorBidi"/>
                <w:bCs/>
                <w:iCs/>
                <w:lang w:val="en-GB"/>
              </w:rPr>
            </w:pPr>
            <w:r w:rsidRPr="00BF190C">
              <w:rPr>
                <w:rFonts w:asciiTheme="minorHAnsi" w:eastAsiaTheme="minorHAnsi" w:hAnsiTheme="minorHAnsi" w:cstheme="minorBidi"/>
                <w:bCs/>
                <w:iCs/>
                <w:lang w:val="en-GB"/>
              </w:rPr>
              <w:t>Exposures will be calculated at individual counterparty level and aggregated as required to ultimate parent (economic group) level. Exposures to non-recourse project finance will be treated as individual exposures and not aggregated to the sponsor.</w:t>
            </w:r>
          </w:p>
          <w:p w14:paraId="4D2EF2AA" w14:textId="77777777" w:rsidR="00B83408" w:rsidRPr="00476FDA" w:rsidRDefault="00B83408" w:rsidP="00D675A0">
            <w:pPr>
              <w:spacing w:after="0" w:line="240" w:lineRule="auto"/>
              <w:rPr>
                <w:bCs/>
                <w:iCs/>
                <w:color w:val="FF0000"/>
              </w:rPr>
            </w:pPr>
          </w:p>
        </w:tc>
      </w:tr>
      <w:tr w:rsidR="00B83408" w:rsidRPr="00206D41" w14:paraId="55AF9CE6" w14:textId="77777777" w:rsidTr="00D675A0">
        <w:trPr>
          <w:trHeight w:val="286"/>
        </w:trPr>
        <w:tc>
          <w:tcPr>
            <w:tcW w:w="1728" w:type="dxa"/>
            <w:shd w:val="clear" w:color="auto" w:fill="auto"/>
          </w:tcPr>
          <w:p w14:paraId="776C7952" w14:textId="77777777" w:rsidR="00B83408" w:rsidRPr="00206D41" w:rsidRDefault="00B83408" w:rsidP="00D675A0">
            <w:pPr>
              <w:rPr>
                <w:b/>
                <w:bCs/>
                <w:iCs/>
              </w:rPr>
            </w:pPr>
            <w:r>
              <w:rPr>
                <w:b/>
                <w:bCs/>
                <w:iCs/>
              </w:rPr>
              <w:t>RISK TYPE</w:t>
            </w:r>
          </w:p>
        </w:tc>
        <w:tc>
          <w:tcPr>
            <w:tcW w:w="7470" w:type="dxa"/>
            <w:shd w:val="clear" w:color="auto" w:fill="auto"/>
          </w:tcPr>
          <w:p w14:paraId="17774570" w14:textId="77777777" w:rsidR="00B83408" w:rsidRPr="00206D41" w:rsidRDefault="00B83408" w:rsidP="00D675A0">
            <w:pPr>
              <w:spacing w:after="0" w:line="240" w:lineRule="auto"/>
              <w:rPr>
                <w:bCs/>
                <w:iCs/>
              </w:rPr>
            </w:pPr>
            <w:r>
              <w:rPr>
                <w:bCs/>
                <w:iCs/>
              </w:rPr>
              <w:t>Credit Risk</w:t>
            </w:r>
          </w:p>
        </w:tc>
      </w:tr>
      <w:tr w:rsidR="00B83408" w:rsidRPr="00206D41" w14:paraId="2F1B9801" w14:textId="77777777" w:rsidTr="00D675A0">
        <w:trPr>
          <w:trHeight w:val="286"/>
        </w:trPr>
        <w:tc>
          <w:tcPr>
            <w:tcW w:w="1728" w:type="dxa"/>
            <w:shd w:val="clear" w:color="auto" w:fill="auto"/>
          </w:tcPr>
          <w:p w14:paraId="4D22FAC5" w14:textId="77777777" w:rsidR="00B83408" w:rsidRDefault="00B83408" w:rsidP="00D675A0">
            <w:pPr>
              <w:rPr>
                <w:b/>
                <w:bCs/>
                <w:iCs/>
              </w:rPr>
            </w:pPr>
            <w:r>
              <w:rPr>
                <w:b/>
                <w:bCs/>
                <w:iCs/>
              </w:rPr>
              <w:t>RATIONALE</w:t>
            </w:r>
          </w:p>
        </w:tc>
        <w:tc>
          <w:tcPr>
            <w:tcW w:w="7470" w:type="dxa"/>
            <w:shd w:val="clear" w:color="auto" w:fill="auto"/>
          </w:tcPr>
          <w:p w14:paraId="51FB41E4" w14:textId="77777777" w:rsidR="00B83408" w:rsidRDefault="00B83408" w:rsidP="00D675A0">
            <w:pPr>
              <w:spacing w:after="0" w:line="240" w:lineRule="auto"/>
              <w:rPr>
                <w:bCs/>
                <w:iCs/>
              </w:rPr>
            </w:pPr>
            <w:r>
              <w:rPr>
                <w:bCs/>
                <w:iCs/>
              </w:rPr>
              <w:t>I</w:t>
            </w:r>
            <w:r w:rsidRPr="000864B0">
              <w:rPr>
                <w:bCs/>
                <w:iCs/>
              </w:rPr>
              <w:t>mportant for SHUSA to monitor and manage obligor concentrations, given the size of their largest exposures</w:t>
            </w:r>
            <w:r>
              <w:rPr>
                <w:bCs/>
                <w:iCs/>
              </w:rPr>
              <w:t>, in order to limit the impact on capital of unexpected borrower events; cascaded from group.</w:t>
            </w:r>
          </w:p>
        </w:tc>
      </w:tr>
      <w:tr w:rsidR="003A112B" w:rsidRPr="00206D41" w14:paraId="165C7D89" w14:textId="77777777" w:rsidTr="00D675A0">
        <w:trPr>
          <w:cantSplit/>
          <w:trHeight w:val="255"/>
        </w:trPr>
        <w:tc>
          <w:tcPr>
            <w:tcW w:w="1728" w:type="dxa"/>
            <w:shd w:val="clear" w:color="auto" w:fill="auto"/>
          </w:tcPr>
          <w:p w14:paraId="50A31F7A" w14:textId="77777777" w:rsidR="003A112B" w:rsidRPr="00206D41" w:rsidRDefault="003A112B" w:rsidP="00D675A0">
            <w:pPr>
              <w:rPr>
                <w:b/>
                <w:bCs/>
                <w:iCs/>
              </w:rPr>
            </w:pPr>
            <w:r>
              <w:rPr>
                <w:b/>
                <w:bCs/>
                <w:iCs/>
              </w:rPr>
              <w:t>ENTITY</w:t>
            </w:r>
          </w:p>
        </w:tc>
        <w:tc>
          <w:tcPr>
            <w:tcW w:w="7470" w:type="dxa"/>
            <w:shd w:val="clear" w:color="auto" w:fill="auto"/>
          </w:tcPr>
          <w:p w14:paraId="6FC291B3" w14:textId="40524366" w:rsidR="003A112B" w:rsidRPr="003A112B" w:rsidRDefault="003A112B" w:rsidP="00D675A0">
            <w:pPr>
              <w:spacing w:after="0" w:line="240" w:lineRule="auto"/>
              <w:rPr>
                <w:b/>
                <w:bCs/>
                <w:iCs/>
              </w:rPr>
            </w:pPr>
            <w:r w:rsidRPr="006358E6">
              <w:rPr>
                <w:b/>
                <w:bCs/>
                <w:iCs/>
              </w:rPr>
              <w:t>SBNA</w:t>
            </w:r>
          </w:p>
        </w:tc>
      </w:tr>
      <w:tr w:rsidR="003A112B" w:rsidRPr="00206D41" w14:paraId="29CE73EA" w14:textId="77777777" w:rsidTr="00D675A0">
        <w:trPr>
          <w:trHeight w:val="270"/>
        </w:trPr>
        <w:tc>
          <w:tcPr>
            <w:tcW w:w="1728" w:type="dxa"/>
            <w:shd w:val="clear" w:color="auto" w:fill="auto"/>
          </w:tcPr>
          <w:p w14:paraId="27EE42EE" w14:textId="01804C8A" w:rsidR="003A112B" w:rsidRPr="00206D41" w:rsidRDefault="00511F11" w:rsidP="00D675A0">
            <w:pPr>
              <w:rPr>
                <w:b/>
                <w:bCs/>
                <w:iCs/>
              </w:rPr>
            </w:pPr>
            <w:r>
              <w:rPr>
                <w:rFonts w:asciiTheme="minorHAnsi" w:hAnsiTheme="minorHAnsi"/>
                <w:b/>
                <w:bCs/>
                <w:iCs/>
              </w:rPr>
              <w:t>METRIC PROVIDER</w:t>
            </w:r>
          </w:p>
        </w:tc>
        <w:tc>
          <w:tcPr>
            <w:tcW w:w="7470" w:type="dxa"/>
            <w:shd w:val="clear" w:color="auto" w:fill="auto"/>
          </w:tcPr>
          <w:p w14:paraId="53742579" w14:textId="2C49CEF7" w:rsidR="003A112B" w:rsidRDefault="003A112B" w:rsidP="00D675A0">
            <w:pPr>
              <w:spacing w:after="0" w:line="240" w:lineRule="auto"/>
              <w:rPr>
                <w:bCs/>
                <w:iCs/>
              </w:rPr>
            </w:pPr>
            <w:r>
              <w:rPr>
                <w:b/>
                <w:bCs/>
                <w:iCs/>
              </w:rPr>
              <w:t>SBNA Solvency</w:t>
            </w:r>
          </w:p>
        </w:tc>
      </w:tr>
      <w:tr w:rsidR="00B83408" w:rsidRPr="00206D41" w14:paraId="28D77573" w14:textId="77777777" w:rsidTr="00D675A0">
        <w:trPr>
          <w:trHeight w:val="360"/>
        </w:trPr>
        <w:tc>
          <w:tcPr>
            <w:tcW w:w="1728" w:type="dxa"/>
            <w:shd w:val="clear" w:color="auto" w:fill="auto"/>
          </w:tcPr>
          <w:p w14:paraId="3C10B6D7" w14:textId="77777777" w:rsidR="00B83408" w:rsidRPr="00206D41" w:rsidRDefault="00B83408" w:rsidP="00D675A0">
            <w:pPr>
              <w:rPr>
                <w:b/>
                <w:bCs/>
                <w:iCs/>
              </w:rPr>
            </w:pPr>
            <w:r>
              <w:rPr>
                <w:b/>
                <w:bCs/>
                <w:iCs/>
              </w:rPr>
              <w:t>TRIGGER AND LIMIT SETTING</w:t>
            </w:r>
          </w:p>
        </w:tc>
        <w:tc>
          <w:tcPr>
            <w:tcW w:w="7470" w:type="dxa"/>
            <w:shd w:val="clear" w:color="auto" w:fill="auto"/>
          </w:tcPr>
          <w:p w14:paraId="684339D5" w14:textId="33C4DA23" w:rsidR="00B83408" w:rsidRDefault="00B83408" w:rsidP="00D675A0">
            <w:pPr>
              <w:spacing w:after="0" w:line="240" w:lineRule="auto"/>
              <w:rPr>
                <w:rFonts w:asciiTheme="minorHAnsi" w:eastAsiaTheme="minorHAnsi" w:hAnsiTheme="minorHAnsi" w:cstheme="minorBidi"/>
                <w:iCs/>
              </w:rPr>
            </w:pPr>
            <w:r>
              <w:rPr>
                <w:rFonts w:asciiTheme="minorHAnsi" w:eastAsiaTheme="minorHAnsi" w:hAnsiTheme="minorHAnsi" w:cstheme="minorBidi"/>
                <w:iCs/>
              </w:rPr>
              <w:t xml:space="preserve">The amber trigger and red limit are set </w:t>
            </w:r>
            <w:r w:rsidR="007D548B">
              <w:rPr>
                <w:rFonts w:asciiTheme="minorHAnsi" w:eastAsiaTheme="minorHAnsi" w:hAnsiTheme="minorHAnsi" w:cstheme="minorBidi"/>
                <w:iCs/>
              </w:rPr>
              <w:t xml:space="preserve">by management discretion. </w:t>
            </w:r>
          </w:p>
          <w:p w14:paraId="760E9783" w14:textId="77777777" w:rsidR="00B83408" w:rsidRDefault="00B83408" w:rsidP="00D675A0">
            <w:pPr>
              <w:spacing w:after="0" w:line="240" w:lineRule="auto"/>
              <w:rPr>
                <w:rFonts w:asciiTheme="minorHAnsi" w:eastAsiaTheme="minorHAnsi" w:hAnsiTheme="minorHAnsi" w:cstheme="minorBidi"/>
                <w:iCs/>
              </w:rPr>
            </w:pPr>
          </w:p>
        </w:tc>
      </w:tr>
      <w:tr w:rsidR="00B83408" w:rsidRPr="00206D41" w14:paraId="0641F997" w14:textId="77777777" w:rsidTr="00D675A0">
        <w:trPr>
          <w:trHeight w:val="510"/>
        </w:trPr>
        <w:tc>
          <w:tcPr>
            <w:tcW w:w="1728" w:type="dxa"/>
            <w:shd w:val="clear" w:color="auto" w:fill="auto"/>
          </w:tcPr>
          <w:p w14:paraId="6CC1962A" w14:textId="77777777" w:rsidR="00B83408" w:rsidRPr="00206D41" w:rsidRDefault="00B83408" w:rsidP="00D675A0">
            <w:pPr>
              <w:rPr>
                <w:b/>
                <w:bCs/>
                <w:iCs/>
              </w:rPr>
            </w:pPr>
            <w:r>
              <w:rPr>
                <w:b/>
                <w:bCs/>
                <w:iCs/>
              </w:rPr>
              <w:t xml:space="preserve">TESTING </w:t>
            </w:r>
            <w:r w:rsidRPr="00206D41">
              <w:rPr>
                <w:b/>
                <w:bCs/>
                <w:iCs/>
              </w:rPr>
              <w:t>FREQUENCY</w:t>
            </w:r>
          </w:p>
        </w:tc>
        <w:tc>
          <w:tcPr>
            <w:tcW w:w="7470" w:type="dxa"/>
            <w:shd w:val="clear" w:color="auto" w:fill="auto"/>
          </w:tcPr>
          <w:p w14:paraId="59AABDD8" w14:textId="77777777" w:rsidR="00B83408" w:rsidRPr="00206D41" w:rsidRDefault="00B83408" w:rsidP="00D675A0">
            <w:r w:rsidRPr="00206D41">
              <w:rPr>
                <w:rFonts w:asciiTheme="minorHAnsi" w:eastAsiaTheme="minorHAnsi" w:hAnsiTheme="minorHAnsi" w:cstheme="minorBidi"/>
                <w:iCs/>
              </w:rPr>
              <w:t>Monthly</w:t>
            </w:r>
          </w:p>
        </w:tc>
      </w:tr>
      <w:tr w:rsidR="00B83408" w:rsidRPr="00206D41" w14:paraId="03A85D46" w14:textId="77777777" w:rsidTr="00D675A0">
        <w:trPr>
          <w:trHeight w:val="525"/>
        </w:trPr>
        <w:tc>
          <w:tcPr>
            <w:tcW w:w="1728" w:type="dxa"/>
            <w:shd w:val="clear" w:color="auto" w:fill="auto"/>
          </w:tcPr>
          <w:p w14:paraId="2C10BB79" w14:textId="77777777" w:rsidR="00B83408" w:rsidRPr="00206D41" w:rsidRDefault="00B83408" w:rsidP="00D675A0">
            <w:pPr>
              <w:rPr>
                <w:b/>
                <w:bCs/>
                <w:iCs/>
              </w:rPr>
            </w:pPr>
            <w:r w:rsidRPr="00206D41">
              <w:rPr>
                <w:b/>
                <w:bCs/>
                <w:iCs/>
              </w:rPr>
              <w:t>SOURCE OF INFORMATION</w:t>
            </w:r>
          </w:p>
        </w:tc>
        <w:tc>
          <w:tcPr>
            <w:tcW w:w="7470" w:type="dxa"/>
            <w:shd w:val="clear" w:color="auto" w:fill="auto"/>
          </w:tcPr>
          <w:p w14:paraId="18F4CB7B" w14:textId="77777777" w:rsidR="00B83408" w:rsidRDefault="00B83408" w:rsidP="00D675A0">
            <w:pPr>
              <w:spacing w:after="0" w:line="240" w:lineRule="auto"/>
              <w:rPr>
                <w:bCs/>
                <w:iCs/>
              </w:rPr>
            </w:pPr>
            <w:r>
              <w:rPr>
                <w:bCs/>
                <w:iCs/>
              </w:rPr>
              <w:t xml:space="preserve">The information is obtained from CCMIS.  </w:t>
            </w:r>
          </w:p>
          <w:p w14:paraId="022EDBD8" w14:textId="77777777" w:rsidR="00B83408" w:rsidRPr="00F7119F" w:rsidRDefault="00B83408" w:rsidP="00D675A0">
            <w:pPr>
              <w:pStyle w:val="ListParagraph"/>
              <w:numPr>
                <w:ilvl w:val="0"/>
                <w:numId w:val="61"/>
              </w:numPr>
              <w:spacing w:after="0" w:line="240" w:lineRule="auto"/>
              <w:rPr>
                <w:bCs/>
                <w:iCs/>
              </w:rPr>
            </w:pPr>
            <w:r w:rsidRPr="00F7119F">
              <w:rPr>
                <w:bCs/>
                <w:iCs/>
              </w:rPr>
              <w:t xml:space="preserve">Obligors are defined as all related customers from the Customer table with a common Master One Obligor Number creating a Master One Obligor grouping.  </w:t>
            </w:r>
          </w:p>
          <w:p w14:paraId="5AB49CBF" w14:textId="77777777" w:rsidR="00B83408" w:rsidRPr="00F7119F" w:rsidRDefault="00B83408" w:rsidP="00D675A0">
            <w:pPr>
              <w:pStyle w:val="ListParagraph"/>
              <w:numPr>
                <w:ilvl w:val="0"/>
                <w:numId w:val="61"/>
              </w:numPr>
              <w:spacing w:after="0" w:line="240" w:lineRule="auto"/>
              <w:rPr>
                <w:bCs/>
                <w:iCs/>
              </w:rPr>
            </w:pPr>
            <w:r w:rsidRPr="00F7119F">
              <w:rPr>
                <w:bCs/>
                <w:iCs/>
              </w:rPr>
              <w:t xml:space="preserve">Exposure is the sum of Binding Exposure for each Customer in the Customer table within the Master One Obligor grouping.   </w:t>
            </w:r>
          </w:p>
          <w:p w14:paraId="5DEE3CD4" w14:textId="77777777" w:rsidR="00B83408" w:rsidRPr="00F7119F" w:rsidRDefault="00B83408" w:rsidP="00D675A0">
            <w:pPr>
              <w:pStyle w:val="ListParagraph"/>
              <w:numPr>
                <w:ilvl w:val="0"/>
                <w:numId w:val="61"/>
              </w:numPr>
              <w:spacing w:after="0" w:line="240" w:lineRule="auto"/>
              <w:rPr>
                <w:bCs/>
                <w:iCs/>
              </w:rPr>
            </w:pPr>
            <w:r w:rsidRPr="00F7119F">
              <w:rPr>
                <w:bCs/>
                <w:iCs/>
              </w:rPr>
              <w:t>Master One Obligor Number is obtained by joining the Customer table to the Customer Additional Fields table using their native keys and joining the Master Customer Number in the Customer Additional Fields table to the Master Customer Nu</w:t>
            </w:r>
            <w:r>
              <w:rPr>
                <w:bCs/>
                <w:iCs/>
              </w:rPr>
              <w:t>mber in the Master One Obligor t</w:t>
            </w:r>
            <w:r w:rsidRPr="00F7119F">
              <w:rPr>
                <w:bCs/>
                <w:iCs/>
              </w:rPr>
              <w:t>o Master Customer table.</w:t>
            </w:r>
          </w:p>
          <w:p w14:paraId="17A08203" w14:textId="77777777" w:rsidR="00B83408" w:rsidRPr="00F7119F" w:rsidRDefault="00B83408" w:rsidP="00D675A0">
            <w:pPr>
              <w:pStyle w:val="ListParagraph"/>
              <w:numPr>
                <w:ilvl w:val="0"/>
                <w:numId w:val="61"/>
              </w:numPr>
              <w:spacing w:after="0" w:line="240" w:lineRule="auto"/>
              <w:rPr>
                <w:bCs/>
                <w:iCs/>
              </w:rPr>
            </w:pPr>
            <w:r w:rsidRPr="0095495D">
              <w:rPr>
                <w:bCs/>
                <w:iCs/>
              </w:rPr>
              <w:t>Note, PFE is not currently included as the calibration of limits did not take PFE into consideration</w:t>
            </w:r>
          </w:p>
        </w:tc>
      </w:tr>
    </w:tbl>
    <w:p w14:paraId="1B2C71C7" w14:textId="77777777" w:rsidR="00B83408" w:rsidRDefault="00B83408" w:rsidP="00B52E32"/>
    <w:p w14:paraId="2FCE10F1" w14:textId="69E4A587" w:rsidR="00883CD9" w:rsidRPr="005A6F8C" w:rsidRDefault="002A0474" w:rsidP="00883CD9">
      <w:pPr>
        <w:pStyle w:val="SANUS2"/>
        <w:numPr>
          <w:ilvl w:val="1"/>
          <w:numId w:val="1"/>
        </w:numPr>
        <w:tabs>
          <w:tab w:val="num" w:pos="540"/>
        </w:tabs>
        <w:ind w:left="567" w:hanging="567"/>
        <w:rPr>
          <w:color w:val="000000" w:themeColor="text1"/>
        </w:rPr>
      </w:pPr>
      <w:bookmarkStart w:id="87" w:name="_Toc439165521"/>
      <w:bookmarkStart w:id="88" w:name="_Toc439165802"/>
      <w:bookmarkStart w:id="89" w:name="_Toc439841737"/>
      <w:bookmarkStart w:id="90" w:name="_Toc453849287"/>
      <w:bookmarkEnd w:id="87"/>
      <w:bookmarkEnd w:id="88"/>
      <w:bookmarkEnd w:id="89"/>
      <w:r>
        <w:rPr>
          <w:color w:val="000000" w:themeColor="text1"/>
        </w:rPr>
        <w:t>Obligor Rating Exposure</w:t>
      </w:r>
      <w:bookmarkEnd w:id="90"/>
      <w:r>
        <w:rPr>
          <w:color w:val="000000" w:themeColor="text1"/>
        </w:rPr>
        <w:t xml:space="preserve"> </w:t>
      </w:r>
    </w:p>
    <w:tbl>
      <w:tblPr>
        <w:tblpPr w:leftFromText="180" w:rightFromText="180" w:vertAnchor="text" w:tblpX="168" w:tblpY="1"/>
        <w:tblOverlap w:val="never"/>
        <w:tblW w:w="9198"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000" w:firstRow="0" w:lastRow="0" w:firstColumn="0" w:lastColumn="0" w:noHBand="0" w:noVBand="0"/>
      </w:tblPr>
      <w:tblGrid>
        <w:gridCol w:w="1728"/>
        <w:gridCol w:w="7470"/>
      </w:tblGrid>
      <w:tr w:rsidR="00883CD9" w:rsidRPr="00206D41" w14:paraId="2A9A5A2D" w14:textId="77777777" w:rsidTr="0064647A">
        <w:trPr>
          <w:cantSplit/>
          <w:trHeight w:val="690"/>
        </w:trPr>
        <w:tc>
          <w:tcPr>
            <w:tcW w:w="1728" w:type="dxa"/>
            <w:shd w:val="clear" w:color="auto" w:fill="auto"/>
          </w:tcPr>
          <w:p w14:paraId="0F6CB509" w14:textId="77777777" w:rsidR="00883CD9" w:rsidRPr="00206D41" w:rsidRDefault="005A6F8C" w:rsidP="007E122B">
            <w:pPr>
              <w:rPr>
                <w:b/>
                <w:bCs/>
                <w:iCs/>
              </w:rPr>
            </w:pPr>
            <w:r>
              <w:rPr>
                <w:b/>
                <w:bCs/>
                <w:iCs/>
              </w:rPr>
              <w:t>DEFINITION</w:t>
            </w:r>
          </w:p>
        </w:tc>
        <w:tc>
          <w:tcPr>
            <w:tcW w:w="7470" w:type="dxa"/>
            <w:shd w:val="clear" w:color="auto" w:fill="auto"/>
          </w:tcPr>
          <w:p w14:paraId="5869D8AF" w14:textId="77777777" w:rsidR="00137A26" w:rsidRDefault="005A6F8C" w:rsidP="007E122B">
            <w:pPr>
              <w:spacing w:after="0" w:line="240" w:lineRule="auto"/>
              <w:rPr>
                <w:rFonts w:asciiTheme="minorHAnsi" w:eastAsiaTheme="minorHAnsi" w:hAnsiTheme="minorHAnsi" w:cstheme="minorBidi"/>
                <w:iCs/>
              </w:rPr>
            </w:pPr>
            <w:r w:rsidRPr="00206D41">
              <w:rPr>
                <w:rFonts w:asciiTheme="minorHAnsi" w:eastAsiaTheme="minorHAnsi" w:hAnsiTheme="minorHAnsi" w:cstheme="minorBidi"/>
                <w:iCs/>
              </w:rPr>
              <w:t xml:space="preserve">The </w:t>
            </w:r>
            <w:r>
              <w:rPr>
                <w:rFonts w:asciiTheme="minorHAnsi" w:eastAsiaTheme="minorHAnsi" w:hAnsiTheme="minorHAnsi" w:cstheme="minorBidi"/>
                <w:iCs/>
              </w:rPr>
              <w:t xml:space="preserve">total number of individual counterparties of </w:t>
            </w:r>
            <w:r w:rsidRPr="00206D41">
              <w:rPr>
                <w:rFonts w:asciiTheme="minorHAnsi" w:eastAsiaTheme="minorHAnsi" w:hAnsiTheme="minorHAnsi" w:cstheme="minorBidi"/>
                <w:iCs/>
              </w:rPr>
              <w:t>lower credit quality (defined as internal risk rating of &lt; 5.0)</w:t>
            </w:r>
            <w:r>
              <w:rPr>
                <w:rFonts w:asciiTheme="minorHAnsi" w:eastAsiaTheme="minorHAnsi" w:hAnsiTheme="minorHAnsi" w:cstheme="minorBidi"/>
                <w:iCs/>
              </w:rPr>
              <w:t xml:space="preserve"> with exposure &gt; $100MM</w:t>
            </w:r>
            <w:r w:rsidR="00137A26">
              <w:rPr>
                <w:rFonts w:asciiTheme="minorHAnsi" w:eastAsiaTheme="minorHAnsi" w:hAnsiTheme="minorHAnsi" w:cstheme="minorBidi"/>
                <w:iCs/>
              </w:rPr>
              <w:t xml:space="preserve"> </w:t>
            </w:r>
          </w:p>
          <w:p w14:paraId="6FAA972D" w14:textId="77777777" w:rsidR="00137A26" w:rsidRDefault="00137A26" w:rsidP="007E122B">
            <w:pPr>
              <w:spacing w:after="0" w:line="240" w:lineRule="auto"/>
              <w:rPr>
                <w:rFonts w:asciiTheme="minorHAnsi" w:eastAsiaTheme="minorHAnsi" w:hAnsiTheme="minorHAnsi" w:cstheme="minorBidi"/>
                <w:iCs/>
              </w:rPr>
            </w:pPr>
          </w:p>
          <w:p w14:paraId="7E767EDF" w14:textId="77777777" w:rsidR="00BF190C" w:rsidRDefault="00BF190C" w:rsidP="00931941">
            <w:pPr>
              <w:contextualSpacing/>
              <w:rPr>
                <w:rFonts w:asciiTheme="minorHAnsi" w:eastAsiaTheme="minorHAnsi" w:hAnsiTheme="minorHAnsi" w:cstheme="minorBidi"/>
                <w:bCs/>
                <w:iCs/>
                <w:lang w:val="en-GB"/>
              </w:rPr>
            </w:pPr>
            <w:r w:rsidRPr="00BF190C">
              <w:rPr>
                <w:rFonts w:asciiTheme="minorHAnsi" w:eastAsiaTheme="minorHAnsi" w:hAnsiTheme="minorHAnsi" w:cstheme="minorBidi"/>
                <w:bCs/>
                <w:iCs/>
                <w:lang w:val="en-GB"/>
              </w:rPr>
              <w:t xml:space="preserve">Exposure </w:t>
            </w:r>
            <w:r>
              <w:rPr>
                <w:rFonts w:asciiTheme="minorHAnsi" w:eastAsiaTheme="minorHAnsi" w:hAnsiTheme="minorHAnsi" w:cstheme="minorBidi"/>
                <w:bCs/>
                <w:iCs/>
                <w:lang w:val="en-GB"/>
              </w:rPr>
              <w:t xml:space="preserve">is defined as </w:t>
            </w:r>
            <w:r w:rsidRPr="00BF190C">
              <w:rPr>
                <w:rFonts w:asciiTheme="minorHAnsi" w:eastAsiaTheme="minorHAnsi" w:hAnsiTheme="minorHAnsi" w:cstheme="minorBidi"/>
                <w:bCs/>
                <w:iCs/>
                <w:lang w:val="en-GB"/>
              </w:rPr>
              <w:t xml:space="preserve">the </w:t>
            </w:r>
            <w:r w:rsidRPr="00BF190C">
              <w:rPr>
                <w:rFonts w:asciiTheme="minorHAnsi" w:eastAsiaTheme="minorHAnsi" w:hAnsiTheme="minorHAnsi" w:cstheme="minorBidi"/>
                <w:bCs/>
                <w:iCs/>
                <w:u w:val="single"/>
                <w:lang w:val="en-GB"/>
              </w:rPr>
              <w:t>sum</w:t>
            </w:r>
            <w:r w:rsidRPr="00BF190C">
              <w:rPr>
                <w:rFonts w:asciiTheme="minorHAnsi" w:eastAsiaTheme="minorHAnsi" w:hAnsiTheme="minorHAnsi" w:cstheme="minorBidi"/>
                <w:bCs/>
                <w:iCs/>
                <w:lang w:val="en-GB"/>
              </w:rPr>
              <w:t xml:space="preserve"> of: </w:t>
            </w:r>
          </w:p>
          <w:p w14:paraId="22EE3603" w14:textId="77777777" w:rsidR="00BF190C" w:rsidRDefault="00BF190C" w:rsidP="00AB79BD">
            <w:pPr>
              <w:numPr>
                <w:ilvl w:val="1"/>
                <w:numId w:val="11"/>
              </w:numPr>
              <w:contextualSpacing/>
              <w:rPr>
                <w:rFonts w:asciiTheme="minorHAnsi" w:eastAsiaTheme="minorHAnsi" w:hAnsiTheme="minorHAnsi" w:cstheme="minorBidi"/>
                <w:bCs/>
                <w:iCs/>
                <w:lang w:val="en-GB"/>
              </w:rPr>
            </w:pPr>
            <w:r w:rsidRPr="00BF190C">
              <w:rPr>
                <w:rFonts w:asciiTheme="minorHAnsi" w:eastAsiaTheme="minorHAnsi" w:hAnsiTheme="minorHAnsi" w:cstheme="minorBidi"/>
                <w:bCs/>
                <w:iCs/>
                <w:lang w:val="en-GB"/>
              </w:rPr>
              <w:t xml:space="preserve">Committed facilities (drawn and undrawn)  </w:t>
            </w:r>
          </w:p>
          <w:p w14:paraId="279AD474" w14:textId="77777777" w:rsidR="00BF190C" w:rsidRDefault="00BF190C" w:rsidP="00AB79BD">
            <w:pPr>
              <w:numPr>
                <w:ilvl w:val="1"/>
                <w:numId w:val="11"/>
              </w:numPr>
              <w:contextualSpacing/>
              <w:rPr>
                <w:rFonts w:asciiTheme="minorHAnsi" w:eastAsiaTheme="minorHAnsi" w:hAnsiTheme="minorHAnsi" w:cstheme="minorBidi"/>
                <w:bCs/>
                <w:iCs/>
                <w:lang w:val="en-GB"/>
              </w:rPr>
            </w:pPr>
            <w:r>
              <w:rPr>
                <w:rFonts w:asciiTheme="minorHAnsi" w:eastAsiaTheme="minorHAnsi" w:hAnsiTheme="minorHAnsi" w:cstheme="minorBidi"/>
                <w:bCs/>
                <w:iCs/>
                <w:lang w:val="en-GB"/>
              </w:rPr>
              <w:t>D</w:t>
            </w:r>
            <w:r w:rsidRPr="00BF190C">
              <w:rPr>
                <w:rFonts w:asciiTheme="minorHAnsi" w:eastAsiaTheme="minorHAnsi" w:hAnsiTheme="minorHAnsi" w:cstheme="minorBidi"/>
                <w:bCs/>
                <w:iCs/>
                <w:lang w:val="en-GB"/>
              </w:rPr>
              <w:t>rawn</w:t>
            </w:r>
            <w:r>
              <w:rPr>
                <w:rFonts w:asciiTheme="minorHAnsi" w:eastAsiaTheme="minorHAnsi" w:hAnsiTheme="minorHAnsi" w:cstheme="minorBidi"/>
                <w:bCs/>
                <w:iCs/>
                <w:lang w:val="en-GB"/>
              </w:rPr>
              <w:t xml:space="preserve"> balances</w:t>
            </w:r>
            <w:r w:rsidRPr="00BF190C">
              <w:rPr>
                <w:rFonts w:asciiTheme="minorHAnsi" w:eastAsiaTheme="minorHAnsi" w:hAnsiTheme="minorHAnsi" w:cstheme="minorBidi"/>
                <w:bCs/>
                <w:iCs/>
                <w:lang w:val="en-GB"/>
              </w:rPr>
              <w:t xml:space="preserve"> under uncommitted facilities  </w:t>
            </w:r>
          </w:p>
          <w:p w14:paraId="79D524ED" w14:textId="77777777" w:rsidR="00BF190C" w:rsidRDefault="00BF190C" w:rsidP="00AB79BD">
            <w:pPr>
              <w:numPr>
                <w:ilvl w:val="1"/>
                <w:numId w:val="11"/>
              </w:numPr>
              <w:contextualSpacing/>
              <w:rPr>
                <w:rFonts w:asciiTheme="minorHAnsi" w:eastAsiaTheme="minorHAnsi" w:hAnsiTheme="minorHAnsi" w:cstheme="minorBidi"/>
                <w:bCs/>
                <w:iCs/>
                <w:lang w:val="en-GB"/>
              </w:rPr>
            </w:pPr>
            <w:r>
              <w:rPr>
                <w:rFonts w:asciiTheme="minorHAnsi" w:eastAsiaTheme="minorHAnsi" w:hAnsiTheme="minorHAnsi" w:cstheme="minorBidi"/>
                <w:bCs/>
                <w:iCs/>
                <w:lang w:val="en-GB"/>
              </w:rPr>
              <w:t>O</w:t>
            </w:r>
            <w:r w:rsidRPr="00BF190C">
              <w:rPr>
                <w:rFonts w:asciiTheme="minorHAnsi" w:eastAsiaTheme="minorHAnsi" w:hAnsiTheme="minorHAnsi" w:cstheme="minorBidi"/>
                <w:bCs/>
                <w:iCs/>
                <w:lang w:val="en-GB"/>
              </w:rPr>
              <w:t xml:space="preserve">ff balance sheet items (e.g. Letters of Credit)  </w:t>
            </w:r>
          </w:p>
          <w:p w14:paraId="00F6A08C" w14:textId="77777777" w:rsidR="00BF190C" w:rsidRDefault="00BF190C" w:rsidP="00AB79BD">
            <w:pPr>
              <w:numPr>
                <w:ilvl w:val="1"/>
                <w:numId w:val="11"/>
              </w:numPr>
              <w:contextualSpacing/>
              <w:rPr>
                <w:rFonts w:asciiTheme="minorHAnsi" w:eastAsiaTheme="minorHAnsi" w:hAnsiTheme="minorHAnsi" w:cstheme="minorBidi"/>
                <w:bCs/>
                <w:iCs/>
                <w:lang w:val="en-GB"/>
              </w:rPr>
            </w:pPr>
            <w:r w:rsidRPr="00BF190C">
              <w:rPr>
                <w:rFonts w:asciiTheme="minorHAnsi" w:eastAsiaTheme="minorHAnsi" w:hAnsiTheme="minorHAnsi" w:cstheme="minorBidi"/>
                <w:bCs/>
                <w:iCs/>
                <w:lang w:val="en-GB"/>
              </w:rPr>
              <w:t>PFE</w:t>
            </w:r>
            <w:r w:rsidRPr="00BF190C">
              <w:rPr>
                <w:rFonts w:asciiTheme="minorHAnsi" w:eastAsiaTheme="minorHAnsi" w:hAnsiTheme="minorHAnsi" w:cstheme="minorBidi"/>
                <w:bCs/>
                <w:iCs/>
                <w:vertAlign w:val="superscript"/>
                <w:lang w:val="en-GB"/>
              </w:rPr>
              <w:footnoteReference w:id="4"/>
            </w:r>
            <w:r w:rsidRPr="00BF190C">
              <w:rPr>
                <w:rFonts w:asciiTheme="minorHAnsi" w:eastAsiaTheme="minorHAnsi" w:hAnsiTheme="minorHAnsi" w:cstheme="minorBidi"/>
                <w:bCs/>
                <w:iCs/>
                <w:lang w:val="en-GB"/>
              </w:rPr>
              <w:t xml:space="preserve"> (“REC”) for derivatives. </w:t>
            </w:r>
          </w:p>
          <w:p w14:paraId="1079C57F" w14:textId="77777777" w:rsidR="00883CD9" w:rsidRPr="00BF190C" w:rsidRDefault="00BF190C" w:rsidP="00931941">
            <w:pPr>
              <w:contextualSpacing/>
              <w:rPr>
                <w:rFonts w:asciiTheme="minorHAnsi" w:eastAsiaTheme="minorHAnsi" w:hAnsiTheme="minorHAnsi" w:cstheme="minorBidi"/>
                <w:bCs/>
                <w:iCs/>
                <w:lang w:val="en-GB"/>
              </w:rPr>
            </w:pPr>
            <w:r w:rsidRPr="00BF190C">
              <w:rPr>
                <w:rFonts w:asciiTheme="minorHAnsi" w:eastAsiaTheme="minorHAnsi" w:hAnsiTheme="minorHAnsi" w:cstheme="minorBidi"/>
                <w:bCs/>
                <w:iCs/>
                <w:lang w:val="en-GB"/>
              </w:rPr>
              <w:t>Exposures</w:t>
            </w:r>
            <w:r w:rsidR="00AB7F7D">
              <w:rPr>
                <w:rFonts w:asciiTheme="minorHAnsi" w:eastAsiaTheme="minorHAnsi" w:hAnsiTheme="minorHAnsi" w:cstheme="minorBidi"/>
                <w:bCs/>
                <w:iCs/>
                <w:lang w:val="en-GB"/>
              </w:rPr>
              <w:t>, including those in the Commercial Real Estate book,</w:t>
            </w:r>
            <w:r w:rsidRPr="00BF190C">
              <w:rPr>
                <w:rFonts w:asciiTheme="minorHAnsi" w:eastAsiaTheme="minorHAnsi" w:hAnsiTheme="minorHAnsi" w:cstheme="minorBidi"/>
                <w:bCs/>
                <w:iCs/>
                <w:lang w:val="en-GB"/>
              </w:rPr>
              <w:t xml:space="preserve"> will be calculated at individual counterparty level and aggregated as required to ultimate parent (economic group) level. Exposures to non-recourse project finance will be treated as individual exposures and not aggregated to the sponsor.</w:t>
            </w:r>
          </w:p>
        </w:tc>
      </w:tr>
      <w:tr w:rsidR="005B60EF" w:rsidRPr="00206D41" w14:paraId="2C9F959F" w14:textId="77777777" w:rsidTr="0064647A">
        <w:trPr>
          <w:trHeight w:val="281"/>
        </w:trPr>
        <w:tc>
          <w:tcPr>
            <w:tcW w:w="1728" w:type="dxa"/>
            <w:shd w:val="clear" w:color="auto" w:fill="auto"/>
          </w:tcPr>
          <w:p w14:paraId="7E8248CC" w14:textId="77777777" w:rsidR="005B60EF" w:rsidRPr="00206D41" w:rsidRDefault="005B60EF" w:rsidP="007E122B">
            <w:pPr>
              <w:rPr>
                <w:b/>
                <w:bCs/>
                <w:iCs/>
              </w:rPr>
            </w:pPr>
            <w:r>
              <w:rPr>
                <w:b/>
                <w:bCs/>
                <w:iCs/>
              </w:rPr>
              <w:t>RISK TYPE</w:t>
            </w:r>
          </w:p>
        </w:tc>
        <w:tc>
          <w:tcPr>
            <w:tcW w:w="7470" w:type="dxa"/>
            <w:shd w:val="clear" w:color="auto" w:fill="auto"/>
          </w:tcPr>
          <w:p w14:paraId="672FB780" w14:textId="77777777" w:rsidR="005B60EF" w:rsidRPr="00206D41" w:rsidRDefault="005B60EF" w:rsidP="005B60EF">
            <w:pPr>
              <w:spacing w:after="0" w:line="240" w:lineRule="auto"/>
              <w:rPr>
                <w:bCs/>
                <w:iCs/>
              </w:rPr>
            </w:pPr>
            <w:r>
              <w:rPr>
                <w:bCs/>
                <w:iCs/>
              </w:rPr>
              <w:t>Credit Risk</w:t>
            </w:r>
          </w:p>
        </w:tc>
      </w:tr>
      <w:tr w:rsidR="00EF72BB" w:rsidRPr="00206D41" w14:paraId="4D5835C6" w14:textId="77777777" w:rsidTr="0064647A">
        <w:trPr>
          <w:trHeight w:val="281"/>
        </w:trPr>
        <w:tc>
          <w:tcPr>
            <w:tcW w:w="1728" w:type="dxa"/>
            <w:shd w:val="clear" w:color="auto" w:fill="auto"/>
          </w:tcPr>
          <w:p w14:paraId="013BD2BA" w14:textId="77777777" w:rsidR="00EF72BB" w:rsidRDefault="00EF72BB" w:rsidP="007E122B">
            <w:pPr>
              <w:rPr>
                <w:b/>
                <w:bCs/>
                <w:iCs/>
              </w:rPr>
            </w:pPr>
            <w:r>
              <w:rPr>
                <w:b/>
                <w:bCs/>
                <w:iCs/>
              </w:rPr>
              <w:t>RATIONALE</w:t>
            </w:r>
          </w:p>
        </w:tc>
        <w:tc>
          <w:tcPr>
            <w:tcW w:w="7470" w:type="dxa"/>
            <w:shd w:val="clear" w:color="auto" w:fill="auto"/>
          </w:tcPr>
          <w:p w14:paraId="6F0FD480" w14:textId="77777777" w:rsidR="00EF72BB" w:rsidRDefault="000864B0" w:rsidP="005B60EF">
            <w:pPr>
              <w:spacing w:after="0" w:line="240" w:lineRule="auto"/>
              <w:rPr>
                <w:bCs/>
                <w:iCs/>
              </w:rPr>
            </w:pPr>
            <w:r>
              <w:rPr>
                <w:bCs/>
                <w:iCs/>
              </w:rPr>
              <w:t>Measures SHUSA’s significant exposures to lower credit quality counterparties</w:t>
            </w:r>
          </w:p>
        </w:tc>
      </w:tr>
      <w:tr w:rsidR="00C84838" w:rsidRPr="00206D41" w14:paraId="7CB95BA2" w14:textId="77777777" w:rsidTr="00D675A0">
        <w:trPr>
          <w:trHeight w:val="270"/>
        </w:trPr>
        <w:tc>
          <w:tcPr>
            <w:tcW w:w="1728" w:type="dxa"/>
            <w:shd w:val="clear" w:color="auto" w:fill="auto"/>
          </w:tcPr>
          <w:p w14:paraId="4C13DB4C" w14:textId="77777777" w:rsidR="00C84838" w:rsidRPr="00206D41" w:rsidRDefault="00C84838" w:rsidP="007D434D">
            <w:pPr>
              <w:rPr>
                <w:b/>
                <w:bCs/>
                <w:iCs/>
              </w:rPr>
            </w:pPr>
            <w:r>
              <w:rPr>
                <w:b/>
                <w:bCs/>
                <w:iCs/>
              </w:rPr>
              <w:t>ENTITY</w:t>
            </w:r>
          </w:p>
        </w:tc>
        <w:tc>
          <w:tcPr>
            <w:tcW w:w="7470" w:type="dxa"/>
            <w:shd w:val="clear" w:color="auto" w:fill="auto"/>
          </w:tcPr>
          <w:p w14:paraId="5DE6DD01" w14:textId="539ED579" w:rsidR="00C84838" w:rsidRDefault="00C84838" w:rsidP="00C84838">
            <w:pPr>
              <w:spacing w:after="0" w:line="240" w:lineRule="auto"/>
              <w:rPr>
                <w:bCs/>
                <w:iCs/>
              </w:rPr>
            </w:pPr>
            <w:r>
              <w:rPr>
                <w:b/>
                <w:bCs/>
                <w:iCs/>
              </w:rPr>
              <w:t>S</w:t>
            </w:r>
            <w:r w:rsidRPr="005B60EF">
              <w:rPr>
                <w:b/>
                <w:bCs/>
                <w:iCs/>
              </w:rPr>
              <w:t>BNA</w:t>
            </w:r>
          </w:p>
        </w:tc>
      </w:tr>
      <w:tr w:rsidR="00C84838" w:rsidRPr="00206D41" w14:paraId="15D33EC9" w14:textId="77777777" w:rsidTr="00D675A0">
        <w:trPr>
          <w:trHeight w:val="270"/>
        </w:trPr>
        <w:tc>
          <w:tcPr>
            <w:tcW w:w="1728" w:type="dxa"/>
            <w:shd w:val="clear" w:color="auto" w:fill="auto"/>
          </w:tcPr>
          <w:p w14:paraId="26AC2457" w14:textId="03D2C33D" w:rsidR="00C84838" w:rsidRPr="00206D41" w:rsidRDefault="00511F11" w:rsidP="007D434D">
            <w:pPr>
              <w:rPr>
                <w:b/>
                <w:bCs/>
                <w:iCs/>
              </w:rPr>
            </w:pPr>
            <w:r>
              <w:rPr>
                <w:rFonts w:asciiTheme="minorHAnsi" w:hAnsiTheme="minorHAnsi"/>
                <w:b/>
                <w:bCs/>
                <w:iCs/>
              </w:rPr>
              <w:t>METRIC PROVIDER</w:t>
            </w:r>
          </w:p>
        </w:tc>
        <w:tc>
          <w:tcPr>
            <w:tcW w:w="7470" w:type="dxa"/>
            <w:shd w:val="clear" w:color="auto" w:fill="auto"/>
          </w:tcPr>
          <w:p w14:paraId="39232F1D" w14:textId="3BC10521" w:rsidR="00C84838" w:rsidRDefault="00C84838" w:rsidP="00C84838">
            <w:pPr>
              <w:spacing w:after="0" w:line="240" w:lineRule="auto"/>
              <w:rPr>
                <w:bCs/>
                <w:iCs/>
              </w:rPr>
            </w:pPr>
            <w:r w:rsidRPr="005B60EF">
              <w:rPr>
                <w:b/>
                <w:bCs/>
                <w:iCs/>
              </w:rPr>
              <w:t>S</w:t>
            </w:r>
            <w:r>
              <w:rPr>
                <w:b/>
                <w:bCs/>
                <w:iCs/>
              </w:rPr>
              <w:t xml:space="preserve">BNA Solvency </w:t>
            </w:r>
          </w:p>
        </w:tc>
      </w:tr>
      <w:tr w:rsidR="007D434D" w:rsidRPr="00206D41" w14:paraId="5709EAB7" w14:textId="77777777" w:rsidTr="0064647A">
        <w:trPr>
          <w:trHeight w:val="360"/>
        </w:trPr>
        <w:tc>
          <w:tcPr>
            <w:tcW w:w="1728" w:type="dxa"/>
            <w:shd w:val="clear" w:color="auto" w:fill="auto"/>
          </w:tcPr>
          <w:p w14:paraId="3190C108" w14:textId="77777777" w:rsidR="007D434D" w:rsidRPr="00206D41" w:rsidRDefault="007D434D" w:rsidP="00FC6780">
            <w:pPr>
              <w:rPr>
                <w:b/>
                <w:bCs/>
                <w:iCs/>
              </w:rPr>
            </w:pPr>
            <w:r>
              <w:rPr>
                <w:b/>
                <w:bCs/>
                <w:iCs/>
              </w:rPr>
              <w:t>TRIGGER AND LIMIT SETTING</w:t>
            </w:r>
          </w:p>
        </w:tc>
        <w:tc>
          <w:tcPr>
            <w:tcW w:w="7470" w:type="dxa"/>
            <w:shd w:val="clear" w:color="auto" w:fill="auto"/>
          </w:tcPr>
          <w:p w14:paraId="194A0D0D" w14:textId="42E385CF" w:rsidR="007D434D" w:rsidRDefault="007D548B" w:rsidP="007D434D">
            <w:pPr>
              <w:spacing w:after="0" w:line="240" w:lineRule="auto"/>
              <w:rPr>
                <w:rFonts w:asciiTheme="minorHAnsi" w:eastAsiaTheme="minorHAnsi" w:hAnsiTheme="minorHAnsi" w:cstheme="minorBidi"/>
                <w:iCs/>
              </w:rPr>
            </w:pPr>
            <w:r>
              <w:rPr>
                <w:rFonts w:asciiTheme="minorHAnsi" w:eastAsiaTheme="minorHAnsi" w:hAnsiTheme="minorHAnsi" w:cstheme="minorBidi"/>
                <w:iCs/>
              </w:rPr>
              <w:t xml:space="preserve">Zero tolerance. </w:t>
            </w:r>
          </w:p>
          <w:p w14:paraId="48E36797" w14:textId="77777777" w:rsidR="007D434D" w:rsidRDefault="007D434D" w:rsidP="007D434D">
            <w:pPr>
              <w:spacing w:after="0" w:line="240" w:lineRule="auto"/>
              <w:rPr>
                <w:rFonts w:asciiTheme="minorHAnsi" w:eastAsiaTheme="minorHAnsi" w:hAnsiTheme="minorHAnsi" w:cstheme="minorBidi"/>
                <w:iCs/>
              </w:rPr>
            </w:pPr>
          </w:p>
        </w:tc>
      </w:tr>
      <w:tr w:rsidR="007D434D" w:rsidRPr="00206D41" w14:paraId="4B80C5A9" w14:textId="77777777" w:rsidTr="00EE0CC1">
        <w:trPr>
          <w:trHeight w:val="979"/>
        </w:trPr>
        <w:tc>
          <w:tcPr>
            <w:tcW w:w="1728" w:type="dxa"/>
            <w:shd w:val="clear" w:color="auto" w:fill="auto"/>
          </w:tcPr>
          <w:p w14:paraId="327E46AC" w14:textId="77777777" w:rsidR="007D434D" w:rsidRPr="007D434D" w:rsidRDefault="007D434D" w:rsidP="00FC6780">
            <w:pPr>
              <w:rPr>
                <w:rFonts w:asciiTheme="minorHAnsi" w:hAnsiTheme="minorHAnsi"/>
                <w:b/>
                <w:bCs/>
                <w:iCs/>
              </w:rPr>
            </w:pPr>
            <w:r>
              <w:rPr>
                <w:rFonts w:asciiTheme="minorHAnsi" w:hAnsiTheme="minorHAnsi"/>
                <w:b/>
                <w:bCs/>
                <w:iCs/>
              </w:rPr>
              <w:t>TESTING FREQUENCY</w:t>
            </w:r>
          </w:p>
        </w:tc>
        <w:tc>
          <w:tcPr>
            <w:tcW w:w="7470" w:type="dxa"/>
            <w:shd w:val="clear" w:color="auto" w:fill="auto"/>
          </w:tcPr>
          <w:p w14:paraId="316A064F" w14:textId="77777777" w:rsidR="007D434D" w:rsidRPr="00206D41" w:rsidRDefault="007D434D" w:rsidP="007D434D">
            <w:pPr>
              <w:spacing w:after="0" w:line="240" w:lineRule="auto"/>
              <w:rPr>
                <w:rFonts w:asciiTheme="minorHAnsi" w:eastAsiaTheme="minorHAnsi" w:hAnsiTheme="minorHAnsi" w:cstheme="minorBidi"/>
                <w:iCs/>
              </w:rPr>
            </w:pPr>
            <w:r>
              <w:rPr>
                <w:rFonts w:asciiTheme="minorHAnsi" w:eastAsiaTheme="minorHAnsi" w:hAnsiTheme="minorHAnsi" w:cstheme="minorBidi"/>
                <w:iCs/>
              </w:rPr>
              <w:t>Monthly</w:t>
            </w:r>
          </w:p>
        </w:tc>
      </w:tr>
      <w:tr w:rsidR="007D434D" w:rsidRPr="00206D41" w14:paraId="34FE29D2" w14:textId="77777777" w:rsidTr="0064647A">
        <w:trPr>
          <w:trHeight w:val="525"/>
        </w:trPr>
        <w:tc>
          <w:tcPr>
            <w:tcW w:w="1728" w:type="dxa"/>
            <w:shd w:val="clear" w:color="auto" w:fill="auto"/>
          </w:tcPr>
          <w:p w14:paraId="262BD0BE" w14:textId="77777777" w:rsidR="007D434D" w:rsidRPr="00206D41" w:rsidRDefault="007D434D" w:rsidP="007D434D">
            <w:pPr>
              <w:rPr>
                <w:b/>
                <w:bCs/>
                <w:iCs/>
              </w:rPr>
            </w:pPr>
            <w:r w:rsidRPr="00206D41">
              <w:rPr>
                <w:b/>
                <w:bCs/>
                <w:iCs/>
              </w:rPr>
              <w:t>SOURCE OF INFORMATION</w:t>
            </w:r>
          </w:p>
        </w:tc>
        <w:tc>
          <w:tcPr>
            <w:tcW w:w="7470" w:type="dxa"/>
            <w:shd w:val="clear" w:color="auto" w:fill="auto"/>
          </w:tcPr>
          <w:p w14:paraId="79F3D586" w14:textId="77777777" w:rsidR="007D434D" w:rsidRDefault="007D434D" w:rsidP="007D434D">
            <w:pPr>
              <w:spacing w:after="0" w:line="240" w:lineRule="auto"/>
              <w:rPr>
                <w:bCs/>
                <w:iCs/>
              </w:rPr>
            </w:pPr>
            <w:r>
              <w:rPr>
                <w:bCs/>
                <w:iCs/>
              </w:rPr>
              <w:t xml:space="preserve">The information is obtained from CCMIS.  </w:t>
            </w:r>
          </w:p>
          <w:p w14:paraId="1A5360FB" w14:textId="77777777" w:rsidR="007D434D" w:rsidRPr="00AB7F7D" w:rsidRDefault="007D434D" w:rsidP="007D434D">
            <w:pPr>
              <w:pStyle w:val="ListParagraph"/>
              <w:numPr>
                <w:ilvl w:val="0"/>
                <w:numId w:val="53"/>
              </w:numPr>
              <w:spacing w:after="0" w:line="240" w:lineRule="auto"/>
              <w:rPr>
                <w:bCs/>
                <w:iCs/>
              </w:rPr>
            </w:pPr>
            <w:r w:rsidRPr="00AB7F7D">
              <w:rPr>
                <w:bCs/>
                <w:iCs/>
              </w:rPr>
              <w:t xml:space="preserve">Counterparty is defined as all related customers from the Customer table with a common Master One Obligor Number creating a Master One Obligor grouping.  </w:t>
            </w:r>
          </w:p>
          <w:p w14:paraId="0BBC34DC" w14:textId="77777777" w:rsidR="007D434D" w:rsidRPr="00AB7F7D" w:rsidRDefault="007D434D" w:rsidP="007D434D">
            <w:pPr>
              <w:pStyle w:val="ListParagraph"/>
              <w:numPr>
                <w:ilvl w:val="0"/>
                <w:numId w:val="53"/>
              </w:numPr>
              <w:spacing w:after="0" w:line="240" w:lineRule="auto"/>
              <w:rPr>
                <w:bCs/>
                <w:iCs/>
              </w:rPr>
            </w:pPr>
            <w:r w:rsidRPr="00AB7F7D">
              <w:rPr>
                <w:bCs/>
                <w:iCs/>
              </w:rPr>
              <w:t xml:space="preserve">Exposure is the sum of Binding Exposure for each Customer in the Customer table within the Master One Obligor grouping.   </w:t>
            </w:r>
          </w:p>
          <w:p w14:paraId="4E448DD3" w14:textId="77777777" w:rsidR="007D434D" w:rsidRPr="00AB7F7D" w:rsidRDefault="007D434D" w:rsidP="007D434D">
            <w:pPr>
              <w:pStyle w:val="ListParagraph"/>
              <w:numPr>
                <w:ilvl w:val="0"/>
                <w:numId w:val="53"/>
              </w:numPr>
              <w:spacing w:after="0" w:line="240" w:lineRule="auto"/>
              <w:rPr>
                <w:bCs/>
                <w:iCs/>
              </w:rPr>
            </w:pPr>
            <w:r w:rsidRPr="00AB7F7D">
              <w:rPr>
                <w:bCs/>
                <w:iCs/>
              </w:rPr>
              <w:t xml:space="preserve">Master One Obligor Number is obtained by joining the Customer table to the Customer Additional Fields table using their native keys and joining the Master Customer Number in the Customer Additional Fields table to the Master Customer Number in the Master One Obligor </w:t>
            </w:r>
            <w:proofErr w:type="gramStart"/>
            <w:r w:rsidRPr="00AB7F7D">
              <w:rPr>
                <w:bCs/>
                <w:iCs/>
              </w:rPr>
              <w:t>To</w:t>
            </w:r>
            <w:proofErr w:type="gramEnd"/>
            <w:r w:rsidRPr="00AB7F7D">
              <w:rPr>
                <w:bCs/>
                <w:iCs/>
              </w:rPr>
              <w:t xml:space="preserve"> Master Customer table.</w:t>
            </w:r>
          </w:p>
          <w:p w14:paraId="3701B071" w14:textId="77777777" w:rsidR="007D434D" w:rsidRPr="00AB7F7D" w:rsidRDefault="007D434D" w:rsidP="007D434D">
            <w:pPr>
              <w:pStyle w:val="ListParagraph"/>
              <w:numPr>
                <w:ilvl w:val="0"/>
                <w:numId w:val="53"/>
              </w:numPr>
              <w:spacing w:after="0" w:line="240" w:lineRule="auto"/>
              <w:rPr>
                <w:bCs/>
                <w:iCs/>
              </w:rPr>
            </w:pPr>
            <w:r w:rsidRPr="00AB7F7D">
              <w:rPr>
                <w:bCs/>
                <w:iCs/>
              </w:rPr>
              <w:t>Internal Risk Rating is the weighted average SRR of the Master One Obligor grouping.  This is obtained by multiplying the SRR of each Master Customer in the Master Customer table by the sum of Binding Exposure from the Customer table for that Master Customer.  The SRR is related to the Binding Exposure by joining the Customer table to the Customer Additional Fields table using their native keys and joining the Master Customer Number in the Customer Additional Fields table to the Master Customer Number in the Master Customer table.</w:t>
            </w:r>
          </w:p>
          <w:p w14:paraId="56DAC241" w14:textId="77777777" w:rsidR="007D434D" w:rsidRPr="00AB7F7D" w:rsidRDefault="007D434D" w:rsidP="007D434D">
            <w:pPr>
              <w:pStyle w:val="ListParagraph"/>
              <w:numPr>
                <w:ilvl w:val="0"/>
                <w:numId w:val="53"/>
              </w:numPr>
              <w:spacing w:after="0" w:line="240" w:lineRule="auto"/>
              <w:rPr>
                <w:bCs/>
                <w:iCs/>
              </w:rPr>
            </w:pPr>
            <w:r w:rsidRPr="00AB7F7D">
              <w:rPr>
                <w:bCs/>
                <w:iCs/>
              </w:rPr>
              <w:t xml:space="preserve">This value is then aggregated to the Master One Obligor level by summing by Master One Obligor Number which can be obtained as previously described.  </w:t>
            </w:r>
          </w:p>
          <w:p w14:paraId="215B2456" w14:textId="77777777" w:rsidR="007D434D" w:rsidRPr="00AB7F7D" w:rsidRDefault="007D434D" w:rsidP="007D434D">
            <w:pPr>
              <w:pStyle w:val="ListParagraph"/>
              <w:numPr>
                <w:ilvl w:val="0"/>
                <w:numId w:val="53"/>
              </w:numPr>
              <w:spacing w:after="0" w:line="240" w:lineRule="auto"/>
              <w:rPr>
                <w:bCs/>
                <w:iCs/>
              </w:rPr>
            </w:pPr>
            <w:r w:rsidRPr="00AB7F7D">
              <w:rPr>
                <w:bCs/>
                <w:iCs/>
              </w:rPr>
              <w:t>This aggregate value is then divided by the aggregate Binding Exposure of the Master One Obligor as previously defined</w:t>
            </w:r>
          </w:p>
          <w:p w14:paraId="4E873B63" w14:textId="2A0AA6B2" w:rsidR="007D434D" w:rsidRPr="00C84838" w:rsidRDefault="007D434D" w:rsidP="00C84838">
            <w:pPr>
              <w:pStyle w:val="ListParagraph"/>
              <w:numPr>
                <w:ilvl w:val="0"/>
                <w:numId w:val="53"/>
              </w:numPr>
              <w:spacing w:after="0" w:line="240" w:lineRule="auto"/>
              <w:rPr>
                <w:bCs/>
                <w:iCs/>
              </w:rPr>
            </w:pPr>
            <w:r w:rsidRPr="0095495D">
              <w:rPr>
                <w:bCs/>
                <w:iCs/>
              </w:rPr>
              <w:t xml:space="preserve">Note, PFE is not currently included as the calibration of limits did </w:t>
            </w:r>
            <w:r>
              <w:rPr>
                <w:bCs/>
                <w:iCs/>
              </w:rPr>
              <w:t>not take PFE into consideration</w:t>
            </w:r>
          </w:p>
        </w:tc>
      </w:tr>
    </w:tbl>
    <w:p w14:paraId="2754F8C6" w14:textId="77777777" w:rsidR="009D2336" w:rsidRDefault="009D2336" w:rsidP="00B52E32"/>
    <w:p w14:paraId="57D0D36E" w14:textId="77777777" w:rsidR="00883CD9" w:rsidRPr="002E67A0" w:rsidRDefault="00784F28" w:rsidP="00FD1AD4">
      <w:pPr>
        <w:pStyle w:val="SANUS2"/>
        <w:numPr>
          <w:ilvl w:val="1"/>
          <w:numId w:val="1"/>
        </w:numPr>
        <w:tabs>
          <w:tab w:val="num" w:pos="540"/>
        </w:tabs>
        <w:ind w:left="567" w:hanging="567"/>
        <w:rPr>
          <w:color w:val="000000" w:themeColor="text1"/>
        </w:rPr>
      </w:pPr>
      <w:bookmarkStart w:id="91" w:name="_Toc452544124"/>
      <w:bookmarkStart w:id="92" w:name="_Toc453849288"/>
      <w:r>
        <w:rPr>
          <w:color w:val="000000" w:themeColor="text1"/>
        </w:rPr>
        <w:t>Industry exposure (by OCC group)</w:t>
      </w:r>
      <w:bookmarkEnd w:id="91"/>
      <w:bookmarkEnd w:id="92"/>
    </w:p>
    <w:tbl>
      <w:tblPr>
        <w:tblpPr w:leftFromText="180" w:rightFromText="180" w:vertAnchor="text" w:tblpX="168" w:tblpY="1"/>
        <w:tblOverlap w:val="never"/>
        <w:tblW w:w="9198"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000" w:firstRow="0" w:lastRow="0" w:firstColumn="0" w:lastColumn="0" w:noHBand="0" w:noVBand="0"/>
      </w:tblPr>
      <w:tblGrid>
        <w:gridCol w:w="1728"/>
        <w:gridCol w:w="7470"/>
      </w:tblGrid>
      <w:tr w:rsidR="00883CD9" w:rsidRPr="00206D41" w14:paraId="0B3E0A3D" w14:textId="77777777" w:rsidTr="0064647A">
        <w:trPr>
          <w:trHeight w:val="352"/>
        </w:trPr>
        <w:tc>
          <w:tcPr>
            <w:tcW w:w="1728" w:type="dxa"/>
            <w:shd w:val="clear" w:color="auto" w:fill="auto"/>
          </w:tcPr>
          <w:p w14:paraId="014C0220" w14:textId="77777777" w:rsidR="00883CD9" w:rsidRPr="00206D41" w:rsidRDefault="005B52F3" w:rsidP="00DF2C0A">
            <w:pPr>
              <w:rPr>
                <w:b/>
                <w:bCs/>
                <w:iCs/>
              </w:rPr>
            </w:pPr>
            <w:r>
              <w:rPr>
                <w:b/>
                <w:bCs/>
                <w:iCs/>
              </w:rPr>
              <w:t xml:space="preserve">DEFINITION </w:t>
            </w:r>
          </w:p>
        </w:tc>
        <w:tc>
          <w:tcPr>
            <w:tcW w:w="7470" w:type="dxa"/>
            <w:shd w:val="clear" w:color="auto" w:fill="auto"/>
          </w:tcPr>
          <w:p w14:paraId="5BFA2CF6" w14:textId="77777777" w:rsidR="00931941" w:rsidRPr="00BF190C" w:rsidRDefault="00004C8B" w:rsidP="00931941">
            <w:pPr>
              <w:spacing w:after="0" w:line="240" w:lineRule="auto"/>
              <w:rPr>
                <w:rFonts w:asciiTheme="minorHAnsi" w:eastAsiaTheme="minorHAnsi" w:hAnsiTheme="minorHAnsi" w:cstheme="minorBidi"/>
                <w:bCs/>
                <w:iCs/>
                <w:lang w:val="en-GB"/>
              </w:rPr>
            </w:pPr>
            <w:r>
              <w:rPr>
                <w:bCs/>
                <w:iCs/>
              </w:rPr>
              <w:t>The total</w:t>
            </w:r>
            <w:r w:rsidR="00DF2C0A">
              <w:rPr>
                <w:bCs/>
                <w:iCs/>
              </w:rPr>
              <w:t xml:space="preserve"> dollar value</w:t>
            </w:r>
            <w:r>
              <w:rPr>
                <w:bCs/>
                <w:iCs/>
              </w:rPr>
              <w:t xml:space="preserve"> </w:t>
            </w:r>
            <w:r w:rsidR="005B52F3">
              <w:rPr>
                <w:bCs/>
                <w:iCs/>
              </w:rPr>
              <w:t xml:space="preserve">exposure for all counterparties within one industry type, according to </w:t>
            </w:r>
            <w:r>
              <w:rPr>
                <w:bCs/>
                <w:iCs/>
              </w:rPr>
              <w:t>the OCC industry classification</w:t>
            </w:r>
            <w:r w:rsidR="00931941">
              <w:rPr>
                <w:bCs/>
                <w:iCs/>
              </w:rPr>
              <w:t xml:space="preserve">. </w:t>
            </w:r>
            <w:r w:rsidR="00931941" w:rsidRPr="00BF190C">
              <w:rPr>
                <w:rFonts w:asciiTheme="minorHAnsi" w:eastAsiaTheme="minorHAnsi" w:hAnsiTheme="minorHAnsi" w:cstheme="minorBidi"/>
                <w:bCs/>
                <w:iCs/>
                <w:lang w:val="en-GB"/>
              </w:rPr>
              <w:t>Sectors / Industries are defined at the highest aggregation level for OCC industry codes</w:t>
            </w:r>
            <w:r w:rsidR="002120A0">
              <w:rPr>
                <w:rStyle w:val="FootnoteReference"/>
                <w:rFonts w:asciiTheme="minorHAnsi" w:eastAsiaTheme="minorHAnsi" w:hAnsiTheme="minorHAnsi" w:cstheme="minorBidi"/>
                <w:bCs/>
                <w:iCs/>
                <w:lang w:val="en-GB"/>
              </w:rPr>
              <w:footnoteReference w:id="5"/>
            </w:r>
            <w:r w:rsidR="00931941" w:rsidRPr="00BF190C">
              <w:rPr>
                <w:rFonts w:asciiTheme="minorHAnsi" w:eastAsiaTheme="minorHAnsi" w:hAnsiTheme="minorHAnsi" w:cstheme="minorBidi"/>
                <w:bCs/>
                <w:iCs/>
                <w:lang w:val="en-GB"/>
              </w:rPr>
              <w:t xml:space="preserve">. </w:t>
            </w:r>
          </w:p>
          <w:p w14:paraId="279BC112" w14:textId="77777777" w:rsidR="00BF190C" w:rsidRDefault="00BF190C" w:rsidP="00931941">
            <w:pPr>
              <w:spacing w:after="0" w:line="240" w:lineRule="auto"/>
              <w:rPr>
                <w:bCs/>
                <w:iCs/>
                <w:lang w:val="en-GB"/>
              </w:rPr>
            </w:pPr>
          </w:p>
          <w:p w14:paraId="1D4A9D78" w14:textId="77777777" w:rsidR="00931941" w:rsidRDefault="00931941" w:rsidP="00931941">
            <w:pPr>
              <w:contextualSpacing/>
              <w:rPr>
                <w:rFonts w:asciiTheme="minorHAnsi" w:eastAsiaTheme="minorHAnsi" w:hAnsiTheme="minorHAnsi" w:cstheme="minorBidi"/>
                <w:bCs/>
                <w:iCs/>
                <w:lang w:val="en-GB"/>
              </w:rPr>
            </w:pPr>
            <w:r w:rsidRPr="00BF190C">
              <w:rPr>
                <w:rFonts w:asciiTheme="minorHAnsi" w:eastAsiaTheme="minorHAnsi" w:hAnsiTheme="minorHAnsi" w:cstheme="minorBidi"/>
                <w:bCs/>
                <w:iCs/>
                <w:lang w:val="en-GB"/>
              </w:rPr>
              <w:t xml:space="preserve">Exposure </w:t>
            </w:r>
            <w:r>
              <w:rPr>
                <w:rFonts w:asciiTheme="minorHAnsi" w:eastAsiaTheme="minorHAnsi" w:hAnsiTheme="minorHAnsi" w:cstheme="minorBidi"/>
                <w:bCs/>
                <w:iCs/>
                <w:lang w:val="en-GB"/>
              </w:rPr>
              <w:t xml:space="preserve">is defined as </w:t>
            </w:r>
            <w:r w:rsidRPr="00BF190C">
              <w:rPr>
                <w:rFonts w:asciiTheme="minorHAnsi" w:eastAsiaTheme="minorHAnsi" w:hAnsiTheme="minorHAnsi" w:cstheme="minorBidi"/>
                <w:bCs/>
                <w:iCs/>
                <w:lang w:val="en-GB"/>
              </w:rPr>
              <w:t xml:space="preserve">the </w:t>
            </w:r>
            <w:r w:rsidRPr="00BF190C">
              <w:rPr>
                <w:rFonts w:asciiTheme="minorHAnsi" w:eastAsiaTheme="minorHAnsi" w:hAnsiTheme="minorHAnsi" w:cstheme="minorBidi"/>
                <w:bCs/>
                <w:iCs/>
                <w:u w:val="single"/>
                <w:lang w:val="en-GB"/>
              </w:rPr>
              <w:t>sum</w:t>
            </w:r>
            <w:r w:rsidRPr="00BF190C">
              <w:rPr>
                <w:rFonts w:asciiTheme="minorHAnsi" w:eastAsiaTheme="minorHAnsi" w:hAnsiTheme="minorHAnsi" w:cstheme="minorBidi"/>
                <w:bCs/>
                <w:iCs/>
                <w:lang w:val="en-GB"/>
              </w:rPr>
              <w:t xml:space="preserve"> of: </w:t>
            </w:r>
          </w:p>
          <w:p w14:paraId="5287B479" w14:textId="77777777" w:rsidR="00931941" w:rsidRDefault="00931941" w:rsidP="00AB79BD">
            <w:pPr>
              <w:numPr>
                <w:ilvl w:val="1"/>
                <w:numId w:val="11"/>
              </w:numPr>
              <w:contextualSpacing/>
              <w:rPr>
                <w:rFonts w:asciiTheme="minorHAnsi" w:eastAsiaTheme="minorHAnsi" w:hAnsiTheme="minorHAnsi" w:cstheme="minorBidi"/>
                <w:bCs/>
                <w:iCs/>
                <w:lang w:val="en-GB"/>
              </w:rPr>
            </w:pPr>
            <w:r w:rsidRPr="00BF190C">
              <w:rPr>
                <w:rFonts w:asciiTheme="minorHAnsi" w:eastAsiaTheme="minorHAnsi" w:hAnsiTheme="minorHAnsi" w:cstheme="minorBidi"/>
                <w:bCs/>
                <w:iCs/>
                <w:lang w:val="en-GB"/>
              </w:rPr>
              <w:t xml:space="preserve">Committed facilities (drawn and undrawn)  </w:t>
            </w:r>
          </w:p>
          <w:p w14:paraId="3B23626B" w14:textId="77777777" w:rsidR="00931941" w:rsidRDefault="00931941" w:rsidP="00AB79BD">
            <w:pPr>
              <w:numPr>
                <w:ilvl w:val="1"/>
                <w:numId w:val="11"/>
              </w:numPr>
              <w:contextualSpacing/>
              <w:rPr>
                <w:rFonts w:asciiTheme="minorHAnsi" w:eastAsiaTheme="minorHAnsi" w:hAnsiTheme="minorHAnsi" w:cstheme="minorBidi"/>
                <w:bCs/>
                <w:iCs/>
                <w:lang w:val="en-GB"/>
              </w:rPr>
            </w:pPr>
            <w:r>
              <w:rPr>
                <w:rFonts w:asciiTheme="minorHAnsi" w:eastAsiaTheme="minorHAnsi" w:hAnsiTheme="minorHAnsi" w:cstheme="minorBidi"/>
                <w:bCs/>
                <w:iCs/>
                <w:lang w:val="en-GB"/>
              </w:rPr>
              <w:t>D</w:t>
            </w:r>
            <w:r w:rsidRPr="00BF190C">
              <w:rPr>
                <w:rFonts w:asciiTheme="minorHAnsi" w:eastAsiaTheme="minorHAnsi" w:hAnsiTheme="minorHAnsi" w:cstheme="minorBidi"/>
                <w:bCs/>
                <w:iCs/>
                <w:lang w:val="en-GB"/>
              </w:rPr>
              <w:t>rawn</w:t>
            </w:r>
            <w:r>
              <w:rPr>
                <w:rFonts w:asciiTheme="minorHAnsi" w:eastAsiaTheme="minorHAnsi" w:hAnsiTheme="minorHAnsi" w:cstheme="minorBidi"/>
                <w:bCs/>
                <w:iCs/>
                <w:lang w:val="en-GB"/>
              </w:rPr>
              <w:t xml:space="preserve"> balances</w:t>
            </w:r>
            <w:r w:rsidRPr="00BF190C">
              <w:rPr>
                <w:rFonts w:asciiTheme="minorHAnsi" w:eastAsiaTheme="minorHAnsi" w:hAnsiTheme="minorHAnsi" w:cstheme="minorBidi"/>
                <w:bCs/>
                <w:iCs/>
                <w:lang w:val="en-GB"/>
              </w:rPr>
              <w:t xml:space="preserve"> under uncommitted facilities  </w:t>
            </w:r>
          </w:p>
          <w:p w14:paraId="57838241" w14:textId="77777777" w:rsidR="00931941" w:rsidRDefault="00931941" w:rsidP="00AB79BD">
            <w:pPr>
              <w:numPr>
                <w:ilvl w:val="1"/>
                <w:numId w:val="11"/>
              </w:numPr>
              <w:contextualSpacing/>
              <w:rPr>
                <w:rFonts w:asciiTheme="minorHAnsi" w:eastAsiaTheme="minorHAnsi" w:hAnsiTheme="minorHAnsi" w:cstheme="minorBidi"/>
                <w:bCs/>
                <w:iCs/>
                <w:lang w:val="en-GB"/>
              </w:rPr>
            </w:pPr>
            <w:r>
              <w:rPr>
                <w:rFonts w:asciiTheme="minorHAnsi" w:eastAsiaTheme="minorHAnsi" w:hAnsiTheme="minorHAnsi" w:cstheme="minorBidi"/>
                <w:bCs/>
                <w:iCs/>
                <w:lang w:val="en-GB"/>
              </w:rPr>
              <w:t>O</w:t>
            </w:r>
            <w:r w:rsidRPr="00BF190C">
              <w:rPr>
                <w:rFonts w:asciiTheme="minorHAnsi" w:eastAsiaTheme="minorHAnsi" w:hAnsiTheme="minorHAnsi" w:cstheme="minorBidi"/>
                <w:bCs/>
                <w:iCs/>
                <w:lang w:val="en-GB"/>
              </w:rPr>
              <w:t xml:space="preserve">ff balance sheet items (e.g. Letters of Credit)  </w:t>
            </w:r>
          </w:p>
          <w:p w14:paraId="6B28DA37" w14:textId="77777777" w:rsidR="00931941" w:rsidRDefault="00931941" w:rsidP="00AB79BD">
            <w:pPr>
              <w:numPr>
                <w:ilvl w:val="1"/>
                <w:numId w:val="11"/>
              </w:numPr>
              <w:contextualSpacing/>
              <w:rPr>
                <w:rFonts w:asciiTheme="minorHAnsi" w:eastAsiaTheme="minorHAnsi" w:hAnsiTheme="minorHAnsi" w:cstheme="minorBidi"/>
                <w:bCs/>
                <w:iCs/>
                <w:lang w:val="en-GB"/>
              </w:rPr>
            </w:pPr>
            <w:r w:rsidRPr="00BF190C">
              <w:rPr>
                <w:rFonts w:asciiTheme="minorHAnsi" w:eastAsiaTheme="minorHAnsi" w:hAnsiTheme="minorHAnsi" w:cstheme="minorBidi"/>
                <w:bCs/>
                <w:iCs/>
                <w:lang w:val="en-GB"/>
              </w:rPr>
              <w:t>PFE</w:t>
            </w:r>
            <w:r w:rsidRPr="00BF190C">
              <w:rPr>
                <w:rFonts w:asciiTheme="minorHAnsi" w:eastAsiaTheme="minorHAnsi" w:hAnsiTheme="minorHAnsi" w:cstheme="minorBidi"/>
                <w:bCs/>
                <w:iCs/>
                <w:vertAlign w:val="superscript"/>
                <w:lang w:val="en-GB"/>
              </w:rPr>
              <w:footnoteReference w:id="6"/>
            </w:r>
            <w:r w:rsidRPr="00BF190C">
              <w:rPr>
                <w:rFonts w:asciiTheme="minorHAnsi" w:eastAsiaTheme="minorHAnsi" w:hAnsiTheme="minorHAnsi" w:cstheme="minorBidi"/>
                <w:bCs/>
                <w:iCs/>
                <w:lang w:val="en-GB"/>
              </w:rPr>
              <w:t xml:space="preserve"> (“REC”) for derivatives. </w:t>
            </w:r>
          </w:p>
          <w:p w14:paraId="194871AF" w14:textId="77777777" w:rsidR="00931941" w:rsidRPr="00BF190C" w:rsidRDefault="00931941" w:rsidP="00931941">
            <w:pPr>
              <w:spacing w:after="0" w:line="240" w:lineRule="auto"/>
              <w:rPr>
                <w:bCs/>
                <w:iCs/>
                <w:lang w:val="en-GB"/>
              </w:rPr>
            </w:pPr>
            <w:r w:rsidRPr="00BF190C">
              <w:rPr>
                <w:rFonts w:asciiTheme="minorHAnsi" w:eastAsiaTheme="minorHAnsi" w:hAnsiTheme="minorHAnsi" w:cstheme="minorBidi"/>
                <w:bCs/>
                <w:iCs/>
                <w:lang w:val="en-GB"/>
              </w:rPr>
              <w:t>Exposures will be calculated at individual counterparty level and aggregated as required to ultimate parent (economic group) level. Exposures to non-recourse project finance will be treated as individual exposures and not aggregated to the sponsor.</w:t>
            </w:r>
          </w:p>
        </w:tc>
      </w:tr>
      <w:tr w:rsidR="005B52F3" w:rsidRPr="00206D41" w14:paraId="76D7F1A6" w14:textId="77777777" w:rsidTr="0064647A">
        <w:trPr>
          <w:trHeight w:val="433"/>
        </w:trPr>
        <w:tc>
          <w:tcPr>
            <w:tcW w:w="1728" w:type="dxa"/>
            <w:shd w:val="clear" w:color="auto" w:fill="auto"/>
          </w:tcPr>
          <w:p w14:paraId="661B7A75" w14:textId="77777777" w:rsidR="005B52F3" w:rsidRPr="00206D41" w:rsidRDefault="005B52F3" w:rsidP="00DF2C0A">
            <w:pPr>
              <w:rPr>
                <w:b/>
                <w:bCs/>
                <w:iCs/>
              </w:rPr>
            </w:pPr>
            <w:r>
              <w:rPr>
                <w:b/>
                <w:bCs/>
                <w:iCs/>
              </w:rPr>
              <w:t>RISK TYPE</w:t>
            </w:r>
          </w:p>
        </w:tc>
        <w:tc>
          <w:tcPr>
            <w:tcW w:w="7470" w:type="dxa"/>
            <w:shd w:val="clear" w:color="auto" w:fill="auto"/>
          </w:tcPr>
          <w:p w14:paraId="4735D277" w14:textId="77777777" w:rsidR="005B52F3" w:rsidRPr="00206D41" w:rsidRDefault="005B52F3" w:rsidP="00DF2C0A">
            <w:pPr>
              <w:spacing w:after="0" w:line="240" w:lineRule="auto"/>
              <w:rPr>
                <w:bCs/>
                <w:iCs/>
              </w:rPr>
            </w:pPr>
            <w:r>
              <w:rPr>
                <w:bCs/>
                <w:iCs/>
              </w:rPr>
              <w:t>Credit Risk</w:t>
            </w:r>
          </w:p>
        </w:tc>
      </w:tr>
      <w:tr w:rsidR="00A57A2A" w:rsidRPr="00206D41" w14:paraId="3E5104C0" w14:textId="77777777" w:rsidTr="0064647A">
        <w:trPr>
          <w:trHeight w:val="433"/>
        </w:trPr>
        <w:tc>
          <w:tcPr>
            <w:tcW w:w="1728" w:type="dxa"/>
            <w:shd w:val="clear" w:color="auto" w:fill="auto"/>
          </w:tcPr>
          <w:p w14:paraId="555E6603" w14:textId="77777777" w:rsidR="00A57A2A" w:rsidRDefault="00A57A2A" w:rsidP="00DF2C0A">
            <w:pPr>
              <w:rPr>
                <w:b/>
                <w:bCs/>
                <w:iCs/>
              </w:rPr>
            </w:pPr>
            <w:r>
              <w:rPr>
                <w:b/>
                <w:bCs/>
                <w:iCs/>
              </w:rPr>
              <w:t>RATIONALE</w:t>
            </w:r>
          </w:p>
        </w:tc>
        <w:tc>
          <w:tcPr>
            <w:tcW w:w="7470" w:type="dxa"/>
            <w:shd w:val="clear" w:color="auto" w:fill="auto"/>
          </w:tcPr>
          <w:p w14:paraId="217C72E8" w14:textId="77777777" w:rsidR="00A57A2A" w:rsidRDefault="000864B0" w:rsidP="000864B0">
            <w:pPr>
              <w:spacing w:after="0" w:line="240" w:lineRule="auto"/>
              <w:rPr>
                <w:bCs/>
                <w:iCs/>
              </w:rPr>
            </w:pPr>
            <w:r w:rsidRPr="000864B0">
              <w:rPr>
                <w:bCs/>
                <w:iCs/>
              </w:rPr>
              <w:t>Limits on industry size ensure that the credit portfolio is adequately diversified</w:t>
            </w:r>
          </w:p>
        </w:tc>
      </w:tr>
      <w:tr w:rsidR="00827E81" w:rsidRPr="00206D41" w14:paraId="3A6F7B11" w14:textId="77777777" w:rsidTr="00564499">
        <w:trPr>
          <w:trHeight w:val="20"/>
        </w:trPr>
        <w:tc>
          <w:tcPr>
            <w:tcW w:w="1728" w:type="dxa"/>
            <w:shd w:val="clear" w:color="auto" w:fill="auto"/>
          </w:tcPr>
          <w:p w14:paraId="453004C1" w14:textId="77777777" w:rsidR="00827E81" w:rsidRPr="00206D41" w:rsidRDefault="00827E81" w:rsidP="007D434D">
            <w:pPr>
              <w:rPr>
                <w:b/>
                <w:bCs/>
                <w:iCs/>
              </w:rPr>
            </w:pPr>
            <w:r>
              <w:rPr>
                <w:b/>
                <w:bCs/>
                <w:iCs/>
              </w:rPr>
              <w:t>ENTITY</w:t>
            </w:r>
          </w:p>
        </w:tc>
        <w:tc>
          <w:tcPr>
            <w:tcW w:w="7470" w:type="dxa"/>
            <w:shd w:val="clear" w:color="auto" w:fill="auto"/>
          </w:tcPr>
          <w:p w14:paraId="24030A9F" w14:textId="53238BE4" w:rsidR="00827E81" w:rsidRPr="005B60EF" w:rsidRDefault="00827E81" w:rsidP="007D434D">
            <w:pPr>
              <w:spacing w:after="0" w:line="240" w:lineRule="auto"/>
              <w:rPr>
                <w:b/>
                <w:bCs/>
                <w:iCs/>
              </w:rPr>
            </w:pPr>
            <w:r w:rsidRPr="005B60EF">
              <w:rPr>
                <w:b/>
                <w:bCs/>
                <w:iCs/>
              </w:rPr>
              <w:t>SBNA</w:t>
            </w:r>
          </w:p>
          <w:p w14:paraId="6BDA8D66" w14:textId="6E36AE81" w:rsidR="00827E81" w:rsidRDefault="00827E81" w:rsidP="007D434D">
            <w:pPr>
              <w:spacing w:after="0" w:line="240" w:lineRule="auto"/>
              <w:rPr>
                <w:bCs/>
                <w:iCs/>
              </w:rPr>
            </w:pPr>
          </w:p>
        </w:tc>
      </w:tr>
      <w:tr w:rsidR="00827E81" w:rsidRPr="00206D41" w14:paraId="22CEC9CB" w14:textId="77777777" w:rsidTr="00564499">
        <w:trPr>
          <w:trHeight w:val="270"/>
        </w:trPr>
        <w:tc>
          <w:tcPr>
            <w:tcW w:w="1728" w:type="dxa"/>
            <w:shd w:val="clear" w:color="auto" w:fill="auto"/>
          </w:tcPr>
          <w:p w14:paraId="5F7494C5" w14:textId="2A84C543" w:rsidR="00827E81" w:rsidRPr="00206D41" w:rsidRDefault="00511F11" w:rsidP="007D434D">
            <w:pPr>
              <w:rPr>
                <w:b/>
                <w:bCs/>
                <w:iCs/>
              </w:rPr>
            </w:pPr>
            <w:r>
              <w:rPr>
                <w:rFonts w:asciiTheme="minorHAnsi" w:hAnsiTheme="minorHAnsi"/>
                <w:b/>
                <w:bCs/>
                <w:iCs/>
              </w:rPr>
              <w:t>METRIC PROVIDER</w:t>
            </w:r>
          </w:p>
        </w:tc>
        <w:tc>
          <w:tcPr>
            <w:tcW w:w="7470" w:type="dxa"/>
            <w:shd w:val="clear" w:color="auto" w:fill="auto"/>
          </w:tcPr>
          <w:p w14:paraId="0E2E5710" w14:textId="7D3D1D05" w:rsidR="00827E81" w:rsidRPr="00206D41" w:rsidRDefault="00827E81" w:rsidP="007D434D">
            <w:pPr>
              <w:spacing w:after="0" w:line="240" w:lineRule="auto"/>
              <w:rPr>
                <w:bCs/>
                <w:iCs/>
              </w:rPr>
            </w:pPr>
            <w:r>
              <w:rPr>
                <w:b/>
                <w:bCs/>
                <w:iCs/>
              </w:rPr>
              <w:t xml:space="preserve">SBNA Solvency </w:t>
            </w:r>
          </w:p>
        </w:tc>
      </w:tr>
      <w:tr w:rsidR="007D434D" w:rsidRPr="00206D41" w14:paraId="42F785B5" w14:textId="77777777" w:rsidTr="0064647A">
        <w:trPr>
          <w:trHeight w:val="360"/>
        </w:trPr>
        <w:tc>
          <w:tcPr>
            <w:tcW w:w="1728" w:type="dxa"/>
            <w:shd w:val="clear" w:color="auto" w:fill="auto"/>
          </w:tcPr>
          <w:p w14:paraId="23342FCE" w14:textId="77777777" w:rsidR="007D434D" w:rsidRPr="00206D41" w:rsidRDefault="007D434D" w:rsidP="00FC6780">
            <w:pPr>
              <w:rPr>
                <w:b/>
                <w:bCs/>
                <w:iCs/>
              </w:rPr>
            </w:pPr>
            <w:r>
              <w:rPr>
                <w:b/>
                <w:bCs/>
                <w:iCs/>
              </w:rPr>
              <w:t>TRIGGER AND LIMIT SETTING</w:t>
            </w:r>
          </w:p>
        </w:tc>
        <w:tc>
          <w:tcPr>
            <w:tcW w:w="7470" w:type="dxa"/>
            <w:shd w:val="clear" w:color="auto" w:fill="auto"/>
          </w:tcPr>
          <w:p w14:paraId="3D0E43F4" w14:textId="64728AE0" w:rsidR="007D434D" w:rsidRDefault="007D548B" w:rsidP="007D434D">
            <w:pPr>
              <w:spacing w:after="0" w:line="240" w:lineRule="auto"/>
              <w:rPr>
                <w:rFonts w:asciiTheme="minorHAnsi" w:eastAsiaTheme="minorHAnsi" w:hAnsiTheme="minorHAnsi" w:cstheme="minorBidi"/>
                <w:iCs/>
              </w:rPr>
            </w:pPr>
            <w:r>
              <w:rPr>
                <w:rFonts w:asciiTheme="minorHAnsi" w:eastAsiaTheme="minorHAnsi" w:hAnsiTheme="minorHAnsi" w:cstheme="minorBidi"/>
                <w:iCs/>
              </w:rPr>
              <w:t xml:space="preserve">The amber trigger is anchored as a percentage of CET1+ACL with adjustment; red limit is adjusted up from amber trigger per management discretion. </w:t>
            </w:r>
          </w:p>
          <w:p w14:paraId="6751AA1A" w14:textId="77777777" w:rsidR="007D434D" w:rsidRDefault="007D434D" w:rsidP="007D434D">
            <w:pPr>
              <w:spacing w:after="0" w:line="240" w:lineRule="auto"/>
              <w:rPr>
                <w:rFonts w:asciiTheme="minorHAnsi" w:eastAsiaTheme="minorHAnsi" w:hAnsiTheme="minorHAnsi" w:cstheme="minorBidi"/>
                <w:iCs/>
              </w:rPr>
            </w:pPr>
          </w:p>
        </w:tc>
      </w:tr>
      <w:tr w:rsidR="007D434D" w:rsidRPr="00206D41" w14:paraId="3FC545FD" w14:textId="77777777" w:rsidTr="0064647A">
        <w:trPr>
          <w:trHeight w:val="360"/>
        </w:trPr>
        <w:tc>
          <w:tcPr>
            <w:tcW w:w="1728" w:type="dxa"/>
            <w:shd w:val="clear" w:color="auto" w:fill="auto"/>
          </w:tcPr>
          <w:p w14:paraId="2CD13790" w14:textId="77777777" w:rsidR="007D434D" w:rsidRPr="00206D41" w:rsidRDefault="007D434D" w:rsidP="00FC6780">
            <w:pPr>
              <w:rPr>
                <w:b/>
                <w:bCs/>
                <w:iCs/>
              </w:rPr>
            </w:pPr>
            <w:r w:rsidRPr="00931941">
              <w:rPr>
                <w:b/>
                <w:bCs/>
                <w:iCs/>
              </w:rPr>
              <w:t>TESTING FREQUENCY</w:t>
            </w:r>
          </w:p>
        </w:tc>
        <w:tc>
          <w:tcPr>
            <w:tcW w:w="7470" w:type="dxa"/>
            <w:shd w:val="clear" w:color="auto" w:fill="auto"/>
          </w:tcPr>
          <w:p w14:paraId="714D5BBD" w14:textId="77777777" w:rsidR="007D434D" w:rsidRPr="002E67A0" w:rsidRDefault="007D434D" w:rsidP="007D434D">
            <w:pPr>
              <w:spacing w:after="0" w:line="240" w:lineRule="auto"/>
              <w:rPr>
                <w:rFonts w:asciiTheme="minorHAnsi" w:eastAsiaTheme="minorHAnsi" w:hAnsiTheme="minorHAnsi" w:cstheme="minorBidi"/>
                <w:iCs/>
              </w:rPr>
            </w:pPr>
            <w:r>
              <w:rPr>
                <w:rFonts w:asciiTheme="minorHAnsi" w:eastAsiaTheme="minorHAnsi" w:hAnsiTheme="minorHAnsi" w:cstheme="minorBidi"/>
                <w:iCs/>
              </w:rPr>
              <w:t>Monthly</w:t>
            </w:r>
          </w:p>
        </w:tc>
      </w:tr>
      <w:tr w:rsidR="007D434D" w:rsidRPr="00206D41" w14:paraId="684966A2" w14:textId="77777777" w:rsidTr="00FC6780">
        <w:trPr>
          <w:trHeight w:val="3516"/>
        </w:trPr>
        <w:tc>
          <w:tcPr>
            <w:tcW w:w="1728" w:type="dxa"/>
            <w:shd w:val="clear" w:color="auto" w:fill="auto"/>
          </w:tcPr>
          <w:p w14:paraId="0E1ADD25" w14:textId="77777777" w:rsidR="007D434D" w:rsidRPr="00206D41" w:rsidRDefault="007D434D" w:rsidP="007D434D">
            <w:pPr>
              <w:rPr>
                <w:b/>
                <w:bCs/>
                <w:iCs/>
              </w:rPr>
            </w:pPr>
            <w:r w:rsidRPr="00206D41">
              <w:rPr>
                <w:b/>
                <w:bCs/>
                <w:iCs/>
              </w:rPr>
              <w:t>SOURCE OF INFORMATION</w:t>
            </w:r>
          </w:p>
        </w:tc>
        <w:tc>
          <w:tcPr>
            <w:tcW w:w="7470" w:type="dxa"/>
            <w:shd w:val="clear" w:color="auto" w:fill="auto"/>
          </w:tcPr>
          <w:p w14:paraId="37A28CF0" w14:textId="77777777" w:rsidR="007D434D" w:rsidRDefault="007D434D" w:rsidP="007D434D">
            <w:pPr>
              <w:spacing w:after="0" w:line="240" w:lineRule="auto"/>
              <w:rPr>
                <w:bCs/>
                <w:iCs/>
              </w:rPr>
            </w:pPr>
            <w:r>
              <w:rPr>
                <w:bCs/>
                <w:iCs/>
              </w:rPr>
              <w:t xml:space="preserve">The information is obtained from CCMIS.  </w:t>
            </w:r>
          </w:p>
          <w:p w14:paraId="7205AB60" w14:textId="77777777" w:rsidR="007D434D" w:rsidRDefault="007D434D" w:rsidP="007D434D">
            <w:pPr>
              <w:spacing w:after="0" w:line="240" w:lineRule="auto"/>
            </w:pPr>
            <w:r>
              <w:t>Utilizing the Credit Metric Cube table Sum Binding Exposure by NAICS Code where:</w:t>
            </w:r>
          </w:p>
          <w:p w14:paraId="5E8C7A0F" w14:textId="77777777" w:rsidR="007D434D" w:rsidRPr="00C72D48" w:rsidRDefault="007D434D" w:rsidP="007D434D">
            <w:pPr>
              <w:pStyle w:val="ListParagraph"/>
              <w:numPr>
                <w:ilvl w:val="0"/>
                <w:numId w:val="54"/>
              </w:numPr>
              <w:spacing w:after="0" w:line="240" w:lineRule="auto"/>
              <w:rPr>
                <w:bCs/>
                <w:iCs/>
              </w:rPr>
            </w:pPr>
            <w:proofErr w:type="spellStart"/>
            <w:r w:rsidRPr="00C72D48">
              <w:rPr>
                <w:bCs/>
                <w:iCs/>
              </w:rPr>
              <w:t>CRE_CI_Indicator</w:t>
            </w:r>
            <w:proofErr w:type="spellEnd"/>
            <w:r w:rsidRPr="00C72D48">
              <w:rPr>
                <w:bCs/>
                <w:iCs/>
              </w:rPr>
              <w:t xml:space="preserve"> = Non-CRE and (excludes Investment CRE)</w:t>
            </w:r>
          </w:p>
          <w:p w14:paraId="4E3378C6" w14:textId="77777777" w:rsidR="007D434D" w:rsidRPr="00C72D48" w:rsidRDefault="007D434D" w:rsidP="007D434D">
            <w:pPr>
              <w:pStyle w:val="ListParagraph"/>
              <w:numPr>
                <w:ilvl w:val="0"/>
                <w:numId w:val="54"/>
              </w:numPr>
              <w:spacing w:after="0" w:line="240" w:lineRule="auto"/>
              <w:rPr>
                <w:bCs/>
                <w:iCs/>
              </w:rPr>
            </w:pPr>
            <w:r w:rsidRPr="00C72D48">
              <w:rPr>
                <w:bCs/>
                <w:iCs/>
              </w:rPr>
              <w:t>Permanent Segment Rank &lt;&gt; 16 and (excludes Small Business Banking)</w:t>
            </w:r>
          </w:p>
          <w:p w14:paraId="27AD3047" w14:textId="77777777" w:rsidR="007D434D" w:rsidRPr="00C72D48" w:rsidRDefault="007D434D" w:rsidP="007D434D">
            <w:pPr>
              <w:pStyle w:val="ListParagraph"/>
              <w:numPr>
                <w:ilvl w:val="0"/>
                <w:numId w:val="54"/>
              </w:numPr>
              <w:spacing w:after="0" w:line="240" w:lineRule="auto"/>
              <w:rPr>
                <w:bCs/>
                <w:iCs/>
              </w:rPr>
            </w:pPr>
            <w:r w:rsidRPr="00C72D48">
              <w:rPr>
                <w:bCs/>
                <w:iCs/>
              </w:rPr>
              <w:t>Customer Number does not begin with GL (excludes General Ledger adjusting entries)</w:t>
            </w:r>
          </w:p>
          <w:p w14:paraId="3A21E04C" w14:textId="77777777" w:rsidR="007D434D" w:rsidRPr="00C72D48" w:rsidRDefault="007D434D" w:rsidP="007D434D">
            <w:pPr>
              <w:pStyle w:val="ListParagraph"/>
              <w:numPr>
                <w:ilvl w:val="0"/>
                <w:numId w:val="54"/>
              </w:numPr>
              <w:spacing w:after="0" w:line="240" w:lineRule="auto"/>
              <w:rPr>
                <w:bCs/>
                <w:iCs/>
              </w:rPr>
            </w:pPr>
            <w:r w:rsidRPr="00C72D48">
              <w:rPr>
                <w:bCs/>
                <w:iCs/>
              </w:rPr>
              <w:t xml:space="preserve">Join </w:t>
            </w:r>
            <w:proofErr w:type="spellStart"/>
            <w:r w:rsidRPr="00C72D48">
              <w:rPr>
                <w:bCs/>
                <w:iCs/>
              </w:rPr>
              <w:t>NAICSCode</w:t>
            </w:r>
            <w:proofErr w:type="spellEnd"/>
            <w:r w:rsidRPr="00C72D48">
              <w:rPr>
                <w:bCs/>
                <w:iCs/>
              </w:rPr>
              <w:t xml:space="preserve"> in result to NAICS in OCC NAICS Groups reference table and sum by OCC Group</w:t>
            </w:r>
          </w:p>
          <w:p w14:paraId="560DBE46" w14:textId="1CDC8896" w:rsidR="00656906" w:rsidRPr="009D2336" w:rsidRDefault="007D434D" w:rsidP="009D2336">
            <w:pPr>
              <w:pStyle w:val="ListParagraph"/>
              <w:numPr>
                <w:ilvl w:val="0"/>
                <w:numId w:val="54"/>
              </w:numPr>
              <w:spacing w:after="0" w:line="240" w:lineRule="auto"/>
              <w:rPr>
                <w:bCs/>
                <w:iCs/>
              </w:rPr>
            </w:pPr>
            <w:r w:rsidRPr="0095495D">
              <w:rPr>
                <w:bCs/>
                <w:iCs/>
              </w:rPr>
              <w:t xml:space="preserve">Note, PFE is not currently included as the calibration of limits did </w:t>
            </w:r>
            <w:r>
              <w:rPr>
                <w:bCs/>
                <w:iCs/>
              </w:rPr>
              <w:t>not take PFE into consideration</w:t>
            </w:r>
          </w:p>
        </w:tc>
      </w:tr>
    </w:tbl>
    <w:p w14:paraId="62F34192" w14:textId="77777777" w:rsidR="006B462C" w:rsidRDefault="006B462C" w:rsidP="006B462C">
      <w:pPr>
        <w:pStyle w:val="SANUS2"/>
        <w:ind w:left="567"/>
        <w:rPr>
          <w:color w:val="000000" w:themeColor="text1"/>
        </w:rPr>
      </w:pPr>
      <w:bookmarkStart w:id="93" w:name="_Toc439165524"/>
      <w:bookmarkStart w:id="94" w:name="_Toc439165805"/>
      <w:bookmarkStart w:id="95" w:name="_Toc439841740"/>
      <w:bookmarkStart w:id="96" w:name="_Toc439165525"/>
      <w:bookmarkStart w:id="97" w:name="_Toc439165806"/>
      <w:bookmarkStart w:id="98" w:name="_Toc439841741"/>
      <w:bookmarkStart w:id="99" w:name="_Toc439165526"/>
      <w:bookmarkStart w:id="100" w:name="_Toc439165807"/>
      <w:bookmarkStart w:id="101" w:name="_Toc439841742"/>
      <w:bookmarkEnd w:id="93"/>
      <w:bookmarkEnd w:id="94"/>
      <w:bookmarkEnd w:id="95"/>
      <w:bookmarkEnd w:id="96"/>
      <w:bookmarkEnd w:id="97"/>
      <w:bookmarkEnd w:id="98"/>
      <w:bookmarkEnd w:id="99"/>
      <w:bookmarkEnd w:id="100"/>
      <w:bookmarkEnd w:id="101"/>
    </w:p>
    <w:p w14:paraId="3929820B" w14:textId="5E2F2CD6" w:rsidR="00DB2B0B" w:rsidRPr="002E67A0" w:rsidRDefault="00DB2B0B" w:rsidP="00DB2B0B">
      <w:pPr>
        <w:pStyle w:val="SANUS2"/>
        <w:numPr>
          <w:ilvl w:val="1"/>
          <w:numId w:val="1"/>
        </w:numPr>
        <w:tabs>
          <w:tab w:val="num" w:pos="540"/>
        </w:tabs>
        <w:ind w:left="567" w:hanging="567"/>
        <w:rPr>
          <w:color w:val="000000" w:themeColor="text1"/>
        </w:rPr>
      </w:pPr>
      <w:r>
        <w:rPr>
          <w:color w:val="000000" w:themeColor="text1"/>
        </w:rPr>
        <w:t xml:space="preserve">Industry exposure </w:t>
      </w:r>
      <w:r>
        <w:rPr>
          <w:color w:val="000000" w:themeColor="text1"/>
        </w:rPr>
        <w:t>Finance &amp; Insurance</w:t>
      </w:r>
    </w:p>
    <w:tbl>
      <w:tblPr>
        <w:tblpPr w:leftFromText="180" w:rightFromText="180" w:vertAnchor="text" w:tblpX="168" w:tblpY="1"/>
        <w:tblOverlap w:val="never"/>
        <w:tblW w:w="9198"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000" w:firstRow="0" w:lastRow="0" w:firstColumn="0" w:lastColumn="0" w:noHBand="0" w:noVBand="0"/>
      </w:tblPr>
      <w:tblGrid>
        <w:gridCol w:w="1728"/>
        <w:gridCol w:w="7470"/>
      </w:tblGrid>
      <w:tr w:rsidR="00DB2B0B" w:rsidRPr="00206D41" w14:paraId="45D0AF4B" w14:textId="77777777" w:rsidTr="003D435B">
        <w:trPr>
          <w:trHeight w:val="352"/>
        </w:trPr>
        <w:tc>
          <w:tcPr>
            <w:tcW w:w="1728" w:type="dxa"/>
            <w:shd w:val="clear" w:color="auto" w:fill="auto"/>
          </w:tcPr>
          <w:p w14:paraId="086EA083" w14:textId="77777777" w:rsidR="00DB2B0B" w:rsidRPr="00206D41" w:rsidRDefault="00DB2B0B" w:rsidP="003D435B">
            <w:pPr>
              <w:rPr>
                <w:b/>
                <w:bCs/>
                <w:iCs/>
              </w:rPr>
            </w:pPr>
            <w:r>
              <w:rPr>
                <w:b/>
                <w:bCs/>
                <w:iCs/>
              </w:rPr>
              <w:t xml:space="preserve">DEFINITION </w:t>
            </w:r>
          </w:p>
        </w:tc>
        <w:tc>
          <w:tcPr>
            <w:tcW w:w="7470" w:type="dxa"/>
            <w:shd w:val="clear" w:color="auto" w:fill="auto"/>
          </w:tcPr>
          <w:p w14:paraId="17108421" w14:textId="11A1BDEF" w:rsidR="00DB2B0B" w:rsidRPr="00DB2B0B" w:rsidRDefault="00DB2B0B" w:rsidP="003D435B">
            <w:pPr>
              <w:spacing w:after="0" w:line="240" w:lineRule="auto"/>
              <w:rPr>
                <w:rFonts w:asciiTheme="minorHAnsi" w:eastAsiaTheme="minorHAnsi" w:hAnsiTheme="minorHAnsi" w:cstheme="minorBidi"/>
                <w:bCs/>
                <w:iCs/>
                <w:lang w:val="en-GB"/>
              </w:rPr>
            </w:pPr>
            <w:r w:rsidRPr="00DB2B0B">
              <w:rPr>
                <w:bCs/>
                <w:iCs/>
              </w:rPr>
              <w:t>The total dollar value exposur</w:t>
            </w:r>
            <w:r w:rsidRPr="00DB2B0B">
              <w:rPr>
                <w:bCs/>
                <w:iCs/>
              </w:rPr>
              <w:t>e for all counterparties within the Finance and Insurance</w:t>
            </w:r>
            <w:r w:rsidRPr="00DB2B0B">
              <w:rPr>
                <w:bCs/>
                <w:iCs/>
              </w:rPr>
              <w:t xml:space="preserve"> OCC industry classification. </w:t>
            </w:r>
          </w:p>
          <w:p w14:paraId="6FA9A4DA" w14:textId="77777777" w:rsidR="00DB2B0B" w:rsidRPr="00DB2B0B" w:rsidRDefault="00DB2B0B" w:rsidP="003D435B">
            <w:pPr>
              <w:spacing w:after="0" w:line="240" w:lineRule="auto"/>
              <w:rPr>
                <w:bCs/>
                <w:iCs/>
                <w:lang w:val="en-GB"/>
              </w:rPr>
            </w:pPr>
          </w:p>
          <w:p w14:paraId="5A26283E" w14:textId="77777777" w:rsidR="00DB2B0B" w:rsidRPr="00DB2B0B" w:rsidRDefault="00DB2B0B" w:rsidP="003D435B">
            <w:pPr>
              <w:contextualSpacing/>
              <w:rPr>
                <w:rFonts w:asciiTheme="minorHAnsi" w:eastAsiaTheme="minorHAnsi" w:hAnsiTheme="minorHAnsi" w:cstheme="minorBidi"/>
                <w:bCs/>
                <w:iCs/>
                <w:lang w:val="en-GB"/>
              </w:rPr>
            </w:pPr>
            <w:r w:rsidRPr="00DB2B0B">
              <w:rPr>
                <w:rFonts w:asciiTheme="minorHAnsi" w:eastAsiaTheme="minorHAnsi" w:hAnsiTheme="minorHAnsi" w:cstheme="minorBidi"/>
                <w:bCs/>
                <w:iCs/>
                <w:lang w:val="en-GB"/>
              </w:rPr>
              <w:t xml:space="preserve">Exposure is defined as the </w:t>
            </w:r>
            <w:r w:rsidRPr="00DB2B0B">
              <w:rPr>
                <w:rFonts w:asciiTheme="minorHAnsi" w:eastAsiaTheme="minorHAnsi" w:hAnsiTheme="minorHAnsi" w:cstheme="minorBidi"/>
                <w:bCs/>
                <w:iCs/>
                <w:u w:val="single"/>
                <w:lang w:val="en-GB"/>
              </w:rPr>
              <w:t>sum</w:t>
            </w:r>
            <w:r w:rsidRPr="00DB2B0B">
              <w:rPr>
                <w:rFonts w:asciiTheme="minorHAnsi" w:eastAsiaTheme="minorHAnsi" w:hAnsiTheme="minorHAnsi" w:cstheme="minorBidi"/>
                <w:bCs/>
                <w:iCs/>
                <w:lang w:val="en-GB"/>
              </w:rPr>
              <w:t xml:space="preserve"> of: </w:t>
            </w:r>
          </w:p>
          <w:p w14:paraId="04E2C5D8" w14:textId="77777777" w:rsidR="00DB2B0B" w:rsidRPr="00DB2B0B" w:rsidRDefault="00DB2B0B" w:rsidP="003D435B">
            <w:pPr>
              <w:numPr>
                <w:ilvl w:val="1"/>
                <w:numId w:val="11"/>
              </w:numPr>
              <w:contextualSpacing/>
              <w:rPr>
                <w:rFonts w:asciiTheme="minorHAnsi" w:eastAsiaTheme="minorHAnsi" w:hAnsiTheme="minorHAnsi" w:cstheme="minorBidi"/>
                <w:bCs/>
                <w:iCs/>
                <w:lang w:val="en-GB"/>
              </w:rPr>
            </w:pPr>
            <w:r w:rsidRPr="00DB2B0B">
              <w:rPr>
                <w:rFonts w:asciiTheme="minorHAnsi" w:eastAsiaTheme="minorHAnsi" w:hAnsiTheme="minorHAnsi" w:cstheme="minorBidi"/>
                <w:bCs/>
                <w:iCs/>
                <w:lang w:val="en-GB"/>
              </w:rPr>
              <w:t xml:space="preserve">Committed facilities (drawn and undrawn)  </w:t>
            </w:r>
          </w:p>
          <w:p w14:paraId="0ACC917D" w14:textId="77777777" w:rsidR="00DB2B0B" w:rsidRPr="00DB2B0B" w:rsidRDefault="00DB2B0B" w:rsidP="003D435B">
            <w:pPr>
              <w:numPr>
                <w:ilvl w:val="1"/>
                <w:numId w:val="11"/>
              </w:numPr>
              <w:contextualSpacing/>
              <w:rPr>
                <w:rFonts w:asciiTheme="minorHAnsi" w:eastAsiaTheme="minorHAnsi" w:hAnsiTheme="minorHAnsi" w:cstheme="minorBidi"/>
                <w:bCs/>
                <w:iCs/>
                <w:lang w:val="en-GB"/>
              </w:rPr>
            </w:pPr>
            <w:r w:rsidRPr="00DB2B0B">
              <w:rPr>
                <w:rFonts w:asciiTheme="minorHAnsi" w:eastAsiaTheme="minorHAnsi" w:hAnsiTheme="minorHAnsi" w:cstheme="minorBidi"/>
                <w:bCs/>
                <w:iCs/>
                <w:lang w:val="en-GB"/>
              </w:rPr>
              <w:t xml:space="preserve">Drawn balances under uncommitted facilities  </w:t>
            </w:r>
          </w:p>
          <w:p w14:paraId="64F62DB8" w14:textId="77777777" w:rsidR="00DB2B0B" w:rsidRPr="00DB2B0B" w:rsidRDefault="00DB2B0B" w:rsidP="003D435B">
            <w:pPr>
              <w:numPr>
                <w:ilvl w:val="1"/>
                <w:numId w:val="11"/>
              </w:numPr>
              <w:contextualSpacing/>
              <w:rPr>
                <w:rFonts w:asciiTheme="minorHAnsi" w:eastAsiaTheme="minorHAnsi" w:hAnsiTheme="minorHAnsi" w:cstheme="minorBidi"/>
                <w:bCs/>
                <w:iCs/>
                <w:lang w:val="en-GB"/>
              </w:rPr>
            </w:pPr>
            <w:r w:rsidRPr="00DB2B0B">
              <w:rPr>
                <w:rFonts w:asciiTheme="minorHAnsi" w:eastAsiaTheme="minorHAnsi" w:hAnsiTheme="minorHAnsi" w:cstheme="minorBidi"/>
                <w:bCs/>
                <w:iCs/>
                <w:lang w:val="en-GB"/>
              </w:rPr>
              <w:t xml:space="preserve">Off balance sheet items (e.g. Letters of Credit)  </w:t>
            </w:r>
          </w:p>
          <w:p w14:paraId="5344C65B" w14:textId="77777777" w:rsidR="00DB2B0B" w:rsidRPr="00DB2B0B" w:rsidRDefault="00DB2B0B" w:rsidP="003D435B">
            <w:pPr>
              <w:numPr>
                <w:ilvl w:val="1"/>
                <w:numId w:val="11"/>
              </w:numPr>
              <w:contextualSpacing/>
              <w:rPr>
                <w:rFonts w:asciiTheme="minorHAnsi" w:eastAsiaTheme="minorHAnsi" w:hAnsiTheme="minorHAnsi" w:cstheme="minorBidi"/>
                <w:bCs/>
                <w:iCs/>
                <w:lang w:val="en-GB"/>
              </w:rPr>
            </w:pPr>
            <w:r w:rsidRPr="00DB2B0B">
              <w:rPr>
                <w:rFonts w:asciiTheme="minorHAnsi" w:eastAsiaTheme="minorHAnsi" w:hAnsiTheme="minorHAnsi" w:cstheme="minorBidi"/>
                <w:bCs/>
                <w:iCs/>
                <w:lang w:val="en-GB"/>
              </w:rPr>
              <w:t>PFE</w:t>
            </w:r>
            <w:r w:rsidRPr="00DB2B0B">
              <w:rPr>
                <w:rFonts w:asciiTheme="minorHAnsi" w:eastAsiaTheme="minorHAnsi" w:hAnsiTheme="minorHAnsi" w:cstheme="minorBidi"/>
                <w:bCs/>
                <w:iCs/>
                <w:vertAlign w:val="superscript"/>
                <w:lang w:val="en-GB"/>
              </w:rPr>
              <w:footnoteReference w:id="7"/>
            </w:r>
            <w:r w:rsidRPr="00DB2B0B">
              <w:rPr>
                <w:rFonts w:asciiTheme="minorHAnsi" w:eastAsiaTheme="minorHAnsi" w:hAnsiTheme="minorHAnsi" w:cstheme="minorBidi"/>
                <w:bCs/>
                <w:iCs/>
                <w:lang w:val="en-GB"/>
              </w:rPr>
              <w:t xml:space="preserve"> (“REC”) for derivatives. </w:t>
            </w:r>
          </w:p>
          <w:p w14:paraId="107A7B16" w14:textId="05002E34" w:rsidR="00DB2B0B" w:rsidRPr="00DB2B0B" w:rsidRDefault="00DB2B0B" w:rsidP="00DB2B0B">
            <w:pPr>
              <w:spacing w:after="0" w:line="240" w:lineRule="auto"/>
              <w:rPr>
                <w:bCs/>
                <w:iCs/>
                <w:lang w:val="en-GB"/>
              </w:rPr>
            </w:pPr>
            <w:r w:rsidRPr="00DB2B0B">
              <w:rPr>
                <w:rFonts w:asciiTheme="minorHAnsi" w:eastAsiaTheme="minorHAnsi" w:hAnsiTheme="minorHAnsi" w:cstheme="minorBidi"/>
                <w:bCs/>
                <w:iCs/>
                <w:lang w:val="en-GB"/>
              </w:rPr>
              <w:t xml:space="preserve">Exposures will be calculated at individual counterparty level and aggregated as required to ultimate parent (economic group) level. </w:t>
            </w:r>
          </w:p>
        </w:tc>
      </w:tr>
      <w:tr w:rsidR="00DB2B0B" w:rsidRPr="00206D41" w14:paraId="4CBDD62D" w14:textId="77777777" w:rsidTr="003D435B">
        <w:trPr>
          <w:trHeight w:val="433"/>
        </w:trPr>
        <w:tc>
          <w:tcPr>
            <w:tcW w:w="1728" w:type="dxa"/>
            <w:shd w:val="clear" w:color="auto" w:fill="auto"/>
          </w:tcPr>
          <w:p w14:paraId="71E1A1D7" w14:textId="77777777" w:rsidR="00DB2B0B" w:rsidRPr="00206D41" w:rsidRDefault="00DB2B0B" w:rsidP="003D435B">
            <w:pPr>
              <w:rPr>
                <w:b/>
                <w:bCs/>
                <w:iCs/>
              </w:rPr>
            </w:pPr>
            <w:r>
              <w:rPr>
                <w:b/>
                <w:bCs/>
                <w:iCs/>
              </w:rPr>
              <w:t>RISK TYPE</w:t>
            </w:r>
          </w:p>
        </w:tc>
        <w:tc>
          <w:tcPr>
            <w:tcW w:w="7470" w:type="dxa"/>
            <w:shd w:val="clear" w:color="auto" w:fill="auto"/>
          </w:tcPr>
          <w:p w14:paraId="780AADE3" w14:textId="77777777" w:rsidR="00DB2B0B" w:rsidRPr="00DB2B0B" w:rsidRDefault="00DB2B0B" w:rsidP="003D435B">
            <w:pPr>
              <w:spacing w:after="0" w:line="240" w:lineRule="auto"/>
              <w:rPr>
                <w:bCs/>
                <w:iCs/>
              </w:rPr>
            </w:pPr>
            <w:r w:rsidRPr="00DB2B0B">
              <w:rPr>
                <w:bCs/>
                <w:iCs/>
              </w:rPr>
              <w:t>Credit Risk</w:t>
            </w:r>
          </w:p>
        </w:tc>
      </w:tr>
      <w:tr w:rsidR="00DB2B0B" w:rsidRPr="00206D41" w14:paraId="07783D8F" w14:textId="77777777" w:rsidTr="003D435B">
        <w:trPr>
          <w:trHeight w:val="433"/>
        </w:trPr>
        <w:tc>
          <w:tcPr>
            <w:tcW w:w="1728" w:type="dxa"/>
            <w:shd w:val="clear" w:color="auto" w:fill="auto"/>
          </w:tcPr>
          <w:p w14:paraId="29CE47CD" w14:textId="77777777" w:rsidR="00DB2B0B" w:rsidRDefault="00DB2B0B" w:rsidP="003D435B">
            <w:pPr>
              <w:rPr>
                <w:b/>
                <w:bCs/>
                <w:iCs/>
              </w:rPr>
            </w:pPr>
            <w:r>
              <w:rPr>
                <w:b/>
                <w:bCs/>
                <w:iCs/>
              </w:rPr>
              <w:t>RATIONALE</w:t>
            </w:r>
          </w:p>
        </w:tc>
        <w:tc>
          <w:tcPr>
            <w:tcW w:w="7470" w:type="dxa"/>
            <w:shd w:val="clear" w:color="auto" w:fill="auto"/>
          </w:tcPr>
          <w:p w14:paraId="69A559F0" w14:textId="7AEC56D1" w:rsidR="00DB2B0B" w:rsidRPr="00DB2B0B" w:rsidRDefault="00DB2B0B" w:rsidP="003D435B">
            <w:pPr>
              <w:spacing w:after="0" w:line="240" w:lineRule="auto"/>
              <w:rPr>
                <w:bCs/>
                <w:iCs/>
              </w:rPr>
            </w:pPr>
            <w:r>
              <w:rPr>
                <w:bCs/>
                <w:iCs/>
              </w:rPr>
              <w:t xml:space="preserve">Limits are sized based on appetite and approved strategic plans. </w:t>
            </w:r>
          </w:p>
        </w:tc>
      </w:tr>
      <w:tr w:rsidR="00DB2B0B" w:rsidRPr="00206D41" w14:paraId="1E605548" w14:textId="77777777" w:rsidTr="003D435B">
        <w:trPr>
          <w:trHeight w:val="20"/>
        </w:trPr>
        <w:tc>
          <w:tcPr>
            <w:tcW w:w="1728" w:type="dxa"/>
            <w:shd w:val="clear" w:color="auto" w:fill="auto"/>
          </w:tcPr>
          <w:p w14:paraId="2ADE439C" w14:textId="77777777" w:rsidR="00DB2B0B" w:rsidRPr="00206D41" w:rsidRDefault="00DB2B0B" w:rsidP="003D435B">
            <w:pPr>
              <w:rPr>
                <w:b/>
                <w:bCs/>
                <w:iCs/>
              </w:rPr>
            </w:pPr>
            <w:r>
              <w:rPr>
                <w:b/>
                <w:bCs/>
                <w:iCs/>
              </w:rPr>
              <w:t>ENTITY</w:t>
            </w:r>
          </w:p>
        </w:tc>
        <w:tc>
          <w:tcPr>
            <w:tcW w:w="7470" w:type="dxa"/>
            <w:shd w:val="clear" w:color="auto" w:fill="auto"/>
          </w:tcPr>
          <w:p w14:paraId="2BD4750A" w14:textId="77777777" w:rsidR="00DB2B0B" w:rsidRPr="00DB2B0B" w:rsidRDefault="00DB2B0B" w:rsidP="003D435B">
            <w:pPr>
              <w:spacing w:after="0" w:line="240" w:lineRule="auto"/>
              <w:rPr>
                <w:b/>
                <w:bCs/>
                <w:iCs/>
              </w:rPr>
            </w:pPr>
            <w:r w:rsidRPr="00DB2B0B">
              <w:rPr>
                <w:b/>
                <w:bCs/>
                <w:iCs/>
              </w:rPr>
              <w:t>SBNA</w:t>
            </w:r>
          </w:p>
          <w:p w14:paraId="109AD169" w14:textId="77777777" w:rsidR="00DB2B0B" w:rsidRPr="00DB2B0B" w:rsidRDefault="00DB2B0B" w:rsidP="003D435B">
            <w:pPr>
              <w:spacing w:after="0" w:line="240" w:lineRule="auto"/>
              <w:rPr>
                <w:bCs/>
                <w:iCs/>
              </w:rPr>
            </w:pPr>
          </w:p>
        </w:tc>
      </w:tr>
      <w:tr w:rsidR="00DB2B0B" w:rsidRPr="00206D41" w14:paraId="3E418EE9" w14:textId="77777777" w:rsidTr="003D435B">
        <w:trPr>
          <w:trHeight w:val="270"/>
        </w:trPr>
        <w:tc>
          <w:tcPr>
            <w:tcW w:w="1728" w:type="dxa"/>
            <w:shd w:val="clear" w:color="auto" w:fill="auto"/>
          </w:tcPr>
          <w:p w14:paraId="70B45E1B" w14:textId="77777777" w:rsidR="00DB2B0B" w:rsidRPr="00206D41" w:rsidRDefault="00DB2B0B" w:rsidP="003D435B">
            <w:pPr>
              <w:rPr>
                <w:b/>
                <w:bCs/>
                <w:iCs/>
              </w:rPr>
            </w:pPr>
            <w:r>
              <w:rPr>
                <w:rFonts w:asciiTheme="minorHAnsi" w:hAnsiTheme="minorHAnsi"/>
                <w:b/>
                <w:bCs/>
                <w:iCs/>
              </w:rPr>
              <w:t>METRIC PROVIDER</w:t>
            </w:r>
          </w:p>
        </w:tc>
        <w:tc>
          <w:tcPr>
            <w:tcW w:w="7470" w:type="dxa"/>
            <w:shd w:val="clear" w:color="auto" w:fill="auto"/>
          </w:tcPr>
          <w:p w14:paraId="528B1F6E" w14:textId="77777777" w:rsidR="00DB2B0B" w:rsidRPr="00DB2B0B" w:rsidRDefault="00DB2B0B" w:rsidP="003D435B">
            <w:pPr>
              <w:spacing w:after="0" w:line="240" w:lineRule="auto"/>
              <w:rPr>
                <w:bCs/>
                <w:iCs/>
              </w:rPr>
            </w:pPr>
            <w:r w:rsidRPr="00DB2B0B">
              <w:rPr>
                <w:b/>
                <w:bCs/>
                <w:iCs/>
              </w:rPr>
              <w:t xml:space="preserve">SBNA Solvency </w:t>
            </w:r>
          </w:p>
        </w:tc>
      </w:tr>
      <w:tr w:rsidR="00DB2B0B" w:rsidRPr="00206D41" w14:paraId="25905C3A" w14:textId="77777777" w:rsidTr="003D435B">
        <w:trPr>
          <w:trHeight w:val="360"/>
        </w:trPr>
        <w:tc>
          <w:tcPr>
            <w:tcW w:w="1728" w:type="dxa"/>
            <w:shd w:val="clear" w:color="auto" w:fill="auto"/>
          </w:tcPr>
          <w:p w14:paraId="74145336" w14:textId="77777777" w:rsidR="00DB2B0B" w:rsidRPr="00206D41" w:rsidRDefault="00DB2B0B" w:rsidP="003D435B">
            <w:pPr>
              <w:rPr>
                <w:b/>
                <w:bCs/>
                <w:iCs/>
              </w:rPr>
            </w:pPr>
            <w:r>
              <w:rPr>
                <w:b/>
                <w:bCs/>
                <w:iCs/>
              </w:rPr>
              <w:t>TRIGGER AND LIMIT SETTING</w:t>
            </w:r>
          </w:p>
        </w:tc>
        <w:tc>
          <w:tcPr>
            <w:tcW w:w="7470" w:type="dxa"/>
            <w:shd w:val="clear" w:color="auto" w:fill="auto"/>
          </w:tcPr>
          <w:p w14:paraId="4AC94543" w14:textId="77777777" w:rsidR="00DB2B0B" w:rsidRPr="00DB2B0B" w:rsidRDefault="00DB2B0B" w:rsidP="003D435B">
            <w:pPr>
              <w:spacing w:after="0" w:line="240" w:lineRule="auto"/>
              <w:rPr>
                <w:rFonts w:asciiTheme="minorHAnsi" w:eastAsiaTheme="minorHAnsi" w:hAnsiTheme="minorHAnsi" w:cstheme="minorBidi"/>
                <w:iCs/>
              </w:rPr>
            </w:pPr>
            <w:r w:rsidRPr="00DB2B0B">
              <w:rPr>
                <w:rFonts w:asciiTheme="minorHAnsi" w:eastAsiaTheme="minorHAnsi" w:hAnsiTheme="minorHAnsi" w:cstheme="minorBidi"/>
                <w:iCs/>
              </w:rPr>
              <w:t xml:space="preserve">The amber trigger is anchored as a percentage of CET1+ACL with adjustment; red limit is adjusted up from amber trigger per management discretion. </w:t>
            </w:r>
          </w:p>
          <w:p w14:paraId="267304EA" w14:textId="77777777" w:rsidR="00DB2B0B" w:rsidRPr="00DB2B0B" w:rsidRDefault="00DB2B0B" w:rsidP="003D435B">
            <w:pPr>
              <w:spacing w:after="0" w:line="240" w:lineRule="auto"/>
              <w:rPr>
                <w:rFonts w:asciiTheme="minorHAnsi" w:eastAsiaTheme="minorHAnsi" w:hAnsiTheme="minorHAnsi" w:cstheme="minorBidi"/>
                <w:iCs/>
              </w:rPr>
            </w:pPr>
          </w:p>
        </w:tc>
      </w:tr>
      <w:tr w:rsidR="00DB2B0B" w:rsidRPr="00206D41" w14:paraId="4184A6BE" w14:textId="77777777" w:rsidTr="003D435B">
        <w:trPr>
          <w:trHeight w:val="360"/>
        </w:trPr>
        <w:tc>
          <w:tcPr>
            <w:tcW w:w="1728" w:type="dxa"/>
            <w:shd w:val="clear" w:color="auto" w:fill="auto"/>
          </w:tcPr>
          <w:p w14:paraId="2E2EE108" w14:textId="77777777" w:rsidR="00DB2B0B" w:rsidRPr="00206D41" w:rsidRDefault="00DB2B0B" w:rsidP="003D435B">
            <w:pPr>
              <w:rPr>
                <w:b/>
                <w:bCs/>
                <w:iCs/>
              </w:rPr>
            </w:pPr>
            <w:r w:rsidRPr="00931941">
              <w:rPr>
                <w:b/>
                <w:bCs/>
                <w:iCs/>
              </w:rPr>
              <w:t>TESTING FREQUENCY</w:t>
            </w:r>
          </w:p>
        </w:tc>
        <w:tc>
          <w:tcPr>
            <w:tcW w:w="7470" w:type="dxa"/>
            <w:shd w:val="clear" w:color="auto" w:fill="auto"/>
          </w:tcPr>
          <w:p w14:paraId="577BC014" w14:textId="77777777" w:rsidR="00DB2B0B" w:rsidRPr="00DB2B0B" w:rsidRDefault="00DB2B0B" w:rsidP="003D435B">
            <w:pPr>
              <w:spacing w:after="0" w:line="240" w:lineRule="auto"/>
              <w:rPr>
                <w:rFonts w:asciiTheme="minorHAnsi" w:eastAsiaTheme="minorHAnsi" w:hAnsiTheme="minorHAnsi" w:cstheme="minorBidi"/>
                <w:iCs/>
              </w:rPr>
            </w:pPr>
            <w:r w:rsidRPr="00DB2B0B">
              <w:rPr>
                <w:rFonts w:asciiTheme="minorHAnsi" w:eastAsiaTheme="minorHAnsi" w:hAnsiTheme="minorHAnsi" w:cstheme="minorBidi"/>
                <w:iCs/>
              </w:rPr>
              <w:t>Monthly</w:t>
            </w:r>
          </w:p>
        </w:tc>
      </w:tr>
      <w:tr w:rsidR="00DB2B0B" w:rsidRPr="00206D41" w14:paraId="44F5ABA2" w14:textId="77777777" w:rsidTr="00DB2B0B">
        <w:trPr>
          <w:trHeight w:val="1265"/>
        </w:trPr>
        <w:tc>
          <w:tcPr>
            <w:tcW w:w="1728" w:type="dxa"/>
            <w:shd w:val="clear" w:color="auto" w:fill="auto"/>
          </w:tcPr>
          <w:p w14:paraId="18FD9AF2" w14:textId="77777777" w:rsidR="00DB2B0B" w:rsidRPr="00206D41" w:rsidRDefault="00DB2B0B" w:rsidP="003D435B">
            <w:pPr>
              <w:rPr>
                <w:b/>
                <w:bCs/>
                <w:iCs/>
              </w:rPr>
            </w:pPr>
            <w:r w:rsidRPr="00206D41">
              <w:rPr>
                <w:b/>
                <w:bCs/>
                <w:iCs/>
              </w:rPr>
              <w:t>SOURCE OF INFORMATION</w:t>
            </w:r>
          </w:p>
        </w:tc>
        <w:tc>
          <w:tcPr>
            <w:tcW w:w="7470" w:type="dxa"/>
            <w:shd w:val="clear" w:color="auto" w:fill="auto"/>
          </w:tcPr>
          <w:p w14:paraId="542DFA2C" w14:textId="77777777" w:rsidR="00DB2B0B" w:rsidRPr="00DB2B0B" w:rsidRDefault="00DB2B0B" w:rsidP="003D435B">
            <w:pPr>
              <w:spacing w:after="0" w:line="240" w:lineRule="auto"/>
              <w:rPr>
                <w:bCs/>
                <w:iCs/>
              </w:rPr>
            </w:pPr>
            <w:r w:rsidRPr="00DB2B0B">
              <w:rPr>
                <w:bCs/>
                <w:iCs/>
              </w:rPr>
              <w:t xml:space="preserve">The information is obtained from CCMIS.  </w:t>
            </w:r>
          </w:p>
          <w:p w14:paraId="02E35609" w14:textId="77777777" w:rsidR="00DB2B0B" w:rsidRPr="00DB2B0B" w:rsidRDefault="00DB2B0B" w:rsidP="003D435B">
            <w:pPr>
              <w:spacing w:after="0" w:line="240" w:lineRule="auto"/>
            </w:pPr>
            <w:r w:rsidRPr="00DB2B0B">
              <w:t>Utilizing the Credit Metric Cube table Sum Binding Exposure by NAICS Code where:</w:t>
            </w:r>
          </w:p>
          <w:p w14:paraId="137D320C" w14:textId="38E64268" w:rsidR="00DB2B0B" w:rsidRPr="00DB2B0B" w:rsidRDefault="00DB2B0B" w:rsidP="003D435B">
            <w:pPr>
              <w:pStyle w:val="ListParagraph"/>
              <w:numPr>
                <w:ilvl w:val="0"/>
                <w:numId w:val="54"/>
              </w:numPr>
              <w:spacing w:after="0" w:line="240" w:lineRule="auto"/>
              <w:rPr>
                <w:bCs/>
                <w:iCs/>
              </w:rPr>
            </w:pPr>
            <w:proofErr w:type="spellStart"/>
            <w:r>
              <w:rPr>
                <w:bCs/>
                <w:iCs/>
              </w:rPr>
              <w:t>xxxx</w:t>
            </w:r>
            <w:proofErr w:type="spellEnd"/>
          </w:p>
        </w:tc>
      </w:tr>
    </w:tbl>
    <w:p w14:paraId="4BD157FE" w14:textId="77777777" w:rsidR="00DB2B0B" w:rsidRDefault="00DB2B0B" w:rsidP="006B462C">
      <w:pPr>
        <w:pStyle w:val="SANUS2"/>
        <w:ind w:left="567"/>
        <w:rPr>
          <w:color w:val="000000" w:themeColor="text1"/>
        </w:rPr>
      </w:pPr>
    </w:p>
    <w:p w14:paraId="190D4144" w14:textId="42D2EEA9" w:rsidR="00DB2B0B" w:rsidRPr="002E67A0" w:rsidRDefault="00DB2B0B" w:rsidP="00DB2B0B">
      <w:pPr>
        <w:pStyle w:val="SANUS2"/>
        <w:numPr>
          <w:ilvl w:val="1"/>
          <w:numId w:val="1"/>
        </w:numPr>
        <w:tabs>
          <w:tab w:val="num" w:pos="540"/>
        </w:tabs>
        <w:ind w:left="567" w:hanging="567"/>
        <w:rPr>
          <w:color w:val="000000" w:themeColor="text1"/>
        </w:rPr>
      </w:pPr>
      <w:r>
        <w:rPr>
          <w:color w:val="000000" w:themeColor="text1"/>
        </w:rPr>
        <w:t xml:space="preserve">Industry exposure </w:t>
      </w:r>
      <w:r>
        <w:rPr>
          <w:color w:val="000000" w:themeColor="text1"/>
        </w:rPr>
        <w:t xml:space="preserve">Utilities </w:t>
      </w:r>
    </w:p>
    <w:tbl>
      <w:tblPr>
        <w:tblpPr w:leftFromText="180" w:rightFromText="180" w:vertAnchor="text" w:tblpX="168" w:tblpY="1"/>
        <w:tblOverlap w:val="never"/>
        <w:tblW w:w="9198"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000" w:firstRow="0" w:lastRow="0" w:firstColumn="0" w:lastColumn="0" w:noHBand="0" w:noVBand="0"/>
      </w:tblPr>
      <w:tblGrid>
        <w:gridCol w:w="1728"/>
        <w:gridCol w:w="7470"/>
      </w:tblGrid>
      <w:tr w:rsidR="00DB2B0B" w:rsidRPr="00206D41" w14:paraId="71AF0F19" w14:textId="77777777" w:rsidTr="003D435B">
        <w:trPr>
          <w:trHeight w:val="352"/>
        </w:trPr>
        <w:tc>
          <w:tcPr>
            <w:tcW w:w="1728" w:type="dxa"/>
            <w:shd w:val="clear" w:color="auto" w:fill="auto"/>
          </w:tcPr>
          <w:p w14:paraId="2C8D9DF4" w14:textId="77777777" w:rsidR="00DB2B0B" w:rsidRPr="00206D41" w:rsidRDefault="00DB2B0B" w:rsidP="003D435B">
            <w:pPr>
              <w:rPr>
                <w:b/>
                <w:bCs/>
                <w:iCs/>
              </w:rPr>
            </w:pPr>
            <w:r>
              <w:rPr>
                <w:b/>
                <w:bCs/>
                <w:iCs/>
              </w:rPr>
              <w:t xml:space="preserve">DEFINITION </w:t>
            </w:r>
          </w:p>
        </w:tc>
        <w:tc>
          <w:tcPr>
            <w:tcW w:w="7470" w:type="dxa"/>
            <w:shd w:val="clear" w:color="auto" w:fill="auto"/>
          </w:tcPr>
          <w:p w14:paraId="76383B3A" w14:textId="7009F8B4" w:rsidR="00DB2B0B" w:rsidRPr="00DB2B0B" w:rsidRDefault="00DB2B0B" w:rsidP="00DB2B0B">
            <w:pPr>
              <w:spacing w:after="0" w:line="240" w:lineRule="auto"/>
              <w:rPr>
                <w:rFonts w:asciiTheme="minorHAnsi" w:eastAsiaTheme="minorHAnsi" w:hAnsiTheme="minorHAnsi" w:cstheme="minorBidi"/>
                <w:bCs/>
                <w:iCs/>
                <w:lang w:val="en-GB"/>
              </w:rPr>
            </w:pPr>
            <w:r w:rsidRPr="00DB2B0B">
              <w:rPr>
                <w:bCs/>
                <w:iCs/>
              </w:rPr>
              <w:t xml:space="preserve">The total dollar value exposure for all counterparties within the </w:t>
            </w:r>
            <w:r>
              <w:rPr>
                <w:bCs/>
                <w:iCs/>
              </w:rPr>
              <w:t>Utilities</w:t>
            </w:r>
            <w:r w:rsidRPr="00DB2B0B">
              <w:rPr>
                <w:bCs/>
                <w:iCs/>
              </w:rPr>
              <w:t xml:space="preserve"> OCC industry classification. </w:t>
            </w:r>
          </w:p>
          <w:p w14:paraId="66451508" w14:textId="77777777" w:rsidR="00DB2B0B" w:rsidRPr="00DB2B0B" w:rsidRDefault="00DB2B0B" w:rsidP="00DB2B0B">
            <w:pPr>
              <w:spacing w:after="0" w:line="240" w:lineRule="auto"/>
              <w:rPr>
                <w:bCs/>
                <w:iCs/>
                <w:lang w:val="en-GB"/>
              </w:rPr>
            </w:pPr>
          </w:p>
          <w:p w14:paraId="0344C294" w14:textId="77777777" w:rsidR="00DB2B0B" w:rsidRPr="00DB2B0B" w:rsidRDefault="00DB2B0B" w:rsidP="00DB2B0B">
            <w:pPr>
              <w:contextualSpacing/>
              <w:rPr>
                <w:rFonts w:asciiTheme="minorHAnsi" w:eastAsiaTheme="minorHAnsi" w:hAnsiTheme="minorHAnsi" w:cstheme="minorBidi"/>
                <w:bCs/>
                <w:iCs/>
                <w:lang w:val="en-GB"/>
              </w:rPr>
            </w:pPr>
            <w:r w:rsidRPr="00DB2B0B">
              <w:rPr>
                <w:rFonts w:asciiTheme="minorHAnsi" w:eastAsiaTheme="minorHAnsi" w:hAnsiTheme="minorHAnsi" w:cstheme="minorBidi"/>
                <w:bCs/>
                <w:iCs/>
                <w:lang w:val="en-GB"/>
              </w:rPr>
              <w:t xml:space="preserve">Exposure is defined as the </w:t>
            </w:r>
            <w:r w:rsidRPr="00DB2B0B">
              <w:rPr>
                <w:rFonts w:asciiTheme="minorHAnsi" w:eastAsiaTheme="minorHAnsi" w:hAnsiTheme="minorHAnsi" w:cstheme="minorBidi"/>
                <w:bCs/>
                <w:iCs/>
                <w:u w:val="single"/>
                <w:lang w:val="en-GB"/>
              </w:rPr>
              <w:t>sum</w:t>
            </w:r>
            <w:r w:rsidRPr="00DB2B0B">
              <w:rPr>
                <w:rFonts w:asciiTheme="minorHAnsi" w:eastAsiaTheme="minorHAnsi" w:hAnsiTheme="minorHAnsi" w:cstheme="minorBidi"/>
                <w:bCs/>
                <w:iCs/>
                <w:lang w:val="en-GB"/>
              </w:rPr>
              <w:t xml:space="preserve"> of: </w:t>
            </w:r>
          </w:p>
          <w:p w14:paraId="7FE9661A" w14:textId="77777777" w:rsidR="00DB2B0B" w:rsidRPr="00DB2B0B" w:rsidRDefault="00DB2B0B" w:rsidP="00DB2B0B">
            <w:pPr>
              <w:numPr>
                <w:ilvl w:val="1"/>
                <w:numId w:val="11"/>
              </w:numPr>
              <w:contextualSpacing/>
              <w:rPr>
                <w:rFonts w:asciiTheme="minorHAnsi" w:eastAsiaTheme="minorHAnsi" w:hAnsiTheme="minorHAnsi" w:cstheme="minorBidi"/>
                <w:bCs/>
                <w:iCs/>
                <w:lang w:val="en-GB"/>
              </w:rPr>
            </w:pPr>
            <w:r w:rsidRPr="00DB2B0B">
              <w:rPr>
                <w:rFonts w:asciiTheme="minorHAnsi" w:eastAsiaTheme="minorHAnsi" w:hAnsiTheme="minorHAnsi" w:cstheme="minorBidi"/>
                <w:bCs/>
                <w:iCs/>
                <w:lang w:val="en-GB"/>
              </w:rPr>
              <w:t xml:space="preserve">Committed facilities (drawn and undrawn)  </w:t>
            </w:r>
          </w:p>
          <w:p w14:paraId="37FEF872" w14:textId="77777777" w:rsidR="00DB2B0B" w:rsidRPr="00DB2B0B" w:rsidRDefault="00DB2B0B" w:rsidP="00DB2B0B">
            <w:pPr>
              <w:numPr>
                <w:ilvl w:val="1"/>
                <w:numId w:val="11"/>
              </w:numPr>
              <w:contextualSpacing/>
              <w:rPr>
                <w:rFonts w:asciiTheme="minorHAnsi" w:eastAsiaTheme="minorHAnsi" w:hAnsiTheme="minorHAnsi" w:cstheme="minorBidi"/>
                <w:bCs/>
                <w:iCs/>
                <w:lang w:val="en-GB"/>
              </w:rPr>
            </w:pPr>
            <w:r w:rsidRPr="00DB2B0B">
              <w:rPr>
                <w:rFonts w:asciiTheme="minorHAnsi" w:eastAsiaTheme="minorHAnsi" w:hAnsiTheme="minorHAnsi" w:cstheme="minorBidi"/>
                <w:bCs/>
                <w:iCs/>
                <w:lang w:val="en-GB"/>
              </w:rPr>
              <w:t xml:space="preserve">Drawn balances under uncommitted facilities  </w:t>
            </w:r>
          </w:p>
          <w:p w14:paraId="4B8E07B4" w14:textId="77777777" w:rsidR="00DB2B0B" w:rsidRPr="00DB2B0B" w:rsidRDefault="00DB2B0B" w:rsidP="00DB2B0B">
            <w:pPr>
              <w:numPr>
                <w:ilvl w:val="1"/>
                <w:numId w:val="11"/>
              </w:numPr>
              <w:contextualSpacing/>
              <w:rPr>
                <w:rFonts w:asciiTheme="minorHAnsi" w:eastAsiaTheme="minorHAnsi" w:hAnsiTheme="minorHAnsi" w:cstheme="minorBidi"/>
                <w:bCs/>
                <w:iCs/>
                <w:lang w:val="en-GB"/>
              </w:rPr>
            </w:pPr>
            <w:r w:rsidRPr="00DB2B0B">
              <w:rPr>
                <w:rFonts w:asciiTheme="minorHAnsi" w:eastAsiaTheme="minorHAnsi" w:hAnsiTheme="minorHAnsi" w:cstheme="minorBidi"/>
                <w:bCs/>
                <w:iCs/>
                <w:lang w:val="en-GB"/>
              </w:rPr>
              <w:t xml:space="preserve">Off balance sheet items (e.g. Letters of Credit)  </w:t>
            </w:r>
          </w:p>
          <w:p w14:paraId="22CA5983" w14:textId="77777777" w:rsidR="00DB2B0B" w:rsidRPr="00DB2B0B" w:rsidRDefault="00DB2B0B" w:rsidP="00DB2B0B">
            <w:pPr>
              <w:numPr>
                <w:ilvl w:val="1"/>
                <w:numId w:val="11"/>
              </w:numPr>
              <w:contextualSpacing/>
              <w:rPr>
                <w:rFonts w:asciiTheme="minorHAnsi" w:eastAsiaTheme="minorHAnsi" w:hAnsiTheme="minorHAnsi" w:cstheme="minorBidi"/>
                <w:bCs/>
                <w:iCs/>
                <w:lang w:val="en-GB"/>
              </w:rPr>
            </w:pPr>
            <w:r w:rsidRPr="00DB2B0B">
              <w:rPr>
                <w:rFonts w:asciiTheme="minorHAnsi" w:eastAsiaTheme="minorHAnsi" w:hAnsiTheme="minorHAnsi" w:cstheme="minorBidi"/>
                <w:bCs/>
                <w:iCs/>
                <w:lang w:val="en-GB"/>
              </w:rPr>
              <w:t>PFE</w:t>
            </w:r>
            <w:r w:rsidRPr="00DB2B0B">
              <w:rPr>
                <w:rFonts w:asciiTheme="minorHAnsi" w:eastAsiaTheme="minorHAnsi" w:hAnsiTheme="minorHAnsi" w:cstheme="minorBidi"/>
                <w:bCs/>
                <w:iCs/>
                <w:vertAlign w:val="superscript"/>
                <w:lang w:val="en-GB"/>
              </w:rPr>
              <w:footnoteReference w:id="8"/>
            </w:r>
            <w:r w:rsidRPr="00DB2B0B">
              <w:rPr>
                <w:rFonts w:asciiTheme="minorHAnsi" w:eastAsiaTheme="minorHAnsi" w:hAnsiTheme="minorHAnsi" w:cstheme="minorBidi"/>
                <w:bCs/>
                <w:iCs/>
                <w:lang w:val="en-GB"/>
              </w:rPr>
              <w:t xml:space="preserve"> (“REC”) for derivatives. </w:t>
            </w:r>
          </w:p>
          <w:p w14:paraId="3AEB5881" w14:textId="47D8B741" w:rsidR="00DB2B0B" w:rsidRPr="00DB2B0B" w:rsidRDefault="00DB2B0B" w:rsidP="00DB2B0B">
            <w:pPr>
              <w:spacing w:after="0" w:line="240" w:lineRule="auto"/>
              <w:rPr>
                <w:bCs/>
                <w:iCs/>
                <w:highlight w:val="yellow"/>
                <w:lang w:val="en-GB"/>
              </w:rPr>
            </w:pPr>
            <w:r w:rsidRPr="00DB2B0B">
              <w:rPr>
                <w:rFonts w:asciiTheme="minorHAnsi" w:eastAsiaTheme="minorHAnsi" w:hAnsiTheme="minorHAnsi" w:cstheme="minorBidi"/>
                <w:bCs/>
                <w:iCs/>
                <w:lang w:val="en-GB"/>
              </w:rPr>
              <w:t>Exposures will be calculated at individual counterparty level and aggregated as required to ultimate parent (economic group) level.</w:t>
            </w:r>
          </w:p>
        </w:tc>
      </w:tr>
      <w:tr w:rsidR="00DB2B0B" w:rsidRPr="00206D41" w14:paraId="2C4DCD1E" w14:textId="77777777" w:rsidTr="003D435B">
        <w:trPr>
          <w:trHeight w:val="433"/>
        </w:trPr>
        <w:tc>
          <w:tcPr>
            <w:tcW w:w="1728" w:type="dxa"/>
            <w:shd w:val="clear" w:color="auto" w:fill="auto"/>
          </w:tcPr>
          <w:p w14:paraId="63E321CC" w14:textId="77777777" w:rsidR="00DB2B0B" w:rsidRPr="00206D41" w:rsidRDefault="00DB2B0B" w:rsidP="003D435B">
            <w:pPr>
              <w:rPr>
                <w:b/>
                <w:bCs/>
                <w:iCs/>
              </w:rPr>
            </w:pPr>
            <w:r>
              <w:rPr>
                <w:b/>
                <w:bCs/>
                <w:iCs/>
              </w:rPr>
              <w:t>RISK TYPE</w:t>
            </w:r>
          </w:p>
        </w:tc>
        <w:tc>
          <w:tcPr>
            <w:tcW w:w="7470" w:type="dxa"/>
            <w:shd w:val="clear" w:color="auto" w:fill="auto"/>
          </w:tcPr>
          <w:p w14:paraId="1B9488B8" w14:textId="77777777" w:rsidR="00DB2B0B" w:rsidRPr="00DB2B0B" w:rsidRDefault="00DB2B0B" w:rsidP="003D435B">
            <w:pPr>
              <w:spacing w:after="0" w:line="240" w:lineRule="auto"/>
              <w:rPr>
                <w:bCs/>
                <w:iCs/>
              </w:rPr>
            </w:pPr>
            <w:r w:rsidRPr="00DB2B0B">
              <w:rPr>
                <w:bCs/>
                <w:iCs/>
              </w:rPr>
              <w:t>Credit Risk</w:t>
            </w:r>
          </w:p>
        </w:tc>
      </w:tr>
      <w:tr w:rsidR="00DB2B0B" w:rsidRPr="00206D41" w14:paraId="34FC768A" w14:textId="77777777" w:rsidTr="003D435B">
        <w:trPr>
          <w:trHeight w:val="433"/>
        </w:trPr>
        <w:tc>
          <w:tcPr>
            <w:tcW w:w="1728" w:type="dxa"/>
            <w:shd w:val="clear" w:color="auto" w:fill="auto"/>
          </w:tcPr>
          <w:p w14:paraId="3FC2BC4F" w14:textId="77777777" w:rsidR="00DB2B0B" w:rsidRDefault="00DB2B0B" w:rsidP="003D435B">
            <w:pPr>
              <w:rPr>
                <w:b/>
                <w:bCs/>
                <w:iCs/>
              </w:rPr>
            </w:pPr>
            <w:r>
              <w:rPr>
                <w:b/>
                <w:bCs/>
                <w:iCs/>
              </w:rPr>
              <w:t>RATIONALE</w:t>
            </w:r>
          </w:p>
        </w:tc>
        <w:tc>
          <w:tcPr>
            <w:tcW w:w="7470" w:type="dxa"/>
            <w:shd w:val="clear" w:color="auto" w:fill="auto"/>
          </w:tcPr>
          <w:p w14:paraId="2CBEF652" w14:textId="5D450E6B" w:rsidR="00DB2B0B" w:rsidRPr="00DB2B0B" w:rsidRDefault="00DB2B0B" w:rsidP="003D435B">
            <w:pPr>
              <w:spacing w:after="0" w:line="240" w:lineRule="auto"/>
              <w:rPr>
                <w:bCs/>
                <w:iCs/>
              </w:rPr>
            </w:pPr>
            <w:r>
              <w:rPr>
                <w:bCs/>
                <w:iCs/>
              </w:rPr>
              <w:t>Limits are sized based on appetite and approved strategic plans.</w:t>
            </w:r>
          </w:p>
        </w:tc>
      </w:tr>
      <w:tr w:rsidR="00DB2B0B" w:rsidRPr="00206D41" w14:paraId="42456787" w14:textId="77777777" w:rsidTr="003D435B">
        <w:trPr>
          <w:trHeight w:val="20"/>
        </w:trPr>
        <w:tc>
          <w:tcPr>
            <w:tcW w:w="1728" w:type="dxa"/>
            <w:shd w:val="clear" w:color="auto" w:fill="auto"/>
          </w:tcPr>
          <w:p w14:paraId="545C624D" w14:textId="77777777" w:rsidR="00DB2B0B" w:rsidRPr="00206D41" w:rsidRDefault="00DB2B0B" w:rsidP="003D435B">
            <w:pPr>
              <w:rPr>
                <w:b/>
                <w:bCs/>
                <w:iCs/>
              </w:rPr>
            </w:pPr>
            <w:r>
              <w:rPr>
                <w:b/>
                <w:bCs/>
                <w:iCs/>
              </w:rPr>
              <w:t>ENTITY</w:t>
            </w:r>
          </w:p>
        </w:tc>
        <w:tc>
          <w:tcPr>
            <w:tcW w:w="7470" w:type="dxa"/>
            <w:shd w:val="clear" w:color="auto" w:fill="auto"/>
          </w:tcPr>
          <w:p w14:paraId="7733F976" w14:textId="77777777" w:rsidR="00DB2B0B" w:rsidRPr="00DB2B0B" w:rsidRDefault="00DB2B0B" w:rsidP="003D435B">
            <w:pPr>
              <w:spacing w:after="0" w:line="240" w:lineRule="auto"/>
              <w:rPr>
                <w:b/>
                <w:bCs/>
                <w:iCs/>
              </w:rPr>
            </w:pPr>
            <w:r w:rsidRPr="00DB2B0B">
              <w:rPr>
                <w:b/>
                <w:bCs/>
                <w:iCs/>
              </w:rPr>
              <w:t>SBNA</w:t>
            </w:r>
          </w:p>
          <w:p w14:paraId="1FF62DBD" w14:textId="77777777" w:rsidR="00DB2B0B" w:rsidRPr="00DB2B0B" w:rsidRDefault="00DB2B0B" w:rsidP="003D435B">
            <w:pPr>
              <w:spacing w:after="0" w:line="240" w:lineRule="auto"/>
              <w:rPr>
                <w:bCs/>
                <w:iCs/>
              </w:rPr>
            </w:pPr>
          </w:p>
        </w:tc>
      </w:tr>
      <w:tr w:rsidR="00DB2B0B" w:rsidRPr="00206D41" w14:paraId="53178611" w14:textId="77777777" w:rsidTr="003D435B">
        <w:trPr>
          <w:trHeight w:val="270"/>
        </w:trPr>
        <w:tc>
          <w:tcPr>
            <w:tcW w:w="1728" w:type="dxa"/>
            <w:shd w:val="clear" w:color="auto" w:fill="auto"/>
          </w:tcPr>
          <w:p w14:paraId="7BA184E6" w14:textId="77777777" w:rsidR="00DB2B0B" w:rsidRPr="00206D41" w:rsidRDefault="00DB2B0B" w:rsidP="003D435B">
            <w:pPr>
              <w:rPr>
                <w:b/>
                <w:bCs/>
                <w:iCs/>
              </w:rPr>
            </w:pPr>
            <w:r>
              <w:rPr>
                <w:rFonts w:asciiTheme="minorHAnsi" w:hAnsiTheme="minorHAnsi"/>
                <w:b/>
                <w:bCs/>
                <w:iCs/>
              </w:rPr>
              <w:t>METRIC PROVIDER</w:t>
            </w:r>
          </w:p>
        </w:tc>
        <w:tc>
          <w:tcPr>
            <w:tcW w:w="7470" w:type="dxa"/>
            <w:shd w:val="clear" w:color="auto" w:fill="auto"/>
          </w:tcPr>
          <w:p w14:paraId="7E746A1B" w14:textId="77777777" w:rsidR="00DB2B0B" w:rsidRPr="00DB2B0B" w:rsidRDefault="00DB2B0B" w:rsidP="003D435B">
            <w:pPr>
              <w:spacing w:after="0" w:line="240" w:lineRule="auto"/>
              <w:rPr>
                <w:bCs/>
                <w:iCs/>
              </w:rPr>
            </w:pPr>
            <w:r w:rsidRPr="00DB2B0B">
              <w:rPr>
                <w:b/>
                <w:bCs/>
                <w:iCs/>
              </w:rPr>
              <w:t xml:space="preserve">SBNA Solvency </w:t>
            </w:r>
          </w:p>
        </w:tc>
      </w:tr>
      <w:tr w:rsidR="00DB2B0B" w:rsidRPr="00206D41" w14:paraId="3F45973D" w14:textId="77777777" w:rsidTr="003D435B">
        <w:trPr>
          <w:trHeight w:val="360"/>
        </w:trPr>
        <w:tc>
          <w:tcPr>
            <w:tcW w:w="1728" w:type="dxa"/>
            <w:shd w:val="clear" w:color="auto" w:fill="auto"/>
          </w:tcPr>
          <w:p w14:paraId="487F288C" w14:textId="77777777" w:rsidR="00DB2B0B" w:rsidRPr="00206D41" w:rsidRDefault="00DB2B0B" w:rsidP="003D435B">
            <w:pPr>
              <w:rPr>
                <w:b/>
                <w:bCs/>
                <w:iCs/>
              </w:rPr>
            </w:pPr>
            <w:r>
              <w:rPr>
                <w:b/>
                <w:bCs/>
                <w:iCs/>
              </w:rPr>
              <w:t>TRIGGER AND LIMIT SETTING</w:t>
            </w:r>
          </w:p>
        </w:tc>
        <w:tc>
          <w:tcPr>
            <w:tcW w:w="7470" w:type="dxa"/>
            <w:shd w:val="clear" w:color="auto" w:fill="auto"/>
          </w:tcPr>
          <w:p w14:paraId="51434BB0" w14:textId="77777777" w:rsidR="00DB2B0B" w:rsidRPr="00DB2B0B" w:rsidRDefault="00DB2B0B" w:rsidP="003D435B">
            <w:pPr>
              <w:spacing w:after="0" w:line="240" w:lineRule="auto"/>
              <w:rPr>
                <w:rFonts w:asciiTheme="minorHAnsi" w:eastAsiaTheme="minorHAnsi" w:hAnsiTheme="minorHAnsi" w:cstheme="minorBidi"/>
                <w:iCs/>
              </w:rPr>
            </w:pPr>
            <w:r w:rsidRPr="00DB2B0B">
              <w:rPr>
                <w:rFonts w:asciiTheme="minorHAnsi" w:eastAsiaTheme="minorHAnsi" w:hAnsiTheme="minorHAnsi" w:cstheme="minorBidi"/>
                <w:iCs/>
              </w:rPr>
              <w:t xml:space="preserve">The amber trigger is anchored as a percentage of CET1+ACL with adjustment; red limit is adjusted up from amber trigger per management discretion. </w:t>
            </w:r>
          </w:p>
          <w:p w14:paraId="1DBB8E0F" w14:textId="77777777" w:rsidR="00DB2B0B" w:rsidRPr="00DB2B0B" w:rsidRDefault="00DB2B0B" w:rsidP="003D435B">
            <w:pPr>
              <w:spacing w:after="0" w:line="240" w:lineRule="auto"/>
              <w:rPr>
                <w:rFonts w:asciiTheme="minorHAnsi" w:eastAsiaTheme="minorHAnsi" w:hAnsiTheme="minorHAnsi" w:cstheme="minorBidi"/>
                <w:iCs/>
              </w:rPr>
            </w:pPr>
          </w:p>
        </w:tc>
      </w:tr>
      <w:tr w:rsidR="00DB2B0B" w:rsidRPr="00206D41" w14:paraId="52C8E6F5" w14:textId="77777777" w:rsidTr="003D435B">
        <w:trPr>
          <w:trHeight w:val="360"/>
        </w:trPr>
        <w:tc>
          <w:tcPr>
            <w:tcW w:w="1728" w:type="dxa"/>
            <w:shd w:val="clear" w:color="auto" w:fill="auto"/>
          </w:tcPr>
          <w:p w14:paraId="6BC7C511" w14:textId="77777777" w:rsidR="00DB2B0B" w:rsidRPr="00206D41" w:rsidRDefault="00DB2B0B" w:rsidP="003D435B">
            <w:pPr>
              <w:rPr>
                <w:b/>
                <w:bCs/>
                <w:iCs/>
              </w:rPr>
            </w:pPr>
            <w:r w:rsidRPr="00931941">
              <w:rPr>
                <w:b/>
                <w:bCs/>
                <w:iCs/>
              </w:rPr>
              <w:t>TESTING FREQUENCY</w:t>
            </w:r>
          </w:p>
        </w:tc>
        <w:tc>
          <w:tcPr>
            <w:tcW w:w="7470" w:type="dxa"/>
            <w:shd w:val="clear" w:color="auto" w:fill="auto"/>
          </w:tcPr>
          <w:p w14:paraId="69E00912" w14:textId="77777777" w:rsidR="00DB2B0B" w:rsidRPr="00DB2B0B" w:rsidRDefault="00DB2B0B" w:rsidP="003D435B">
            <w:pPr>
              <w:spacing w:after="0" w:line="240" w:lineRule="auto"/>
              <w:rPr>
                <w:rFonts w:asciiTheme="minorHAnsi" w:eastAsiaTheme="minorHAnsi" w:hAnsiTheme="minorHAnsi" w:cstheme="minorBidi"/>
                <w:iCs/>
              </w:rPr>
            </w:pPr>
            <w:r w:rsidRPr="00DB2B0B">
              <w:rPr>
                <w:rFonts w:asciiTheme="minorHAnsi" w:eastAsiaTheme="minorHAnsi" w:hAnsiTheme="minorHAnsi" w:cstheme="minorBidi"/>
                <w:iCs/>
              </w:rPr>
              <w:t>Monthly</w:t>
            </w:r>
          </w:p>
        </w:tc>
      </w:tr>
      <w:tr w:rsidR="00DB2B0B" w:rsidRPr="00206D41" w14:paraId="21FA0067" w14:textId="77777777" w:rsidTr="00DB2B0B">
        <w:trPr>
          <w:trHeight w:val="1319"/>
        </w:trPr>
        <w:tc>
          <w:tcPr>
            <w:tcW w:w="1728" w:type="dxa"/>
            <w:shd w:val="clear" w:color="auto" w:fill="auto"/>
          </w:tcPr>
          <w:p w14:paraId="005122AB" w14:textId="77777777" w:rsidR="00DB2B0B" w:rsidRPr="00206D41" w:rsidRDefault="00DB2B0B" w:rsidP="003D435B">
            <w:pPr>
              <w:rPr>
                <w:b/>
                <w:bCs/>
                <w:iCs/>
              </w:rPr>
            </w:pPr>
            <w:r w:rsidRPr="00206D41">
              <w:rPr>
                <w:b/>
                <w:bCs/>
                <w:iCs/>
              </w:rPr>
              <w:t>SOURCE OF INFORMATION</w:t>
            </w:r>
          </w:p>
        </w:tc>
        <w:tc>
          <w:tcPr>
            <w:tcW w:w="7470" w:type="dxa"/>
            <w:shd w:val="clear" w:color="auto" w:fill="auto"/>
          </w:tcPr>
          <w:p w14:paraId="43ABAF8C" w14:textId="77777777" w:rsidR="00DB2B0B" w:rsidRPr="00DB2B0B" w:rsidRDefault="00DB2B0B" w:rsidP="003D435B">
            <w:pPr>
              <w:spacing w:after="0" w:line="240" w:lineRule="auto"/>
              <w:rPr>
                <w:bCs/>
                <w:iCs/>
              </w:rPr>
            </w:pPr>
            <w:r w:rsidRPr="00DB2B0B">
              <w:rPr>
                <w:bCs/>
                <w:iCs/>
              </w:rPr>
              <w:t xml:space="preserve">The information is obtained from CCMIS.  </w:t>
            </w:r>
          </w:p>
          <w:p w14:paraId="2C7A54E5" w14:textId="77777777" w:rsidR="00DB2B0B" w:rsidRPr="00DB2B0B" w:rsidRDefault="00DB2B0B" w:rsidP="003D435B">
            <w:pPr>
              <w:spacing w:after="0" w:line="240" w:lineRule="auto"/>
            </w:pPr>
            <w:r w:rsidRPr="00DB2B0B">
              <w:t>Utilizing the Credit Metric Cube table Sum Binding Exposure by NAICS Code where:</w:t>
            </w:r>
          </w:p>
          <w:p w14:paraId="366A2AD5" w14:textId="666713CC" w:rsidR="00DB2B0B" w:rsidRPr="00DB2B0B" w:rsidRDefault="00DB2B0B" w:rsidP="003D435B">
            <w:pPr>
              <w:pStyle w:val="ListParagraph"/>
              <w:numPr>
                <w:ilvl w:val="0"/>
                <w:numId w:val="54"/>
              </w:numPr>
              <w:spacing w:after="0" w:line="240" w:lineRule="auto"/>
              <w:rPr>
                <w:bCs/>
                <w:iCs/>
              </w:rPr>
            </w:pPr>
            <w:r>
              <w:rPr>
                <w:bCs/>
                <w:iCs/>
              </w:rPr>
              <w:t>xxx</w:t>
            </w:r>
          </w:p>
        </w:tc>
      </w:tr>
    </w:tbl>
    <w:p w14:paraId="6E3241A5" w14:textId="77777777" w:rsidR="00DB2B0B" w:rsidRDefault="00DB2B0B" w:rsidP="006B462C">
      <w:pPr>
        <w:pStyle w:val="SANUS2"/>
        <w:ind w:left="567"/>
        <w:rPr>
          <w:color w:val="000000" w:themeColor="text1"/>
        </w:rPr>
      </w:pPr>
    </w:p>
    <w:p w14:paraId="29276D62" w14:textId="77777777" w:rsidR="00883CD9" w:rsidRPr="002E67A0" w:rsidRDefault="00784F28" w:rsidP="00883CD9">
      <w:pPr>
        <w:pStyle w:val="SANUS2"/>
        <w:numPr>
          <w:ilvl w:val="1"/>
          <w:numId w:val="1"/>
        </w:numPr>
        <w:tabs>
          <w:tab w:val="num" w:pos="540"/>
        </w:tabs>
        <w:ind w:left="567" w:hanging="567"/>
        <w:rPr>
          <w:color w:val="000000" w:themeColor="text1"/>
        </w:rPr>
      </w:pPr>
      <w:bookmarkStart w:id="102" w:name="_Toc452544125"/>
      <w:bookmarkStart w:id="103" w:name="_Toc453849289"/>
      <w:r>
        <w:rPr>
          <w:color w:val="000000" w:themeColor="text1"/>
        </w:rPr>
        <w:t>CRE exposure</w:t>
      </w:r>
      <w:bookmarkEnd w:id="102"/>
      <w:bookmarkEnd w:id="103"/>
    </w:p>
    <w:tbl>
      <w:tblPr>
        <w:tblpPr w:leftFromText="180" w:rightFromText="180" w:vertAnchor="text" w:tblpX="168" w:tblpY="1"/>
        <w:tblOverlap w:val="never"/>
        <w:tblW w:w="9198"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000" w:firstRow="0" w:lastRow="0" w:firstColumn="0" w:lastColumn="0" w:noHBand="0" w:noVBand="0"/>
      </w:tblPr>
      <w:tblGrid>
        <w:gridCol w:w="1728"/>
        <w:gridCol w:w="7470"/>
      </w:tblGrid>
      <w:tr w:rsidR="00883CD9" w:rsidRPr="00206D41" w14:paraId="05F880C8" w14:textId="77777777" w:rsidTr="00FC6780">
        <w:trPr>
          <w:trHeight w:val="347"/>
        </w:trPr>
        <w:tc>
          <w:tcPr>
            <w:tcW w:w="1728" w:type="dxa"/>
            <w:shd w:val="clear" w:color="auto" w:fill="auto"/>
          </w:tcPr>
          <w:p w14:paraId="689C1F4B" w14:textId="77777777" w:rsidR="00883CD9" w:rsidRPr="00206D41" w:rsidRDefault="0004486A" w:rsidP="007E122B">
            <w:pPr>
              <w:rPr>
                <w:b/>
                <w:bCs/>
                <w:iCs/>
              </w:rPr>
            </w:pPr>
            <w:r>
              <w:rPr>
                <w:b/>
                <w:bCs/>
                <w:iCs/>
              </w:rPr>
              <w:t>DEFINITION</w:t>
            </w:r>
          </w:p>
        </w:tc>
        <w:tc>
          <w:tcPr>
            <w:tcW w:w="7470" w:type="dxa"/>
            <w:shd w:val="clear" w:color="auto" w:fill="auto"/>
          </w:tcPr>
          <w:p w14:paraId="48696027" w14:textId="77777777" w:rsidR="00883CD9" w:rsidRDefault="0004486A" w:rsidP="00DF2C0A">
            <w:pPr>
              <w:spacing w:after="0" w:line="240" w:lineRule="auto"/>
              <w:rPr>
                <w:bCs/>
                <w:iCs/>
              </w:rPr>
            </w:pPr>
            <w:r>
              <w:rPr>
                <w:bCs/>
                <w:iCs/>
              </w:rPr>
              <w:t>T</w:t>
            </w:r>
            <w:r w:rsidR="00DF2C0A">
              <w:rPr>
                <w:bCs/>
                <w:iCs/>
              </w:rPr>
              <w:t>he total dollar value of</w:t>
            </w:r>
            <w:r>
              <w:rPr>
                <w:bCs/>
                <w:iCs/>
              </w:rPr>
              <w:t xml:space="preserve"> Commercial Real Estate exposure</w:t>
            </w:r>
            <w:r w:rsidR="00E66FFB">
              <w:rPr>
                <w:bCs/>
                <w:iCs/>
              </w:rPr>
              <w:t>, excluding the exposure to Multifamily real estate</w:t>
            </w:r>
            <w:r w:rsidR="00A04DBB">
              <w:rPr>
                <w:bCs/>
                <w:iCs/>
              </w:rPr>
              <w:t>.</w:t>
            </w:r>
          </w:p>
          <w:p w14:paraId="0D9AA531" w14:textId="77777777" w:rsidR="00A04DBB" w:rsidRDefault="00A04DBB" w:rsidP="00A04DBB">
            <w:pPr>
              <w:contextualSpacing/>
              <w:rPr>
                <w:rFonts w:asciiTheme="minorHAnsi" w:eastAsiaTheme="minorHAnsi" w:hAnsiTheme="minorHAnsi" w:cstheme="minorBidi"/>
                <w:bCs/>
                <w:iCs/>
                <w:lang w:val="en-GB"/>
              </w:rPr>
            </w:pPr>
          </w:p>
          <w:p w14:paraId="00C0074C" w14:textId="77777777" w:rsidR="00A04DBB" w:rsidRDefault="00A04DBB" w:rsidP="00A04DBB">
            <w:pPr>
              <w:contextualSpacing/>
              <w:rPr>
                <w:rFonts w:asciiTheme="minorHAnsi" w:eastAsiaTheme="minorHAnsi" w:hAnsiTheme="minorHAnsi" w:cstheme="minorBidi"/>
                <w:bCs/>
                <w:iCs/>
                <w:lang w:val="en-GB"/>
              </w:rPr>
            </w:pPr>
            <w:r w:rsidRPr="00BF190C">
              <w:rPr>
                <w:rFonts w:asciiTheme="minorHAnsi" w:eastAsiaTheme="minorHAnsi" w:hAnsiTheme="minorHAnsi" w:cstheme="minorBidi"/>
                <w:bCs/>
                <w:iCs/>
                <w:lang w:val="en-GB"/>
              </w:rPr>
              <w:t xml:space="preserve">Exposure </w:t>
            </w:r>
            <w:r>
              <w:rPr>
                <w:rFonts w:asciiTheme="minorHAnsi" w:eastAsiaTheme="minorHAnsi" w:hAnsiTheme="minorHAnsi" w:cstheme="minorBidi"/>
                <w:bCs/>
                <w:iCs/>
                <w:lang w:val="en-GB"/>
              </w:rPr>
              <w:t xml:space="preserve">is defined as </w:t>
            </w:r>
            <w:r w:rsidRPr="00BF190C">
              <w:rPr>
                <w:rFonts w:asciiTheme="minorHAnsi" w:eastAsiaTheme="minorHAnsi" w:hAnsiTheme="minorHAnsi" w:cstheme="minorBidi"/>
                <w:bCs/>
                <w:iCs/>
                <w:lang w:val="en-GB"/>
              </w:rPr>
              <w:t xml:space="preserve">the </w:t>
            </w:r>
            <w:r w:rsidRPr="00BF190C">
              <w:rPr>
                <w:rFonts w:asciiTheme="minorHAnsi" w:eastAsiaTheme="minorHAnsi" w:hAnsiTheme="minorHAnsi" w:cstheme="minorBidi"/>
                <w:bCs/>
                <w:iCs/>
                <w:u w:val="single"/>
                <w:lang w:val="en-GB"/>
              </w:rPr>
              <w:t>sum</w:t>
            </w:r>
            <w:r w:rsidRPr="00BF190C">
              <w:rPr>
                <w:rFonts w:asciiTheme="minorHAnsi" w:eastAsiaTheme="minorHAnsi" w:hAnsiTheme="minorHAnsi" w:cstheme="minorBidi"/>
                <w:bCs/>
                <w:iCs/>
                <w:lang w:val="en-GB"/>
              </w:rPr>
              <w:t xml:space="preserve"> of: </w:t>
            </w:r>
          </w:p>
          <w:p w14:paraId="61E48E74" w14:textId="77777777" w:rsidR="00A04DBB" w:rsidRDefault="00A04DBB" w:rsidP="00AB79BD">
            <w:pPr>
              <w:numPr>
                <w:ilvl w:val="1"/>
                <w:numId w:val="11"/>
              </w:numPr>
              <w:contextualSpacing/>
              <w:rPr>
                <w:rFonts w:asciiTheme="minorHAnsi" w:eastAsiaTheme="minorHAnsi" w:hAnsiTheme="minorHAnsi" w:cstheme="minorBidi"/>
                <w:bCs/>
                <w:iCs/>
                <w:lang w:val="en-GB"/>
              </w:rPr>
            </w:pPr>
            <w:r w:rsidRPr="00BF190C">
              <w:rPr>
                <w:rFonts w:asciiTheme="minorHAnsi" w:eastAsiaTheme="minorHAnsi" w:hAnsiTheme="minorHAnsi" w:cstheme="minorBidi"/>
                <w:bCs/>
                <w:iCs/>
                <w:lang w:val="en-GB"/>
              </w:rPr>
              <w:t xml:space="preserve">Committed facilities (drawn and undrawn)  </w:t>
            </w:r>
          </w:p>
          <w:p w14:paraId="1839D98D" w14:textId="77777777" w:rsidR="00A04DBB" w:rsidRDefault="00A04DBB" w:rsidP="00AB79BD">
            <w:pPr>
              <w:numPr>
                <w:ilvl w:val="1"/>
                <w:numId w:val="11"/>
              </w:numPr>
              <w:contextualSpacing/>
              <w:rPr>
                <w:rFonts w:asciiTheme="minorHAnsi" w:eastAsiaTheme="minorHAnsi" w:hAnsiTheme="minorHAnsi" w:cstheme="minorBidi"/>
                <w:bCs/>
                <w:iCs/>
                <w:lang w:val="en-GB"/>
              </w:rPr>
            </w:pPr>
            <w:r>
              <w:rPr>
                <w:rFonts w:asciiTheme="minorHAnsi" w:eastAsiaTheme="minorHAnsi" w:hAnsiTheme="minorHAnsi" w:cstheme="minorBidi"/>
                <w:bCs/>
                <w:iCs/>
                <w:lang w:val="en-GB"/>
              </w:rPr>
              <w:t>D</w:t>
            </w:r>
            <w:r w:rsidRPr="00BF190C">
              <w:rPr>
                <w:rFonts w:asciiTheme="minorHAnsi" w:eastAsiaTheme="minorHAnsi" w:hAnsiTheme="minorHAnsi" w:cstheme="minorBidi"/>
                <w:bCs/>
                <w:iCs/>
                <w:lang w:val="en-GB"/>
              </w:rPr>
              <w:t>rawn</w:t>
            </w:r>
            <w:r>
              <w:rPr>
                <w:rFonts w:asciiTheme="minorHAnsi" w:eastAsiaTheme="minorHAnsi" w:hAnsiTheme="minorHAnsi" w:cstheme="minorBidi"/>
                <w:bCs/>
                <w:iCs/>
                <w:lang w:val="en-GB"/>
              </w:rPr>
              <w:t xml:space="preserve"> balances</w:t>
            </w:r>
            <w:r w:rsidRPr="00BF190C">
              <w:rPr>
                <w:rFonts w:asciiTheme="minorHAnsi" w:eastAsiaTheme="minorHAnsi" w:hAnsiTheme="minorHAnsi" w:cstheme="minorBidi"/>
                <w:bCs/>
                <w:iCs/>
                <w:lang w:val="en-GB"/>
              </w:rPr>
              <w:t xml:space="preserve"> under uncommitted facilities  </w:t>
            </w:r>
          </w:p>
          <w:p w14:paraId="7E5BBA41" w14:textId="77777777" w:rsidR="00A04DBB" w:rsidRDefault="00A04DBB" w:rsidP="00AB79BD">
            <w:pPr>
              <w:numPr>
                <w:ilvl w:val="1"/>
                <w:numId w:val="11"/>
              </w:numPr>
              <w:contextualSpacing/>
              <w:rPr>
                <w:rFonts w:asciiTheme="minorHAnsi" w:eastAsiaTheme="minorHAnsi" w:hAnsiTheme="minorHAnsi" w:cstheme="minorBidi"/>
                <w:bCs/>
                <w:iCs/>
                <w:lang w:val="en-GB"/>
              </w:rPr>
            </w:pPr>
            <w:r>
              <w:rPr>
                <w:rFonts w:asciiTheme="minorHAnsi" w:eastAsiaTheme="minorHAnsi" w:hAnsiTheme="minorHAnsi" w:cstheme="minorBidi"/>
                <w:bCs/>
                <w:iCs/>
                <w:lang w:val="en-GB"/>
              </w:rPr>
              <w:t>O</w:t>
            </w:r>
            <w:r w:rsidRPr="00BF190C">
              <w:rPr>
                <w:rFonts w:asciiTheme="minorHAnsi" w:eastAsiaTheme="minorHAnsi" w:hAnsiTheme="minorHAnsi" w:cstheme="minorBidi"/>
                <w:bCs/>
                <w:iCs/>
                <w:lang w:val="en-GB"/>
              </w:rPr>
              <w:t xml:space="preserve">ff balance sheet items (e.g. Letters of Credit)  </w:t>
            </w:r>
          </w:p>
          <w:p w14:paraId="20054D1F" w14:textId="77777777" w:rsidR="00A04DBB" w:rsidRDefault="00A04DBB" w:rsidP="00AB79BD">
            <w:pPr>
              <w:numPr>
                <w:ilvl w:val="1"/>
                <w:numId w:val="11"/>
              </w:numPr>
              <w:contextualSpacing/>
              <w:rPr>
                <w:rFonts w:asciiTheme="minorHAnsi" w:eastAsiaTheme="minorHAnsi" w:hAnsiTheme="minorHAnsi" w:cstheme="minorBidi"/>
                <w:bCs/>
                <w:iCs/>
                <w:lang w:val="en-GB"/>
              </w:rPr>
            </w:pPr>
            <w:r w:rsidRPr="00BF190C">
              <w:rPr>
                <w:rFonts w:asciiTheme="minorHAnsi" w:eastAsiaTheme="minorHAnsi" w:hAnsiTheme="minorHAnsi" w:cstheme="minorBidi"/>
                <w:bCs/>
                <w:iCs/>
                <w:lang w:val="en-GB"/>
              </w:rPr>
              <w:t>PFE</w:t>
            </w:r>
            <w:r w:rsidRPr="00BF190C">
              <w:rPr>
                <w:rFonts w:asciiTheme="minorHAnsi" w:eastAsiaTheme="minorHAnsi" w:hAnsiTheme="minorHAnsi" w:cstheme="minorBidi"/>
                <w:bCs/>
                <w:iCs/>
                <w:vertAlign w:val="superscript"/>
                <w:lang w:val="en-GB"/>
              </w:rPr>
              <w:footnoteReference w:id="9"/>
            </w:r>
            <w:r w:rsidRPr="00BF190C">
              <w:rPr>
                <w:rFonts w:asciiTheme="minorHAnsi" w:eastAsiaTheme="minorHAnsi" w:hAnsiTheme="minorHAnsi" w:cstheme="minorBidi"/>
                <w:bCs/>
                <w:iCs/>
                <w:lang w:val="en-GB"/>
              </w:rPr>
              <w:t xml:space="preserve"> (“REC”) for derivatives. </w:t>
            </w:r>
          </w:p>
          <w:p w14:paraId="066C5B55" w14:textId="77777777" w:rsidR="00A04DBB" w:rsidRPr="00206D41" w:rsidRDefault="00A04DBB" w:rsidP="00AB7F7D">
            <w:pPr>
              <w:spacing w:after="0" w:line="240" w:lineRule="auto"/>
              <w:rPr>
                <w:bCs/>
                <w:iCs/>
              </w:rPr>
            </w:pPr>
            <w:r w:rsidRPr="00BF190C">
              <w:rPr>
                <w:rFonts w:asciiTheme="minorHAnsi" w:eastAsiaTheme="minorHAnsi" w:hAnsiTheme="minorHAnsi" w:cstheme="minorBidi"/>
                <w:bCs/>
                <w:iCs/>
                <w:lang w:val="en-GB"/>
              </w:rPr>
              <w:t>Exposures will be calculated at individual counterparty level and aggregated as required to ultimate parent (economic group) level</w:t>
            </w:r>
            <w:r w:rsidR="00AB7F7D">
              <w:rPr>
                <w:rFonts w:asciiTheme="minorHAnsi" w:eastAsiaTheme="minorHAnsi" w:hAnsiTheme="minorHAnsi" w:cstheme="minorBidi"/>
                <w:bCs/>
                <w:iCs/>
                <w:lang w:val="en-GB"/>
              </w:rPr>
              <w:t>.</w:t>
            </w:r>
          </w:p>
        </w:tc>
      </w:tr>
      <w:tr w:rsidR="0004486A" w:rsidRPr="00206D41" w14:paraId="1231C43C" w14:textId="77777777" w:rsidTr="00FC6780">
        <w:trPr>
          <w:trHeight w:val="448"/>
        </w:trPr>
        <w:tc>
          <w:tcPr>
            <w:tcW w:w="1728" w:type="dxa"/>
            <w:shd w:val="clear" w:color="auto" w:fill="auto"/>
          </w:tcPr>
          <w:p w14:paraId="29713546" w14:textId="77777777" w:rsidR="0004486A" w:rsidRPr="00206D41" w:rsidRDefault="0004486A" w:rsidP="007E122B">
            <w:pPr>
              <w:rPr>
                <w:b/>
                <w:bCs/>
                <w:iCs/>
              </w:rPr>
            </w:pPr>
            <w:r>
              <w:rPr>
                <w:b/>
                <w:bCs/>
                <w:iCs/>
              </w:rPr>
              <w:t>RISK TYPE</w:t>
            </w:r>
          </w:p>
        </w:tc>
        <w:tc>
          <w:tcPr>
            <w:tcW w:w="7470" w:type="dxa"/>
            <w:shd w:val="clear" w:color="auto" w:fill="auto"/>
          </w:tcPr>
          <w:p w14:paraId="7715963E" w14:textId="77777777" w:rsidR="0004486A" w:rsidRPr="00206D41" w:rsidRDefault="0004486A" w:rsidP="007E122B">
            <w:pPr>
              <w:spacing w:after="0" w:line="240" w:lineRule="auto"/>
              <w:rPr>
                <w:bCs/>
                <w:iCs/>
              </w:rPr>
            </w:pPr>
            <w:r>
              <w:rPr>
                <w:bCs/>
                <w:iCs/>
              </w:rPr>
              <w:t>Credit Risk</w:t>
            </w:r>
          </w:p>
        </w:tc>
      </w:tr>
      <w:tr w:rsidR="00A57A2A" w:rsidRPr="00206D41" w14:paraId="67A914F5" w14:textId="77777777" w:rsidTr="00FC6780">
        <w:trPr>
          <w:trHeight w:val="448"/>
        </w:trPr>
        <w:tc>
          <w:tcPr>
            <w:tcW w:w="1728" w:type="dxa"/>
            <w:shd w:val="clear" w:color="auto" w:fill="auto"/>
          </w:tcPr>
          <w:p w14:paraId="1A41E114" w14:textId="77777777" w:rsidR="00A57A2A" w:rsidRDefault="00A57A2A" w:rsidP="007E122B">
            <w:pPr>
              <w:rPr>
                <w:b/>
                <w:bCs/>
                <w:iCs/>
              </w:rPr>
            </w:pPr>
            <w:r>
              <w:rPr>
                <w:b/>
                <w:bCs/>
                <w:iCs/>
              </w:rPr>
              <w:t>RATIONALE</w:t>
            </w:r>
          </w:p>
        </w:tc>
        <w:tc>
          <w:tcPr>
            <w:tcW w:w="7470" w:type="dxa"/>
            <w:shd w:val="clear" w:color="auto" w:fill="auto"/>
          </w:tcPr>
          <w:p w14:paraId="6C648757" w14:textId="77777777" w:rsidR="00A57A2A" w:rsidRDefault="000864B0" w:rsidP="000864B0">
            <w:pPr>
              <w:spacing w:after="0" w:line="240" w:lineRule="auto"/>
              <w:rPr>
                <w:bCs/>
                <w:iCs/>
              </w:rPr>
            </w:pPr>
            <w:r w:rsidRPr="000864B0">
              <w:rPr>
                <w:bCs/>
                <w:iCs/>
              </w:rPr>
              <w:t>CRE</w:t>
            </w:r>
            <w:r>
              <w:rPr>
                <w:bCs/>
                <w:iCs/>
              </w:rPr>
              <w:t xml:space="preserve"> is an important metric</w:t>
            </w:r>
            <w:r w:rsidRPr="000864B0">
              <w:rPr>
                <w:bCs/>
                <w:iCs/>
              </w:rPr>
              <w:t xml:space="preserve"> to track in the</w:t>
            </w:r>
            <w:r>
              <w:rPr>
                <w:bCs/>
                <w:iCs/>
              </w:rPr>
              <w:t xml:space="preserve"> RAS given its large exposure; cascaded from Group</w:t>
            </w:r>
          </w:p>
        </w:tc>
      </w:tr>
      <w:tr w:rsidR="001553CE" w:rsidRPr="00206D41" w14:paraId="4B4E79B2" w14:textId="77777777" w:rsidTr="00564499">
        <w:trPr>
          <w:trHeight w:val="270"/>
        </w:trPr>
        <w:tc>
          <w:tcPr>
            <w:tcW w:w="1728" w:type="dxa"/>
            <w:shd w:val="clear" w:color="auto" w:fill="auto"/>
          </w:tcPr>
          <w:p w14:paraId="5C95DAB0" w14:textId="77777777" w:rsidR="001553CE" w:rsidRPr="00206D41" w:rsidRDefault="001553CE" w:rsidP="00656906">
            <w:pPr>
              <w:rPr>
                <w:b/>
                <w:bCs/>
                <w:iCs/>
              </w:rPr>
            </w:pPr>
            <w:r>
              <w:rPr>
                <w:b/>
                <w:bCs/>
                <w:iCs/>
              </w:rPr>
              <w:t>ENTITY</w:t>
            </w:r>
          </w:p>
        </w:tc>
        <w:tc>
          <w:tcPr>
            <w:tcW w:w="7470" w:type="dxa"/>
            <w:shd w:val="clear" w:color="auto" w:fill="auto"/>
          </w:tcPr>
          <w:p w14:paraId="42AB93B6" w14:textId="1B548A36" w:rsidR="001553CE" w:rsidRPr="001553CE" w:rsidRDefault="001553CE" w:rsidP="00656906">
            <w:pPr>
              <w:spacing w:after="0" w:line="240" w:lineRule="auto"/>
              <w:rPr>
                <w:b/>
                <w:bCs/>
                <w:iCs/>
              </w:rPr>
            </w:pPr>
            <w:r w:rsidRPr="0004486A">
              <w:rPr>
                <w:b/>
                <w:bCs/>
                <w:iCs/>
              </w:rPr>
              <w:t>SBNA</w:t>
            </w:r>
          </w:p>
        </w:tc>
      </w:tr>
      <w:tr w:rsidR="001553CE" w:rsidRPr="00206D41" w14:paraId="7A8B819A" w14:textId="77777777" w:rsidTr="00564499">
        <w:trPr>
          <w:trHeight w:val="270"/>
        </w:trPr>
        <w:tc>
          <w:tcPr>
            <w:tcW w:w="1728" w:type="dxa"/>
            <w:shd w:val="clear" w:color="auto" w:fill="auto"/>
          </w:tcPr>
          <w:p w14:paraId="14156AE9" w14:textId="380C587E" w:rsidR="001553CE" w:rsidRPr="00206D41" w:rsidRDefault="00511F11" w:rsidP="00656906">
            <w:pPr>
              <w:rPr>
                <w:b/>
                <w:bCs/>
                <w:iCs/>
              </w:rPr>
            </w:pPr>
            <w:r>
              <w:rPr>
                <w:rFonts w:asciiTheme="minorHAnsi" w:hAnsiTheme="minorHAnsi"/>
                <w:b/>
                <w:bCs/>
                <w:iCs/>
              </w:rPr>
              <w:t>METRIC PROVIDER</w:t>
            </w:r>
          </w:p>
        </w:tc>
        <w:tc>
          <w:tcPr>
            <w:tcW w:w="7470" w:type="dxa"/>
            <w:shd w:val="clear" w:color="auto" w:fill="auto"/>
          </w:tcPr>
          <w:p w14:paraId="5D32A25C" w14:textId="42D1DE0D" w:rsidR="001553CE" w:rsidRPr="00206D41" w:rsidRDefault="001553CE" w:rsidP="00656906">
            <w:pPr>
              <w:spacing w:after="0" w:line="240" w:lineRule="auto"/>
              <w:rPr>
                <w:bCs/>
                <w:iCs/>
              </w:rPr>
            </w:pPr>
            <w:r>
              <w:rPr>
                <w:b/>
                <w:bCs/>
                <w:iCs/>
              </w:rPr>
              <w:t xml:space="preserve">SBNA Solvency </w:t>
            </w:r>
          </w:p>
        </w:tc>
      </w:tr>
      <w:tr w:rsidR="00656906" w:rsidRPr="00206D41" w14:paraId="358799F7" w14:textId="77777777" w:rsidTr="00FC6780">
        <w:trPr>
          <w:trHeight w:val="360"/>
        </w:trPr>
        <w:tc>
          <w:tcPr>
            <w:tcW w:w="1728" w:type="dxa"/>
            <w:shd w:val="clear" w:color="auto" w:fill="auto"/>
          </w:tcPr>
          <w:p w14:paraId="53BB3CBF" w14:textId="77777777" w:rsidR="00656906" w:rsidRPr="00206D41" w:rsidRDefault="00656906" w:rsidP="00FC6780">
            <w:pPr>
              <w:rPr>
                <w:b/>
                <w:bCs/>
                <w:iCs/>
              </w:rPr>
            </w:pPr>
            <w:r>
              <w:rPr>
                <w:b/>
                <w:bCs/>
                <w:iCs/>
              </w:rPr>
              <w:t>TRIGGER AND LIMIT SETTING</w:t>
            </w:r>
          </w:p>
        </w:tc>
        <w:tc>
          <w:tcPr>
            <w:tcW w:w="7470" w:type="dxa"/>
            <w:shd w:val="clear" w:color="auto" w:fill="auto"/>
          </w:tcPr>
          <w:p w14:paraId="2B161462" w14:textId="77777777" w:rsidR="001553CE" w:rsidRDefault="001553CE" w:rsidP="001553CE">
            <w:pPr>
              <w:spacing w:after="0" w:line="240" w:lineRule="auto"/>
              <w:rPr>
                <w:rFonts w:asciiTheme="minorHAnsi" w:eastAsiaTheme="minorHAnsi" w:hAnsiTheme="minorHAnsi" w:cstheme="minorBidi"/>
                <w:iCs/>
              </w:rPr>
            </w:pPr>
            <w:r>
              <w:rPr>
                <w:rFonts w:asciiTheme="minorHAnsi" w:eastAsiaTheme="minorHAnsi" w:hAnsiTheme="minorHAnsi" w:cstheme="minorBidi"/>
                <w:iCs/>
              </w:rPr>
              <w:t xml:space="preserve">The amber trigger is anchored as a percentage of CET1+ACL with adjustment; red limit is adjusted up from amber trigger per management discretion. </w:t>
            </w:r>
          </w:p>
          <w:p w14:paraId="5FCC23D5" w14:textId="77777777" w:rsidR="00656906" w:rsidRDefault="00656906" w:rsidP="00656906">
            <w:pPr>
              <w:spacing w:after="0" w:line="240" w:lineRule="auto"/>
              <w:rPr>
                <w:rFonts w:asciiTheme="minorHAnsi" w:eastAsiaTheme="minorHAnsi" w:hAnsiTheme="minorHAnsi" w:cstheme="minorBidi"/>
                <w:iCs/>
              </w:rPr>
            </w:pPr>
          </w:p>
        </w:tc>
      </w:tr>
      <w:tr w:rsidR="00656906" w:rsidRPr="00206D41" w14:paraId="5A5EC931" w14:textId="77777777" w:rsidTr="00FC6780">
        <w:trPr>
          <w:cantSplit/>
          <w:trHeight w:val="360"/>
        </w:trPr>
        <w:tc>
          <w:tcPr>
            <w:tcW w:w="1728" w:type="dxa"/>
            <w:shd w:val="clear" w:color="auto" w:fill="auto"/>
          </w:tcPr>
          <w:p w14:paraId="2E2A6EAD" w14:textId="77777777" w:rsidR="00656906" w:rsidRPr="00206D41" w:rsidRDefault="00656906" w:rsidP="00FC6780">
            <w:pPr>
              <w:rPr>
                <w:b/>
                <w:bCs/>
                <w:iCs/>
              </w:rPr>
            </w:pPr>
            <w:r w:rsidRPr="00931941">
              <w:rPr>
                <w:b/>
                <w:bCs/>
                <w:iCs/>
              </w:rPr>
              <w:t>TESTING FREQUENCY</w:t>
            </w:r>
          </w:p>
        </w:tc>
        <w:tc>
          <w:tcPr>
            <w:tcW w:w="7470" w:type="dxa"/>
            <w:shd w:val="clear" w:color="auto" w:fill="auto"/>
          </w:tcPr>
          <w:p w14:paraId="2CE4A370" w14:textId="77777777" w:rsidR="00656906" w:rsidRPr="002E67A0" w:rsidRDefault="00656906" w:rsidP="00656906">
            <w:pPr>
              <w:spacing w:after="0" w:line="240" w:lineRule="auto"/>
              <w:rPr>
                <w:rFonts w:asciiTheme="minorHAnsi" w:eastAsiaTheme="minorHAnsi" w:hAnsiTheme="minorHAnsi" w:cstheme="minorBidi"/>
                <w:iCs/>
              </w:rPr>
            </w:pPr>
            <w:r>
              <w:rPr>
                <w:rFonts w:asciiTheme="minorHAnsi" w:eastAsiaTheme="minorHAnsi" w:hAnsiTheme="minorHAnsi" w:cstheme="minorBidi"/>
                <w:iCs/>
              </w:rPr>
              <w:t>Monthly</w:t>
            </w:r>
          </w:p>
        </w:tc>
      </w:tr>
      <w:tr w:rsidR="00656906" w:rsidRPr="00206D41" w14:paraId="532661CF" w14:textId="77777777" w:rsidTr="00FC6780">
        <w:trPr>
          <w:trHeight w:val="650"/>
        </w:trPr>
        <w:tc>
          <w:tcPr>
            <w:tcW w:w="1728" w:type="dxa"/>
            <w:shd w:val="clear" w:color="auto" w:fill="auto"/>
          </w:tcPr>
          <w:p w14:paraId="01593DE9" w14:textId="77777777" w:rsidR="00656906" w:rsidRPr="00206D41" w:rsidRDefault="00656906" w:rsidP="00656906">
            <w:pPr>
              <w:rPr>
                <w:b/>
                <w:bCs/>
                <w:iCs/>
              </w:rPr>
            </w:pPr>
            <w:r w:rsidRPr="00206D41">
              <w:rPr>
                <w:b/>
                <w:bCs/>
                <w:iCs/>
              </w:rPr>
              <w:t>SOURCE OF INFORMATION</w:t>
            </w:r>
          </w:p>
        </w:tc>
        <w:tc>
          <w:tcPr>
            <w:tcW w:w="7470" w:type="dxa"/>
            <w:shd w:val="clear" w:color="auto" w:fill="auto"/>
          </w:tcPr>
          <w:p w14:paraId="57A8D6B4" w14:textId="77777777" w:rsidR="00656906" w:rsidRDefault="00656906" w:rsidP="00656906">
            <w:pPr>
              <w:spacing w:after="0" w:line="240" w:lineRule="auto"/>
            </w:pPr>
            <w:r w:rsidRPr="00BE360D">
              <w:t xml:space="preserve">CRE is defined as all Investor/Developer Commercial Real Estate (CRE) exposure, excluding exposure classified as Multifamily property type. </w:t>
            </w:r>
          </w:p>
          <w:p w14:paraId="0341A70A" w14:textId="77777777" w:rsidR="00656906" w:rsidRPr="00BE360D" w:rsidRDefault="00656906" w:rsidP="00656906">
            <w:pPr>
              <w:spacing w:after="0" w:line="240" w:lineRule="auto"/>
            </w:pPr>
            <w:r w:rsidRPr="00BE360D">
              <w:t>In the CCMIS database, Investor/Developer CRE is defined the following way:</w:t>
            </w:r>
          </w:p>
          <w:p w14:paraId="08B1DBF0" w14:textId="77777777" w:rsidR="00656906" w:rsidRDefault="00656906" w:rsidP="00656906">
            <w:pPr>
              <w:pStyle w:val="ListParagraph"/>
              <w:numPr>
                <w:ilvl w:val="0"/>
                <w:numId w:val="55"/>
              </w:numPr>
              <w:spacing w:after="0" w:line="240" w:lineRule="auto"/>
            </w:pPr>
            <w:r>
              <w:t>Utilizing the Concentration Detail Expanded table Sum Binding Exposure where:</w:t>
            </w:r>
          </w:p>
          <w:p w14:paraId="2A4F4D99" w14:textId="77777777" w:rsidR="00656906" w:rsidRPr="00BE360D" w:rsidRDefault="00656906" w:rsidP="00656906">
            <w:pPr>
              <w:pStyle w:val="ListParagraph"/>
              <w:numPr>
                <w:ilvl w:val="0"/>
                <w:numId w:val="56"/>
              </w:numPr>
              <w:spacing w:after="0" w:line="240" w:lineRule="auto"/>
            </w:pPr>
            <w:r w:rsidRPr="00BE360D">
              <w:t>Segment = “CRE” or “SREC” or “CCRC”</w:t>
            </w:r>
          </w:p>
          <w:p w14:paraId="3F60B506" w14:textId="77777777" w:rsidR="00656906" w:rsidRPr="00BE360D" w:rsidRDefault="00656906" w:rsidP="00656906">
            <w:pPr>
              <w:pStyle w:val="ListParagraph"/>
              <w:numPr>
                <w:ilvl w:val="0"/>
                <w:numId w:val="56"/>
              </w:numPr>
              <w:spacing w:after="0" w:line="240" w:lineRule="auto"/>
            </w:pPr>
            <w:r w:rsidRPr="00BE360D">
              <w:t xml:space="preserve">Or, GL Category = “CRE” or “Multi” and Investor Classification &lt;&gt; “Owner Occupied RE” </w:t>
            </w:r>
          </w:p>
          <w:p w14:paraId="7C0D7896" w14:textId="77777777" w:rsidR="00656906" w:rsidRPr="00BE360D" w:rsidRDefault="00656906" w:rsidP="00656906">
            <w:pPr>
              <w:spacing w:after="0" w:line="240" w:lineRule="auto"/>
            </w:pPr>
            <w:r>
              <w:t>and</w:t>
            </w:r>
          </w:p>
          <w:p w14:paraId="2BD80D14" w14:textId="77777777" w:rsidR="00656906" w:rsidRPr="00BE360D" w:rsidRDefault="00656906" w:rsidP="00656906">
            <w:pPr>
              <w:pStyle w:val="ListParagraph"/>
              <w:numPr>
                <w:ilvl w:val="0"/>
                <w:numId w:val="59"/>
              </w:numPr>
              <w:spacing w:after="0" w:line="240" w:lineRule="auto"/>
            </w:pPr>
            <w:r w:rsidRPr="00BE360D">
              <w:t xml:space="preserve">Retype </w:t>
            </w:r>
            <w:r>
              <w:t>&lt;&gt;</w:t>
            </w:r>
            <w:r w:rsidRPr="00BE360D">
              <w:t xml:space="preserve"> Multifamily</w:t>
            </w:r>
          </w:p>
          <w:p w14:paraId="49621758" w14:textId="4A7F0BD5" w:rsidR="00656906" w:rsidRPr="001553CE" w:rsidRDefault="00656906" w:rsidP="001553CE">
            <w:pPr>
              <w:pStyle w:val="ListParagraph"/>
              <w:numPr>
                <w:ilvl w:val="0"/>
                <w:numId w:val="55"/>
              </w:numPr>
              <w:spacing w:after="0" w:line="240" w:lineRule="auto"/>
              <w:rPr>
                <w:bCs/>
                <w:iCs/>
              </w:rPr>
            </w:pPr>
            <w:r w:rsidRPr="0095495D">
              <w:rPr>
                <w:bCs/>
                <w:iCs/>
              </w:rPr>
              <w:t xml:space="preserve">Note, PFE is not currently included as the calibration of limits did </w:t>
            </w:r>
            <w:r>
              <w:rPr>
                <w:bCs/>
                <w:iCs/>
              </w:rPr>
              <w:t>not take PFE into consideration</w:t>
            </w:r>
          </w:p>
        </w:tc>
      </w:tr>
    </w:tbl>
    <w:p w14:paraId="15EE1E7F" w14:textId="77777777" w:rsidR="001553CE" w:rsidRDefault="001553CE" w:rsidP="001553CE">
      <w:pPr>
        <w:pStyle w:val="SANUS2"/>
        <w:rPr>
          <w:color w:val="000000" w:themeColor="text1"/>
        </w:rPr>
      </w:pPr>
      <w:bookmarkStart w:id="104" w:name="_Toc452544127"/>
    </w:p>
    <w:p w14:paraId="0919D42F" w14:textId="16948EB6" w:rsidR="001553CE" w:rsidRPr="001553CE" w:rsidRDefault="001553CE" w:rsidP="00E21A3C">
      <w:pPr>
        <w:pStyle w:val="SANUS2"/>
        <w:numPr>
          <w:ilvl w:val="1"/>
          <w:numId w:val="1"/>
        </w:numPr>
        <w:tabs>
          <w:tab w:val="num" w:pos="540"/>
        </w:tabs>
        <w:ind w:left="567" w:hanging="567"/>
        <w:rPr>
          <w:color w:val="000000" w:themeColor="text1"/>
        </w:rPr>
      </w:pPr>
      <w:bookmarkStart w:id="105" w:name="_Toc453849290"/>
      <w:r>
        <w:rPr>
          <w:color w:val="000000" w:themeColor="text1"/>
        </w:rPr>
        <w:t>Multifamily exposure</w:t>
      </w:r>
      <w:bookmarkEnd w:id="104"/>
      <w:bookmarkEnd w:id="105"/>
    </w:p>
    <w:tbl>
      <w:tblPr>
        <w:tblpPr w:leftFromText="180" w:rightFromText="180" w:vertAnchor="text" w:tblpX="168" w:tblpY="1"/>
        <w:tblOverlap w:val="never"/>
        <w:tblW w:w="9198"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000" w:firstRow="0" w:lastRow="0" w:firstColumn="0" w:lastColumn="0" w:noHBand="0" w:noVBand="0"/>
      </w:tblPr>
      <w:tblGrid>
        <w:gridCol w:w="1728"/>
        <w:gridCol w:w="7470"/>
      </w:tblGrid>
      <w:tr w:rsidR="001553CE" w:rsidRPr="00206D41" w14:paraId="7734B3E3" w14:textId="77777777" w:rsidTr="00564499">
        <w:trPr>
          <w:trHeight w:val="347"/>
        </w:trPr>
        <w:tc>
          <w:tcPr>
            <w:tcW w:w="1728" w:type="dxa"/>
            <w:shd w:val="clear" w:color="auto" w:fill="auto"/>
          </w:tcPr>
          <w:p w14:paraId="0816723D" w14:textId="77777777" w:rsidR="001553CE" w:rsidRPr="00206D41" w:rsidRDefault="001553CE" w:rsidP="00564499">
            <w:pPr>
              <w:rPr>
                <w:b/>
                <w:bCs/>
                <w:iCs/>
              </w:rPr>
            </w:pPr>
            <w:r>
              <w:rPr>
                <w:b/>
                <w:bCs/>
                <w:iCs/>
              </w:rPr>
              <w:t xml:space="preserve">DEFINITION </w:t>
            </w:r>
          </w:p>
        </w:tc>
        <w:tc>
          <w:tcPr>
            <w:tcW w:w="7470" w:type="dxa"/>
            <w:shd w:val="clear" w:color="auto" w:fill="auto"/>
          </w:tcPr>
          <w:p w14:paraId="60294229" w14:textId="77777777" w:rsidR="001553CE" w:rsidRDefault="001553CE" w:rsidP="00564499">
            <w:pPr>
              <w:spacing w:after="0" w:line="240" w:lineRule="auto"/>
              <w:rPr>
                <w:bCs/>
                <w:iCs/>
              </w:rPr>
            </w:pPr>
            <w:r>
              <w:rPr>
                <w:bCs/>
                <w:iCs/>
              </w:rPr>
              <w:t>The total dollar value of Multifamily real estate exposure.</w:t>
            </w:r>
          </w:p>
          <w:p w14:paraId="29DBFAFC" w14:textId="77777777" w:rsidR="001553CE" w:rsidRDefault="001553CE" w:rsidP="00564499">
            <w:pPr>
              <w:spacing w:after="0" w:line="240" w:lineRule="auto"/>
              <w:rPr>
                <w:bCs/>
                <w:iCs/>
              </w:rPr>
            </w:pPr>
          </w:p>
          <w:p w14:paraId="77385216" w14:textId="77777777" w:rsidR="001553CE" w:rsidRDefault="001553CE" w:rsidP="00564499">
            <w:pPr>
              <w:contextualSpacing/>
              <w:rPr>
                <w:rFonts w:asciiTheme="minorHAnsi" w:eastAsiaTheme="minorHAnsi" w:hAnsiTheme="minorHAnsi" w:cstheme="minorBidi"/>
                <w:bCs/>
                <w:iCs/>
                <w:lang w:val="en-GB"/>
              </w:rPr>
            </w:pPr>
            <w:r w:rsidRPr="00BF190C">
              <w:rPr>
                <w:rFonts w:asciiTheme="minorHAnsi" w:eastAsiaTheme="minorHAnsi" w:hAnsiTheme="minorHAnsi" w:cstheme="minorBidi"/>
                <w:bCs/>
                <w:iCs/>
                <w:lang w:val="en-GB"/>
              </w:rPr>
              <w:t xml:space="preserve">Exposure </w:t>
            </w:r>
            <w:r>
              <w:rPr>
                <w:rFonts w:asciiTheme="minorHAnsi" w:eastAsiaTheme="minorHAnsi" w:hAnsiTheme="minorHAnsi" w:cstheme="minorBidi"/>
                <w:bCs/>
                <w:iCs/>
                <w:lang w:val="en-GB"/>
              </w:rPr>
              <w:t xml:space="preserve">is defined as </w:t>
            </w:r>
            <w:r w:rsidRPr="00BF190C">
              <w:rPr>
                <w:rFonts w:asciiTheme="minorHAnsi" w:eastAsiaTheme="minorHAnsi" w:hAnsiTheme="minorHAnsi" w:cstheme="minorBidi"/>
                <w:bCs/>
                <w:iCs/>
                <w:lang w:val="en-GB"/>
              </w:rPr>
              <w:t xml:space="preserve">the </w:t>
            </w:r>
            <w:r w:rsidRPr="00BF190C">
              <w:rPr>
                <w:rFonts w:asciiTheme="minorHAnsi" w:eastAsiaTheme="minorHAnsi" w:hAnsiTheme="minorHAnsi" w:cstheme="minorBidi"/>
                <w:bCs/>
                <w:iCs/>
                <w:u w:val="single"/>
                <w:lang w:val="en-GB"/>
              </w:rPr>
              <w:t>sum</w:t>
            </w:r>
            <w:r w:rsidRPr="00BF190C">
              <w:rPr>
                <w:rFonts w:asciiTheme="minorHAnsi" w:eastAsiaTheme="minorHAnsi" w:hAnsiTheme="minorHAnsi" w:cstheme="minorBidi"/>
                <w:bCs/>
                <w:iCs/>
                <w:lang w:val="en-GB"/>
              </w:rPr>
              <w:t xml:space="preserve"> of: </w:t>
            </w:r>
          </w:p>
          <w:p w14:paraId="46B20D34" w14:textId="77777777" w:rsidR="001553CE" w:rsidRDefault="001553CE" w:rsidP="00564499">
            <w:pPr>
              <w:numPr>
                <w:ilvl w:val="1"/>
                <w:numId w:val="11"/>
              </w:numPr>
              <w:contextualSpacing/>
              <w:rPr>
                <w:rFonts w:asciiTheme="minorHAnsi" w:eastAsiaTheme="minorHAnsi" w:hAnsiTheme="minorHAnsi" w:cstheme="minorBidi"/>
                <w:bCs/>
                <w:iCs/>
                <w:lang w:val="en-GB"/>
              </w:rPr>
            </w:pPr>
            <w:r w:rsidRPr="00BF190C">
              <w:rPr>
                <w:rFonts w:asciiTheme="minorHAnsi" w:eastAsiaTheme="minorHAnsi" w:hAnsiTheme="minorHAnsi" w:cstheme="minorBidi"/>
                <w:bCs/>
                <w:iCs/>
                <w:lang w:val="en-GB"/>
              </w:rPr>
              <w:t xml:space="preserve">Committed facilities (drawn and undrawn)  </w:t>
            </w:r>
          </w:p>
          <w:p w14:paraId="37B15D6E" w14:textId="77777777" w:rsidR="001553CE" w:rsidRDefault="001553CE" w:rsidP="00564499">
            <w:pPr>
              <w:numPr>
                <w:ilvl w:val="1"/>
                <w:numId w:val="11"/>
              </w:numPr>
              <w:contextualSpacing/>
              <w:rPr>
                <w:rFonts w:asciiTheme="minorHAnsi" w:eastAsiaTheme="minorHAnsi" w:hAnsiTheme="minorHAnsi" w:cstheme="minorBidi"/>
                <w:bCs/>
                <w:iCs/>
                <w:lang w:val="en-GB"/>
              </w:rPr>
            </w:pPr>
            <w:r>
              <w:rPr>
                <w:rFonts w:asciiTheme="minorHAnsi" w:eastAsiaTheme="minorHAnsi" w:hAnsiTheme="minorHAnsi" w:cstheme="minorBidi"/>
                <w:bCs/>
                <w:iCs/>
                <w:lang w:val="en-GB"/>
              </w:rPr>
              <w:t>D</w:t>
            </w:r>
            <w:r w:rsidRPr="00BF190C">
              <w:rPr>
                <w:rFonts w:asciiTheme="minorHAnsi" w:eastAsiaTheme="minorHAnsi" w:hAnsiTheme="minorHAnsi" w:cstheme="minorBidi"/>
                <w:bCs/>
                <w:iCs/>
                <w:lang w:val="en-GB"/>
              </w:rPr>
              <w:t>rawn</w:t>
            </w:r>
            <w:r>
              <w:rPr>
                <w:rFonts w:asciiTheme="minorHAnsi" w:eastAsiaTheme="minorHAnsi" w:hAnsiTheme="minorHAnsi" w:cstheme="minorBidi"/>
                <w:bCs/>
                <w:iCs/>
                <w:lang w:val="en-GB"/>
              </w:rPr>
              <w:t xml:space="preserve"> balances</w:t>
            </w:r>
            <w:r w:rsidRPr="00BF190C">
              <w:rPr>
                <w:rFonts w:asciiTheme="minorHAnsi" w:eastAsiaTheme="minorHAnsi" w:hAnsiTheme="minorHAnsi" w:cstheme="minorBidi"/>
                <w:bCs/>
                <w:iCs/>
                <w:lang w:val="en-GB"/>
              </w:rPr>
              <w:t xml:space="preserve"> under uncommitted facilities  </w:t>
            </w:r>
          </w:p>
          <w:p w14:paraId="2A5A2120" w14:textId="77777777" w:rsidR="001553CE" w:rsidRDefault="001553CE" w:rsidP="00564499">
            <w:pPr>
              <w:numPr>
                <w:ilvl w:val="1"/>
                <w:numId w:val="11"/>
              </w:numPr>
              <w:contextualSpacing/>
              <w:rPr>
                <w:rFonts w:asciiTheme="minorHAnsi" w:eastAsiaTheme="minorHAnsi" w:hAnsiTheme="minorHAnsi" w:cstheme="minorBidi"/>
                <w:bCs/>
                <w:iCs/>
                <w:lang w:val="en-GB"/>
              </w:rPr>
            </w:pPr>
            <w:r>
              <w:rPr>
                <w:rFonts w:asciiTheme="minorHAnsi" w:eastAsiaTheme="minorHAnsi" w:hAnsiTheme="minorHAnsi" w:cstheme="minorBidi"/>
                <w:bCs/>
                <w:iCs/>
                <w:lang w:val="en-GB"/>
              </w:rPr>
              <w:t>O</w:t>
            </w:r>
            <w:r w:rsidRPr="00BF190C">
              <w:rPr>
                <w:rFonts w:asciiTheme="minorHAnsi" w:eastAsiaTheme="minorHAnsi" w:hAnsiTheme="minorHAnsi" w:cstheme="minorBidi"/>
                <w:bCs/>
                <w:iCs/>
                <w:lang w:val="en-GB"/>
              </w:rPr>
              <w:t xml:space="preserve">ff balance sheet items (e.g. Letters of Credit)  </w:t>
            </w:r>
          </w:p>
          <w:p w14:paraId="5EB58C22" w14:textId="77777777" w:rsidR="001553CE" w:rsidRDefault="001553CE" w:rsidP="00564499">
            <w:pPr>
              <w:numPr>
                <w:ilvl w:val="1"/>
                <w:numId w:val="11"/>
              </w:numPr>
              <w:contextualSpacing/>
              <w:rPr>
                <w:rFonts w:asciiTheme="minorHAnsi" w:eastAsiaTheme="minorHAnsi" w:hAnsiTheme="minorHAnsi" w:cstheme="minorBidi"/>
                <w:bCs/>
                <w:iCs/>
                <w:lang w:val="en-GB"/>
              </w:rPr>
            </w:pPr>
            <w:r w:rsidRPr="00BF190C">
              <w:rPr>
                <w:rFonts w:asciiTheme="minorHAnsi" w:eastAsiaTheme="minorHAnsi" w:hAnsiTheme="minorHAnsi" w:cstheme="minorBidi"/>
                <w:bCs/>
                <w:iCs/>
                <w:lang w:val="en-GB"/>
              </w:rPr>
              <w:t>PFE</w:t>
            </w:r>
            <w:r w:rsidRPr="00BF190C">
              <w:rPr>
                <w:rFonts w:asciiTheme="minorHAnsi" w:eastAsiaTheme="minorHAnsi" w:hAnsiTheme="minorHAnsi" w:cstheme="minorBidi"/>
                <w:bCs/>
                <w:iCs/>
                <w:vertAlign w:val="superscript"/>
                <w:lang w:val="en-GB"/>
              </w:rPr>
              <w:footnoteReference w:id="10"/>
            </w:r>
            <w:r w:rsidRPr="00BF190C">
              <w:rPr>
                <w:rFonts w:asciiTheme="minorHAnsi" w:eastAsiaTheme="minorHAnsi" w:hAnsiTheme="minorHAnsi" w:cstheme="minorBidi"/>
                <w:bCs/>
                <w:iCs/>
                <w:lang w:val="en-GB"/>
              </w:rPr>
              <w:t xml:space="preserve"> (“REC”) for derivatives. </w:t>
            </w:r>
          </w:p>
          <w:p w14:paraId="75CDE770" w14:textId="77777777" w:rsidR="001553CE" w:rsidRPr="00206D41" w:rsidRDefault="001553CE" w:rsidP="00564499">
            <w:pPr>
              <w:spacing w:after="0" w:line="240" w:lineRule="auto"/>
              <w:rPr>
                <w:bCs/>
                <w:iCs/>
              </w:rPr>
            </w:pPr>
            <w:r w:rsidRPr="00BF190C">
              <w:rPr>
                <w:rFonts w:asciiTheme="minorHAnsi" w:eastAsiaTheme="minorHAnsi" w:hAnsiTheme="minorHAnsi" w:cstheme="minorBidi"/>
                <w:bCs/>
                <w:iCs/>
                <w:lang w:val="en-GB"/>
              </w:rPr>
              <w:t xml:space="preserve">Exposures will be calculated at individual counterparty level and aggregated as required to ultimate parent (economic group) level. </w:t>
            </w:r>
          </w:p>
        </w:tc>
      </w:tr>
      <w:tr w:rsidR="001553CE" w:rsidRPr="00206D41" w14:paraId="39F428D1" w14:textId="77777777" w:rsidTr="00564499">
        <w:trPr>
          <w:cantSplit/>
          <w:trHeight w:val="448"/>
        </w:trPr>
        <w:tc>
          <w:tcPr>
            <w:tcW w:w="1728" w:type="dxa"/>
            <w:shd w:val="clear" w:color="auto" w:fill="auto"/>
          </w:tcPr>
          <w:p w14:paraId="3BE60393" w14:textId="77777777" w:rsidR="001553CE" w:rsidRPr="00206D41" w:rsidRDefault="001553CE" w:rsidP="00564499">
            <w:pPr>
              <w:rPr>
                <w:b/>
                <w:bCs/>
                <w:iCs/>
              </w:rPr>
            </w:pPr>
            <w:r>
              <w:rPr>
                <w:b/>
                <w:bCs/>
                <w:iCs/>
              </w:rPr>
              <w:t>RISK TYPE</w:t>
            </w:r>
          </w:p>
        </w:tc>
        <w:tc>
          <w:tcPr>
            <w:tcW w:w="7470" w:type="dxa"/>
            <w:shd w:val="clear" w:color="auto" w:fill="auto"/>
          </w:tcPr>
          <w:p w14:paraId="0223FED7" w14:textId="77777777" w:rsidR="001553CE" w:rsidRPr="00206D41" w:rsidRDefault="001553CE" w:rsidP="00564499">
            <w:pPr>
              <w:spacing w:after="0" w:line="240" w:lineRule="auto"/>
              <w:rPr>
                <w:bCs/>
                <w:iCs/>
              </w:rPr>
            </w:pPr>
            <w:r>
              <w:rPr>
                <w:bCs/>
                <w:iCs/>
              </w:rPr>
              <w:t>Credit Risk</w:t>
            </w:r>
          </w:p>
        </w:tc>
      </w:tr>
      <w:tr w:rsidR="001553CE" w:rsidRPr="00206D41" w14:paraId="1A0F6C16" w14:textId="77777777" w:rsidTr="00564499">
        <w:trPr>
          <w:cantSplit/>
          <w:trHeight w:val="448"/>
        </w:trPr>
        <w:tc>
          <w:tcPr>
            <w:tcW w:w="1728" w:type="dxa"/>
            <w:shd w:val="clear" w:color="auto" w:fill="auto"/>
          </w:tcPr>
          <w:p w14:paraId="66CEA1EF" w14:textId="77777777" w:rsidR="001553CE" w:rsidRDefault="001553CE" w:rsidP="00564499">
            <w:pPr>
              <w:rPr>
                <w:b/>
                <w:bCs/>
                <w:iCs/>
              </w:rPr>
            </w:pPr>
            <w:r>
              <w:rPr>
                <w:b/>
                <w:bCs/>
                <w:iCs/>
              </w:rPr>
              <w:t>RATIONALE</w:t>
            </w:r>
          </w:p>
        </w:tc>
        <w:tc>
          <w:tcPr>
            <w:tcW w:w="7470" w:type="dxa"/>
            <w:shd w:val="clear" w:color="auto" w:fill="auto"/>
          </w:tcPr>
          <w:p w14:paraId="20272DA9" w14:textId="77777777" w:rsidR="001553CE" w:rsidRDefault="001553CE" w:rsidP="00564499">
            <w:pPr>
              <w:spacing w:after="0" w:line="240" w:lineRule="auto"/>
              <w:rPr>
                <w:bCs/>
                <w:iCs/>
              </w:rPr>
            </w:pPr>
            <w:r>
              <w:rPr>
                <w:bCs/>
                <w:iCs/>
              </w:rPr>
              <w:t>Multifamily is an important metric</w:t>
            </w:r>
            <w:r w:rsidRPr="000864B0">
              <w:rPr>
                <w:bCs/>
                <w:iCs/>
              </w:rPr>
              <w:t xml:space="preserve"> to track in the</w:t>
            </w:r>
            <w:r>
              <w:rPr>
                <w:bCs/>
                <w:iCs/>
              </w:rPr>
              <w:t xml:space="preserve"> RAS given its large exposure</w:t>
            </w:r>
          </w:p>
        </w:tc>
      </w:tr>
      <w:tr w:rsidR="00AF36AC" w:rsidRPr="00206D41" w14:paraId="223D6DE8" w14:textId="77777777" w:rsidTr="00564499">
        <w:trPr>
          <w:trHeight w:val="270"/>
        </w:trPr>
        <w:tc>
          <w:tcPr>
            <w:tcW w:w="1728" w:type="dxa"/>
            <w:shd w:val="clear" w:color="auto" w:fill="auto"/>
          </w:tcPr>
          <w:p w14:paraId="5CB24A9A" w14:textId="77777777" w:rsidR="00AF36AC" w:rsidRPr="00206D41" w:rsidRDefault="00AF36AC" w:rsidP="00564499">
            <w:pPr>
              <w:rPr>
                <w:b/>
                <w:bCs/>
                <w:iCs/>
              </w:rPr>
            </w:pPr>
            <w:r>
              <w:rPr>
                <w:b/>
                <w:bCs/>
                <w:iCs/>
              </w:rPr>
              <w:t>ENTITY</w:t>
            </w:r>
          </w:p>
        </w:tc>
        <w:tc>
          <w:tcPr>
            <w:tcW w:w="7470" w:type="dxa"/>
            <w:shd w:val="clear" w:color="auto" w:fill="auto"/>
          </w:tcPr>
          <w:p w14:paraId="6DC46401" w14:textId="54790FC1" w:rsidR="00AF36AC" w:rsidRPr="00E66FFB" w:rsidRDefault="00AF36AC" w:rsidP="00564499">
            <w:pPr>
              <w:spacing w:after="0" w:line="240" w:lineRule="auto"/>
              <w:rPr>
                <w:b/>
                <w:bCs/>
                <w:iCs/>
              </w:rPr>
            </w:pPr>
            <w:r>
              <w:rPr>
                <w:b/>
                <w:bCs/>
                <w:iCs/>
              </w:rPr>
              <w:t>SBNA</w:t>
            </w:r>
          </w:p>
        </w:tc>
      </w:tr>
      <w:tr w:rsidR="00AF36AC" w:rsidRPr="00206D41" w14:paraId="0253D7A2" w14:textId="77777777" w:rsidTr="00564499">
        <w:trPr>
          <w:trHeight w:val="270"/>
        </w:trPr>
        <w:tc>
          <w:tcPr>
            <w:tcW w:w="1728" w:type="dxa"/>
            <w:shd w:val="clear" w:color="auto" w:fill="auto"/>
          </w:tcPr>
          <w:p w14:paraId="17966CCC" w14:textId="6F254196" w:rsidR="00AF36AC" w:rsidRPr="00206D41" w:rsidRDefault="00511F11" w:rsidP="00564499">
            <w:pPr>
              <w:rPr>
                <w:b/>
                <w:bCs/>
                <w:iCs/>
              </w:rPr>
            </w:pPr>
            <w:r>
              <w:rPr>
                <w:rFonts w:asciiTheme="minorHAnsi" w:hAnsiTheme="minorHAnsi"/>
                <w:b/>
                <w:bCs/>
                <w:iCs/>
              </w:rPr>
              <w:t>METRIC PROVIDER</w:t>
            </w:r>
          </w:p>
        </w:tc>
        <w:tc>
          <w:tcPr>
            <w:tcW w:w="7470" w:type="dxa"/>
            <w:shd w:val="clear" w:color="auto" w:fill="auto"/>
          </w:tcPr>
          <w:p w14:paraId="0C1E529C" w14:textId="664B371E" w:rsidR="00AF36AC" w:rsidRPr="00E66FFB" w:rsidRDefault="00AF36AC" w:rsidP="00564499">
            <w:pPr>
              <w:spacing w:after="0" w:line="240" w:lineRule="auto"/>
              <w:rPr>
                <w:b/>
                <w:bCs/>
                <w:iCs/>
              </w:rPr>
            </w:pPr>
            <w:r>
              <w:rPr>
                <w:b/>
                <w:bCs/>
                <w:iCs/>
              </w:rPr>
              <w:t>SBNA Solvency</w:t>
            </w:r>
          </w:p>
        </w:tc>
      </w:tr>
      <w:tr w:rsidR="001553CE" w:rsidRPr="00206D41" w14:paraId="2632BC6F" w14:textId="77777777" w:rsidTr="00564499">
        <w:trPr>
          <w:trHeight w:val="360"/>
        </w:trPr>
        <w:tc>
          <w:tcPr>
            <w:tcW w:w="1728" w:type="dxa"/>
            <w:shd w:val="clear" w:color="auto" w:fill="auto"/>
          </w:tcPr>
          <w:p w14:paraId="25F6B3F4" w14:textId="77777777" w:rsidR="001553CE" w:rsidRPr="00206D41" w:rsidRDefault="001553CE" w:rsidP="00564499">
            <w:pPr>
              <w:rPr>
                <w:b/>
                <w:bCs/>
                <w:iCs/>
              </w:rPr>
            </w:pPr>
            <w:r>
              <w:rPr>
                <w:b/>
                <w:bCs/>
                <w:iCs/>
              </w:rPr>
              <w:t>TRIGGER AND LIMIT SETTING</w:t>
            </w:r>
          </w:p>
        </w:tc>
        <w:tc>
          <w:tcPr>
            <w:tcW w:w="7470" w:type="dxa"/>
            <w:shd w:val="clear" w:color="auto" w:fill="auto"/>
          </w:tcPr>
          <w:p w14:paraId="046270CF" w14:textId="77777777" w:rsidR="001553CE" w:rsidRDefault="001553CE" w:rsidP="00564499">
            <w:pPr>
              <w:spacing w:after="0" w:line="240" w:lineRule="auto"/>
              <w:rPr>
                <w:rFonts w:asciiTheme="minorHAnsi" w:eastAsiaTheme="minorHAnsi" w:hAnsiTheme="minorHAnsi" w:cstheme="minorBidi"/>
                <w:iCs/>
              </w:rPr>
            </w:pPr>
            <w:r>
              <w:rPr>
                <w:rFonts w:asciiTheme="minorHAnsi" w:eastAsiaTheme="minorHAnsi" w:hAnsiTheme="minorHAnsi" w:cstheme="minorBidi"/>
                <w:iCs/>
              </w:rPr>
              <w:t xml:space="preserve">The amber trigger is anchored as a percentage of CET1+ACL with adjustment; red limit is adjusted up from amber trigger per management discretion. </w:t>
            </w:r>
          </w:p>
          <w:p w14:paraId="4F8E6E85" w14:textId="77777777" w:rsidR="001553CE" w:rsidRDefault="001553CE" w:rsidP="00564499">
            <w:pPr>
              <w:spacing w:after="0" w:line="240" w:lineRule="auto"/>
              <w:rPr>
                <w:rFonts w:asciiTheme="minorHAnsi" w:eastAsiaTheme="minorHAnsi" w:hAnsiTheme="minorHAnsi" w:cstheme="minorBidi"/>
                <w:iCs/>
              </w:rPr>
            </w:pPr>
          </w:p>
        </w:tc>
      </w:tr>
      <w:tr w:rsidR="001553CE" w:rsidRPr="00206D41" w14:paraId="08D6FDB9" w14:textId="77777777" w:rsidTr="00564499">
        <w:trPr>
          <w:trHeight w:val="360"/>
        </w:trPr>
        <w:tc>
          <w:tcPr>
            <w:tcW w:w="1728" w:type="dxa"/>
            <w:shd w:val="clear" w:color="auto" w:fill="auto"/>
          </w:tcPr>
          <w:p w14:paraId="0373B92E" w14:textId="77777777" w:rsidR="001553CE" w:rsidRPr="00206D41" w:rsidRDefault="001553CE" w:rsidP="00564499">
            <w:pPr>
              <w:rPr>
                <w:b/>
                <w:bCs/>
                <w:iCs/>
              </w:rPr>
            </w:pPr>
            <w:r w:rsidRPr="00A04DBB">
              <w:rPr>
                <w:b/>
                <w:bCs/>
                <w:iCs/>
              </w:rPr>
              <w:t>TESTING FREQUENCY</w:t>
            </w:r>
          </w:p>
        </w:tc>
        <w:tc>
          <w:tcPr>
            <w:tcW w:w="7470" w:type="dxa"/>
            <w:shd w:val="clear" w:color="auto" w:fill="auto"/>
          </w:tcPr>
          <w:p w14:paraId="0993DECC" w14:textId="77777777" w:rsidR="001553CE" w:rsidRPr="00A04DBB" w:rsidRDefault="001553CE" w:rsidP="00564499">
            <w:pPr>
              <w:spacing w:after="0" w:line="240" w:lineRule="auto"/>
              <w:rPr>
                <w:rFonts w:asciiTheme="minorHAnsi" w:eastAsiaTheme="minorHAnsi" w:hAnsiTheme="minorHAnsi" w:cstheme="minorBidi"/>
                <w:iCs/>
              </w:rPr>
            </w:pPr>
            <w:r>
              <w:rPr>
                <w:rFonts w:asciiTheme="minorHAnsi" w:eastAsiaTheme="minorHAnsi" w:hAnsiTheme="minorHAnsi" w:cstheme="minorBidi"/>
                <w:iCs/>
              </w:rPr>
              <w:t>Monthly</w:t>
            </w:r>
          </w:p>
        </w:tc>
      </w:tr>
      <w:tr w:rsidR="001553CE" w:rsidRPr="00206D41" w14:paraId="049044C8" w14:textId="77777777" w:rsidTr="00564499">
        <w:trPr>
          <w:trHeight w:val="650"/>
        </w:trPr>
        <w:tc>
          <w:tcPr>
            <w:tcW w:w="1728" w:type="dxa"/>
            <w:shd w:val="clear" w:color="auto" w:fill="auto"/>
          </w:tcPr>
          <w:p w14:paraId="3AD04BDE" w14:textId="77777777" w:rsidR="001553CE" w:rsidRPr="00206D41" w:rsidRDefault="001553CE" w:rsidP="00564499">
            <w:pPr>
              <w:rPr>
                <w:b/>
                <w:bCs/>
                <w:iCs/>
              </w:rPr>
            </w:pPr>
            <w:r w:rsidRPr="00206D41">
              <w:rPr>
                <w:b/>
                <w:bCs/>
                <w:iCs/>
              </w:rPr>
              <w:t>SOURCE OF INFORMATION</w:t>
            </w:r>
          </w:p>
        </w:tc>
        <w:tc>
          <w:tcPr>
            <w:tcW w:w="7470" w:type="dxa"/>
            <w:shd w:val="clear" w:color="auto" w:fill="auto"/>
          </w:tcPr>
          <w:p w14:paraId="63FB5D30" w14:textId="77777777" w:rsidR="001553CE" w:rsidRPr="00BE360D" w:rsidRDefault="001553CE" w:rsidP="00564499">
            <w:pPr>
              <w:spacing w:after="0" w:line="240" w:lineRule="auto"/>
            </w:pPr>
            <w:r w:rsidRPr="00BE360D">
              <w:t>Multifamily exposure is defined as any Investor/Developer Commercial Real Estate (CRE) exposure classified as Multifamily property type.</w:t>
            </w:r>
          </w:p>
          <w:p w14:paraId="3D32D69A" w14:textId="77777777" w:rsidR="001553CE" w:rsidRPr="00BE360D" w:rsidRDefault="001553CE" w:rsidP="00564499">
            <w:pPr>
              <w:spacing w:after="0" w:line="240" w:lineRule="auto"/>
            </w:pPr>
            <w:r w:rsidRPr="00BE360D">
              <w:t>In the CCMIS database, Investor/Developer CRE is defined the following way:</w:t>
            </w:r>
          </w:p>
          <w:p w14:paraId="625F9574" w14:textId="77777777" w:rsidR="001553CE" w:rsidRDefault="001553CE" w:rsidP="00564499">
            <w:pPr>
              <w:pStyle w:val="ListParagraph"/>
              <w:numPr>
                <w:ilvl w:val="0"/>
                <w:numId w:val="57"/>
              </w:numPr>
              <w:spacing w:after="0" w:line="240" w:lineRule="auto"/>
            </w:pPr>
            <w:r>
              <w:t>Utilizing the Concentration Detail Expanded table Sum Binding Exposure where:</w:t>
            </w:r>
          </w:p>
          <w:p w14:paraId="07F5763C" w14:textId="77777777" w:rsidR="001553CE" w:rsidRPr="00BE360D" w:rsidRDefault="001553CE" w:rsidP="00564499">
            <w:pPr>
              <w:pStyle w:val="ListParagraph"/>
              <w:numPr>
                <w:ilvl w:val="0"/>
                <w:numId w:val="58"/>
              </w:numPr>
              <w:spacing w:after="0" w:line="240" w:lineRule="auto"/>
            </w:pPr>
            <w:r w:rsidRPr="00BE360D">
              <w:t>Segment = “CRE” or “SREC” or “CCRC”</w:t>
            </w:r>
          </w:p>
          <w:p w14:paraId="6EC58F45" w14:textId="77777777" w:rsidR="001553CE" w:rsidRPr="00BE360D" w:rsidRDefault="001553CE" w:rsidP="00564499">
            <w:pPr>
              <w:pStyle w:val="ListParagraph"/>
              <w:numPr>
                <w:ilvl w:val="0"/>
                <w:numId w:val="58"/>
              </w:numPr>
              <w:spacing w:after="0" w:line="240" w:lineRule="auto"/>
            </w:pPr>
            <w:r w:rsidRPr="00BE360D">
              <w:t xml:space="preserve">Or, GL Category = “CRE” or “Multi” and Investor Classification &lt;&gt; “Owner Occupied RE” </w:t>
            </w:r>
          </w:p>
          <w:p w14:paraId="2C16421A" w14:textId="77777777" w:rsidR="001553CE" w:rsidRPr="00BE360D" w:rsidRDefault="001553CE" w:rsidP="00564499">
            <w:pPr>
              <w:spacing w:after="0" w:line="240" w:lineRule="auto"/>
              <w:ind w:left="360"/>
            </w:pPr>
            <w:r>
              <w:t>and</w:t>
            </w:r>
          </w:p>
          <w:p w14:paraId="6CF2B8FB" w14:textId="77777777" w:rsidR="001553CE" w:rsidRPr="00BE360D" w:rsidRDefault="001553CE" w:rsidP="00564499">
            <w:pPr>
              <w:pStyle w:val="ListParagraph"/>
              <w:numPr>
                <w:ilvl w:val="0"/>
                <w:numId w:val="58"/>
              </w:numPr>
              <w:spacing w:after="0" w:line="240" w:lineRule="auto"/>
            </w:pPr>
            <w:r w:rsidRPr="00BE360D">
              <w:t xml:space="preserve">Retype </w:t>
            </w:r>
            <w:r>
              <w:t>=</w:t>
            </w:r>
            <w:r w:rsidRPr="00BE360D">
              <w:t xml:space="preserve"> Multifamily</w:t>
            </w:r>
          </w:p>
          <w:p w14:paraId="36AF77B6" w14:textId="77777777" w:rsidR="001553CE" w:rsidRPr="00C72D48" w:rsidRDefault="001553CE" w:rsidP="00564499">
            <w:pPr>
              <w:pStyle w:val="ListParagraph"/>
              <w:numPr>
                <w:ilvl w:val="0"/>
                <w:numId w:val="57"/>
              </w:numPr>
              <w:spacing w:after="0" w:line="240" w:lineRule="auto"/>
              <w:rPr>
                <w:bCs/>
                <w:iCs/>
              </w:rPr>
            </w:pPr>
            <w:r w:rsidRPr="0095495D">
              <w:rPr>
                <w:bCs/>
                <w:iCs/>
              </w:rPr>
              <w:t>Note, PFE is not currently included as the calibration of limits did not take PFE into consideration</w:t>
            </w:r>
          </w:p>
        </w:tc>
      </w:tr>
    </w:tbl>
    <w:p w14:paraId="3EEDBD4E" w14:textId="77777777" w:rsidR="001553CE" w:rsidRDefault="001553CE" w:rsidP="00E21A3C">
      <w:pPr>
        <w:pStyle w:val="SANUS2"/>
        <w:rPr>
          <w:color w:val="000000" w:themeColor="text1"/>
        </w:rPr>
      </w:pPr>
    </w:p>
    <w:p w14:paraId="37CCF9D3" w14:textId="0FB48D9A" w:rsidR="001553CE" w:rsidRPr="001553CE" w:rsidRDefault="001553CE" w:rsidP="001553CE">
      <w:pPr>
        <w:pStyle w:val="SANUS2"/>
        <w:numPr>
          <w:ilvl w:val="1"/>
          <w:numId w:val="1"/>
        </w:numPr>
        <w:tabs>
          <w:tab w:val="num" w:pos="540"/>
        </w:tabs>
        <w:ind w:left="567" w:hanging="567"/>
        <w:rPr>
          <w:color w:val="000000" w:themeColor="text1"/>
        </w:rPr>
      </w:pPr>
      <w:bookmarkStart w:id="106" w:name="_Toc452544130"/>
      <w:bookmarkStart w:id="107" w:name="_Toc453849291"/>
      <w:r>
        <w:rPr>
          <w:color w:val="000000" w:themeColor="text1"/>
        </w:rPr>
        <w:t>Project Finance E</w:t>
      </w:r>
      <w:r w:rsidRPr="001553CE">
        <w:rPr>
          <w:color w:val="000000" w:themeColor="text1"/>
        </w:rPr>
        <w:t>xposure</w:t>
      </w:r>
      <w:bookmarkEnd w:id="106"/>
      <w:bookmarkEnd w:id="107"/>
    </w:p>
    <w:tbl>
      <w:tblPr>
        <w:tblpPr w:leftFromText="180" w:rightFromText="180" w:vertAnchor="text" w:tblpX="168" w:tblpY="1"/>
        <w:tblOverlap w:val="never"/>
        <w:tblW w:w="9198"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000" w:firstRow="0" w:lastRow="0" w:firstColumn="0" w:lastColumn="0" w:noHBand="0" w:noVBand="0"/>
      </w:tblPr>
      <w:tblGrid>
        <w:gridCol w:w="1728"/>
        <w:gridCol w:w="7470"/>
      </w:tblGrid>
      <w:tr w:rsidR="001553CE" w:rsidRPr="00206D41" w14:paraId="3BAB980C" w14:textId="77777777" w:rsidTr="00564499">
        <w:trPr>
          <w:trHeight w:val="462"/>
        </w:trPr>
        <w:tc>
          <w:tcPr>
            <w:tcW w:w="1728" w:type="dxa"/>
            <w:shd w:val="clear" w:color="auto" w:fill="auto"/>
          </w:tcPr>
          <w:p w14:paraId="3729177C" w14:textId="77777777" w:rsidR="001553CE" w:rsidRPr="00206D41" w:rsidRDefault="001553CE" w:rsidP="00564499">
            <w:pPr>
              <w:rPr>
                <w:b/>
                <w:bCs/>
                <w:iCs/>
              </w:rPr>
            </w:pPr>
            <w:r>
              <w:rPr>
                <w:b/>
                <w:bCs/>
                <w:iCs/>
              </w:rPr>
              <w:t>DEFINITION</w:t>
            </w:r>
          </w:p>
        </w:tc>
        <w:tc>
          <w:tcPr>
            <w:tcW w:w="7470" w:type="dxa"/>
            <w:shd w:val="clear" w:color="auto" w:fill="auto"/>
          </w:tcPr>
          <w:p w14:paraId="3E76B4AE" w14:textId="77777777" w:rsidR="001553CE" w:rsidRDefault="001553CE" w:rsidP="00564499">
            <w:pPr>
              <w:spacing w:after="120" w:line="240" w:lineRule="auto"/>
              <w:jc w:val="both"/>
              <w:rPr>
                <w:bCs/>
              </w:rPr>
            </w:pPr>
            <w:r w:rsidRPr="00574B98">
              <w:rPr>
                <w:bCs/>
              </w:rPr>
              <w:t xml:space="preserve">Measures the </w:t>
            </w:r>
            <w:r>
              <w:rPr>
                <w:bCs/>
              </w:rPr>
              <w:t>ma</w:t>
            </w:r>
            <w:r w:rsidRPr="00574B98">
              <w:rPr>
                <w:bCs/>
              </w:rPr>
              <w:t xml:space="preserve">ximum exposure with </w:t>
            </w:r>
            <w:r>
              <w:rPr>
                <w:bCs/>
              </w:rPr>
              <w:t>project finance</w:t>
            </w:r>
            <w:r w:rsidRPr="00574B98">
              <w:rPr>
                <w:bCs/>
              </w:rPr>
              <w:t xml:space="preserve"> portfolios </w:t>
            </w:r>
            <w:r>
              <w:rPr>
                <w:bCs/>
              </w:rPr>
              <w:t>relative to equity.</w:t>
            </w:r>
          </w:p>
          <w:p w14:paraId="6AFE5FBC" w14:textId="77777777" w:rsidR="001553CE" w:rsidRPr="00426737" w:rsidRDefault="001553CE" w:rsidP="00564499">
            <w:pPr>
              <w:spacing w:after="120" w:line="240" w:lineRule="auto"/>
              <w:jc w:val="both"/>
            </w:pPr>
            <w:r>
              <w:rPr>
                <w:bCs/>
              </w:rPr>
              <w:t>Within specialized lending portfolios, only project finance is taken into consideration in the SHUSA RAS, presently, as other specialized portfolios are immaterial in size.</w:t>
            </w:r>
          </w:p>
        </w:tc>
      </w:tr>
      <w:tr w:rsidR="001553CE" w:rsidRPr="00206D41" w14:paraId="1C626D6B" w14:textId="77777777" w:rsidTr="00564499">
        <w:trPr>
          <w:trHeight w:val="462"/>
        </w:trPr>
        <w:tc>
          <w:tcPr>
            <w:tcW w:w="1728" w:type="dxa"/>
            <w:shd w:val="clear" w:color="auto" w:fill="auto"/>
          </w:tcPr>
          <w:p w14:paraId="40F4DBCD" w14:textId="77777777" w:rsidR="001553CE" w:rsidRPr="00206D41" w:rsidRDefault="001553CE" w:rsidP="00564499">
            <w:pPr>
              <w:rPr>
                <w:b/>
                <w:bCs/>
                <w:iCs/>
              </w:rPr>
            </w:pPr>
            <w:r>
              <w:rPr>
                <w:b/>
                <w:bCs/>
                <w:iCs/>
              </w:rPr>
              <w:t>RISK TYPE</w:t>
            </w:r>
          </w:p>
        </w:tc>
        <w:tc>
          <w:tcPr>
            <w:tcW w:w="7470" w:type="dxa"/>
            <w:shd w:val="clear" w:color="auto" w:fill="auto"/>
          </w:tcPr>
          <w:p w14:paraId="0CA12057" w14:textId="77777777" w:rsidR="001553CE" w:rsidRPr="00206D41" w:rsidRDefault="001553CE" w:rsidP="00564499">
            <w:pPr>
              <w:spacing w:after="0" w:line="240" w:lineRule="auto"/>
              <w:rPr>
                <w:bCs/>
                <w:iCs/>
              </w:rPr>
            </w:pPr>
            <w:r>
              <w:rPr>
                <w:bCs/>
                <w:iCs/>
              </w:rPr>
              <w:t>Credit Risk</w:t>
            </w:r>
          </w:p>
        </w:tc>
      </w:tr>
      <w:tr w:rsidR="001553CE" w:rsidRPr="00206D41" w14:paraId="401CC137" w14:textId="77777777" w:rsidTr="00564499">
        <w:trPr>
          <w:trHeight w:val="462"/>
        </w:trPr>
        <w:tc>
          <w:tcPr>
            <w:tcW w:w="1728" w:type="dxa"/>
            <w:shd w:val="clear" w:color="auto" w:fill="auto"/>
          </w:tcPr>
          <w:p w14:paraId="070C641D" w14:textId="77777777" w:rsidR="001553CE" w:rsidRDefault="001553CE" w:rsidP="00564499">
            <w:pPr>
              <w:rPr>
                <w:b/>
                <w:bCs/>
                <w:iCs/>
              </w:rPr>
            </w:pPr>
            <w:r>
              <w:rPr>
                <w:b/>
                <w:bCs/>
                <w:iCs/>
              </w:rPr>
              <w:t>RATIONALE</w:t>
            </w:r>
          </w:p>
        </w:tc>
        <w:tc>
          <w:tcPr>
            <w:tcW w:w="7470" w:type="dxa"/>
            <w:shd w:val="clear" w:color="auto" w:fill="auto"/>
          </w:tcPr>
          <w:p w14:paraId="01694F88" w14:textId="77777777" w:rsidR="001553CE" w:rsidRDefault="001553CE" w:rsidP="00564499">
            <w:pPr>
              <w:spacing w:after="0" w:line="240" w:lineRule="auto"/>
              <w:rPr>
                <w:bCs/>
                <w:iCs/>
              </w:rPr>
            </w:pPr>
            <w:r>
              <w:rPr>
                <w:bCs/>
                <w:iCs/>
              </w:rPr>
              <w:t>Important for SHUSA to monitor and manage portfolio exposures of more sophisticated and higher-risk assets, in order to limit impact on capital of unexpected borrower events</w:t>
            </w:r>
          </w:p>
        </w:tc>
      </w:tr>
      <w:tr w:rsidR="00AF36AC" w:rsidRPr="00206D41" w14:paraId="43A9D5A3" w14:textId="77777777" w:rsidTr="00564499">
        <w:trPr>
          <w:trHeight w:val="270"/>
        </w:trPr>
        <w:tc>
          <w:tcPr>
            <w:tcW w:w="1728" w:type="dxa"/>
            <w:shd w:val="clear" w:color="auto" w:fill="auto"/>
          </w:tcPr>
          <w:p w14:paraId="2A2D2649" w14:textId="77777777" w:rsidR="00AF36AC" w:rsidRPr="00206D41" w:rsidRDefault="00AF36AC" w:rsidP="00564499">
            <w:pPr>
              <w:rPr>
                <w:b/>
                <w:bCs/>
                <w:iCs/>
              </w:rPr>
            </w:pPr>
            <w:r>
              <w:rPr>
                <w:b/>
                <w:bCs/>
                <w:iCs/>
              </w:rPr>
              <w:t>ENTITY</w:t>
            </w:r>
          </w:p>
        </w:tc>
        <w:tc>
          <w:tcPr>
            <w:tcW w:w="7470" w:type="dxa"/>
            <w:shd w:val="clear" w:color="auto" w:fill="auto"/>
          </w:tcPr>
          <w:p w14:paraId="465B9D2E" w14:textId="055A367B" w:rsidR="00AF36AC" w:rsidRPr="007973F5" w:rsidRDefault="00AF36AC" w:rsidP="00564499">
            <w:pPr>
              <w:spacing w:after="0" w:line="240" w:lineRule="auto"/>
              <w:rPr>
                <w:b/>
                <w:bCs/>
                <w:iCs/>
              </w:rPr>
            </w:pPr>
            <w:r w:rsidRPr="007973F5">
              <w:rPr>
                <w:b/>
                <w:bCs/>
                <w:iCs/>
              </w:rPr>
              <w:t>SBNA</w:t>
            </w:r>
          </w:p>
        </w:tc>
      </w:tr>
      <w:tr w:rsidR="00AF36AC" w:rsidRPr="00206D41" w14:paraId="6FFAD1DF" w14:textId="77777777" w:rsidTr="00564499">
        <w:trPr>
          <w:trHeight w:val="245"/>
        </w:trPr>
        <w:tc>
          <w:tcPr>
            <w:tcW w:w="1728" w:type="dxa"/>
            <w:shd w:val="clear" w:color="auto" w:fill="auto"/>
          </w:tcPr>
          <w:p w14:paraId="4A0460F3" w14:textId="0027509F" w:rsidR="00AF36AC" w:rsidRDefault="00511F11" w:rsidP="00564499">
            <w:pPr>
              <w:rPr>
                <w:b/>
                <w:bCs/>
                <w:iCs/>
              </w:rPr>
            </w:pPr>
            <w:r>
              <w:rPr>
                <w:rFonts w:asciiTheme="minorHAnsi" w:hAnsiTheme="minorHAnsi"/>
                <w:b/>
                <w:bCs/>
                <w:iCs/>
              </w:rPr>
              <w:t>METRIC PROVIDER</w:t>
            </w:r>
          </w:p>
        </w:tc>
        <w:tc>
          <w:tcPr>
            <w:tcW w:w="7470" w:type="dxa"/>
            <w:shd w:val="clear" w:color="auto" w:fill="auto"/>
          </w:tcPr>
          <w:p w14:paraId="467ACC42" w14:textId="2DEEC431" w:rsidR="00AF36AC" w:rsidRPr="005A6F8C" w:rsidRDefault="00AF36AC" w:rsidP="00564499">
            <w:pPr>
              <w:spacing w:after="0" w:line="240" w:lineRule="auto"/>
              <w:rPr>
                <w:b/>
                <w:bCs/>
                <w:iCs/>
              </w:rPr>
            </w:pPr>
            <w:r>
              <w:rPr>
                <w:b/>
                <w:bCs/>
                <w:iCs/>
              </w:rPr>
              <w:t xml:space="preserve">SBNA Solvency </w:t>
            </w:r>
          </w:p>
        </w:tc>
      </w:tr>
      <w:tr w:rsidR="001553CE" w:rsidRPr="00206D41" w14:paraId="69F1FA8C" w14:textId="77777777" w:rsidTr="00564499">
        <w:trPr>
          <w:trHeight w:val="439"/>
        </w:trPr>
        <w:tc>
          <w:tcPr>
            <w:tcW w:w="1728" w:type="dxa"/>
            <w:shd w:val="clear" w:color="auto" w:fill="auto"/>
          </w:tcPr>
          <w:p w14:paraId="6343637C" w14:textId="77777777" w:rsidR="001553CE" w:rsidRPr="00206D41" w:rsidRDefault="001553CE" w:rsidP="00564499">
            <w:pPr>
              <w:rPr>
                <w:b/>
                <w:bCs/>
                <w:iCs/>
              </w:rPr>
            </w:pPr>
            <w:r w:rsidRPr="005B0BAF">
              <w:rPr>
                <w:rFonts w:asciiTheme="minorHAnsi" w:hAnsiTheme="minorHAnsi"/>
                <w:b/>
                <w:bCs/>
                <w:iCs/>
              </w:rPr>
              <w:t>TRIGGER AND LIMIT SETTING</w:t>
            </w:r>
          </w:p>
        </w:tc>
        <w:tc>
          <w:tcPr>
            <w:tcW w:w="7470" w:type="dxa"/>
            <w:shd w:val="clear" w:color="auto" w:fill="auto"/>
          </w:tcPr>
          <w:p w14:paraId="3624442F" w14:textId="6C72E499" w:rsidR="001553CE" w:rsidRPr="001553CE" w:rsidRDefault="001553CE" w:rsidP="001553CE">
            <w:pPr>
              <w:spacing w:after="0" w:line="240" w:lineRule="auto"/>
              <w:rPr>
                <w:rFonts w:asciiTheme="minorHAnsi" w:eastAsiaTheme="minorHAnsi" w:hAnsiTheme="minorHAnsi" w:cstheme="minorBidi"/>
                <w:iCs/>
              </w:rPr>
            </w:pPr>
            <w:r>
              <w:rPr>
                <w:rFonts w:asciiTheme="minorHAnsi" w:eastAsiaTheme="minorHAnsi" w:hAnsiTheme="minorHAnsi" w:cstheme="minorBidi"/>
                <w:iCs/>
              </w:rPr>
              <w:t xml:space="preserve">The amber trigger is anchored as a percentage of CET1+ACL with adjustment; red limit is adjusted up from amber trigger per management discretion. </w:t>
            </w:r>
          </w:p>
          <w:p w14:paraId="285898FD" w14:textId="77777777" w:rsidR="001553CE" w:rsidRPr="00206D41" w:rsidRDefault="001553CE" w:rsidP="00564499">
            <w:pPr>
              <w:spacing w:after="0" w:line="240" w:lineRule="auto"/>
              <w:jc w:val="center"/>
              <w:rPr>
                <w:rFonts w:asciiTheme="minorHAnsi" w:eastAsiaTheme="minorHAnsi" w:hAnsiTheme="minorHAnsi" w:cstheme="minorBidi"/>
                <w:iCs/>
              </w:rPr>
            </w:pPr>
          </w:p>
        </w:tc>
      </w:tr>
      <w:tr w:rsidR="001553CE" w:rsidRPr="00206D41" w14:paraId="3F10231C" w14:textId="77777777" w:rsidTr="00564499">
        <w:trPr>
          <w:trHeight w:val="303"/>
        </w:trPr>
        <w:tc>
          <w:tcPr>
            <w:tcW w:w="1728" w:type="dxa"/>
            <w:shd w:val="clear" w:color="auto" w:fill="auto"/>
          </w:tcPr>
          <w:p w14:paraId="0325C87F" w14:textId="77777777" w:rsidR="001553CE" w:rsidRPr="00DF3739" w:rsidRDefault="001553CE" w:rsidP="00564499">
            <w:pPr>
              <w:rPr>
                <w:b/>
                <w:bCs/>
                <w:iCs/>
              </w:rPr>
            </w:pPr>
            <w:r>
              <w:rPr>
                <w:rFonts w:asciiTheme="minorHAnsi" w:hAnsiTheme="minorHAnsi"/>
                <w:b/>
                <w:bCs/>
                <w:iCs/>
              </w:rPr>
              <w:t>T</w:t>
            </w:r>
            <w:r w:rsidRPr="00DF3739">
              <w:rPr>
                <w:rFonts w:asciiTheme="minorHAnsi" w:hAnsiTheme="minorHAnsi"/>
                <w:b/>
                <w:bCs/>
                <w:iCs/>
              </w:rPr>
              <w:t>ESTING FREQUENCY</w:t>
            </w:r>
          </w:p>
        </w:tc>
        <w:tc>
          <w:tcPr>
            <w:tcW w:w="7470" w:type="dxa"/>
            <w:shd w:val="clear" w:color="auto" w:fill="auto"/>
          </w:tcPr>
          <w:p w14:paraId="5B89585F" w14:textId="77777777" w:rsidR="001553CE" w:rsidRPr="00DF3739" w:rsidRDefault="001553CE" w:rsidP="00564499">
            <w:pPr>
              <w:spacing w:after="0" w:line="240" w:lineRule="auto"/>
            </w:pPr>
            <w:r>
              <w:rPr>
                <w:bCs/>
                <w:iCs/>
              </w:rPr>
              <w:t>Monthly</w:t>
            </w:r>
          </w:p>
        </w:tc>
      </w:tr>
      <w:tr w:rsidR="001553CE" w:rsidRPr="00206D41" w14:paraId="78E597F4" w14:textId="77777777" w:rsidTr="00564499">
        <w:trPr>
          <w:trHeight w:val="978"/>
        </w:trPr>
        <w:tc>
          <w:tcPr>
            <w:tcW w:w="1728" w:type="dxa"/>
            <w:shd w:val="clear" w:color="auto" w:fill="auto"/>
          </w:tcPr>
          <w:p w14:paraId="691FB78B" w14:textId="77777777" w:rsidR="001553CE" w:rsidRPr="00DF3739" w:rsidRDefault="001553CE" w:rsidP="00564499">
            <w:pPr>
              <w:rPr>
                <w:b/>
                <w:bCs/>
                <w:iCs/>
              </w:rPr>
            </w:pPr>
            <w:r w:rsidRPr="00DF3739">
              <w:rPr>
                <w:b/>
                <w:bCs/>
                <w:iCs/>
              </w:rPr>
              <w:t>SOURCE OF INFORMATION</w:t>
            </w:r>
          </w:p>
        </w:tc>
        <w:tc>
          <w:tcPr>
            <w:tcW w:w="7470" w:type="dxa"/>
            <w:shd w:val="clear" w:color="auto" w:fill="auto"/>
          </w:tcPr>
          <w:p w14:paraId="00D14F8D" w14:textId="0ED37FB8" w:rsidR="001553CE" w:rsidRPr="000E4C0C" w:rsidRDefault="003B5980" w:rsidP="00564499">
            <w:pPr>
              <w:spacing w:after="0" w:line="240" w:lineRule="auto"/>
              <w:rPr>
                <w:bCs/>
                <w:iCs/>
              </w:rPr>
            </w:pPr>
            <w:r>
              <w:rPr>
                <w:bCs/>
                <w:iCs/>
              </w:rPr>
              <w:t>SBNA Solvency</w:t>
            </w:r>
          </w:p>
        </w:tc>
      </w:tr>
    </w:tbl>
    <w:p w14:paraId="418435F3" w14:textId="77777777" w:rsidR="001553CE" w:rsidRDefault="001553CE" w:rsidP="00E21A3C">
      <w:pPr>
        <w:pStyle w:val="SANUS2"/>
        <w:rPr>
          <w:color w:val="000000" w:themeColor="text1"/>
        </w:rPr>
      </w:pPr>
    </w:p>
    <w:p w14:paraId="7DD6FAC5" w14:textId="77777777" w:rsidR="00F83835" w:rsidRPr="002E67A0" w:rsidRDefault="00E70799" w:rsidP="00F83835">
      <w:pPr>
        <w:pStyle w:val="SANUS2"/>
        <w:numPr>
          <w:ilvl w:val="1"/>
          <w:numId w:val="1"/>
        </w:numPr>
        <w:tabs>
          <w:tab w:val="num" w:pos="540"/>
        </w:tabs>
        <w:ind w:left="567" w:hanging="567"/>
        <w:rPr>
          <w:color w:val="000000" w:themeColor="text1"/>
        </w:rPr>
      </w:pPr>
      <w:bookmarkStart w:id="108" w:name="_Toc452544126"/>
      <w:bookmarkStart w:id="109" w:name="_Toc453849292"/>
      <w:r>
        <w:rPr>
          <w:color w:val="000000" w:themeColor="text1"/>
        </w:rPr>
        <w:t>Public Sector</w:t>
      </w:r>
      <w:r w:rsidR="00F83835">
        <w:rPr>
          <w:color w:val="000000" w:themeColor="text1"/>
        </w:rPr>
        <w:t xml:space="preserve"> exposure (BSPR only)</w:t>
      </w:r>
      <w:bookmarkEnd w:id="108"/>
      <w:bookmarkEnd w:id="109"/>
    </w:p>
    <w:tbl>
      <w:tblPr>
        <w:tblpPr w:leftFromText="180" w:rightFromText="180" w:vertAnchor="text" w:tblpX="168" w:tblpY="1"/>
        <w:tblOverlap w:val="never"/>
        <w:tblW w:w="9198"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000" w:firstRow="0" w:lastRow="0" w:firstColumn="0" w:lastColumn="0" w:noHBand="0" w:noVBand="0"/>
      </w:tblPr>
      <w:tblGrid>
        <w:gridCol w:w="1728"/>
        <w:gridCol w:w="7470"/>
      </w:tblGrid>
      <w:tr w:rsidR="00F83835" w:rsidRPr="00206D41" w14:paraId="0B91083E" w14:textId="77777777" w:rsidTr="00EF72BB">
        <w:trPr>
          <w:trHeight w:val="347"/>
        </w:trPr>
        <w:tc>
          <w:tcPr>
            <w:tcW w:w="1728" w:type="dxa"/>
            <w:shd w:val="clear" w:color="auto" w:fill="auto"/>
          </w:tcPr>
          <w:p w14:paraId="3B5F6389" w14:textId="77777777" w:rsidR="00F83835" w:rsidRPr="00206D41" w:rsidRDefault="00F83835" w:rsidP="00EF72BB">
            <w:pPr>
              <w:rPr>
                <w:b/>
                <w:bCs/>
                <w:iCs/>
              </w:rPr>
            </w:pPr>
            <w:r>
              <w:rPr>
                <w:b/>
                <w:bCs/>
                <w:iCs/>
              </w:rPr>
              <w:t>DEFINITION</w:t>
            </w:r>
          </w:p>
        </w:tc>
        <w:tc>
          <w:tcPr>
            <w:tcW w:w="7470" w:type="dxa"/>
            <w:shd w:val="clear" w:color="auto" w:fill="auto"/>
          </w:tcPr>
          <w:p w14:paraId="557A5503" w14:textId="400D62ED" w:rsidR="00F83835" w:rsidRDefault="00DF7DD0" w:rsidP="00EF72BB">
            <w:pPr>
              <w:spacing w:after="0" w:line="240" w:lineRule="auto"/>
              <w:rPr>
                <w:bCs/>
                <w:iCs/>
              </w:rPr>
            </w:pPr>
            <w:r>
              <w:rPr>
                <w:bCs/>
                <w:iCs/>
              </w:rPr>
              <w:t xml:space="preserve">The total dollar value of </w:t>
            </w:r>
            <w:r w:rsidRPr="006F51D9">
              <w:rPr>
                <w:bCs/>
                <w:iCs/>
              </w:rPr>
              <w:t>PR Government,</w:t>
            </w:r>
            <w:r w:rsidRPr="00B2240C">
              <w:rPr>
                <w:rFonts w:asciiTheme="minorHAnsi" w:eastAsiaTheme="minorHAnsi" w:hAnsiTheme="minorHAnsi" w:cstheme="minorBidi"/>
                <w:bCs/>
                <w:iCs/>
                <w:lang w:val="en-GB"/>
              </w:rPr>
              <w:t xml:space="preserve"> authorities, agencies, dependencies and </w:t>
            </w:r>
            <w:proofErr w:type="gramStart"/>
            <w:r w:rsidRPr="00B2240C">
              <w:rPr>
                <w:rFonts w:asciiTheme="minorHAnsi" w:eastAsiaTheme="minorHAnsi" w:hAnsiTheme="minorHAnsi" w:cstheme="minorBidi"/>
                <w:bCs/>
                <w:iCs/>
                <w:lang w:val="en-GB"/>
              </w:rPr>
              <w:t>municipalities</w:t>
            </w:r>
            <w:proofErr w:type="gramEnd"/>
            <w:r>
              <w:rPr>
                <w:bCs/>
                <w:iCs/>
              </w:rPr>
              <w:t xml:space="preserve"> exposure to BSPR, including c</w:t>
            </w:r>
            <w:r w:rsidRPr="006F51D9">
              <w:rPr>
                <w:bCs/>
                <w:iCs/>
              </w:rPr>
              <w:t>ontingencies</w:t>
            </w:r>
            <w:r>
              <w:rPr>
                <w:bCs/>
                <w:iCs/>
              </w:rPr>
              <w:t>.</w:t>
            </w:r>
          </w:p>
          <w:p w14:paraId="511C308D" w14:textId="77777777" w:rsidR="00F83835" w:rsidRDefault="00F83835" w:rsidP="00EF72BB">
            <w:pPr>
              <w:contextualSpacing/>
              <w:rPr>
                <w:rFonts w:asciiTheme="minorHAnsi" w:eastAsiaTheme="minorHAnsi" w:hAnsiTheme="minorHAnsi" w:cstheme="minorBidi"/>
                <w:bCs/>
                <w:iCs/>
                <w:lang w:val="en-GB"/>
              </w:rPr>
            </w:pPr>
          </w:p>
          <w:p w14:paraId="417F709B" w14:textId="77777777" w:rsidR="00F83835" w:rsidRDefault="00F83835" w:rsidP="00EF72BB">
            <w:pPr>
              <w:contextualSpacing/>
              <w:rPr>
                <w:rFonts w:asciiTheme="minorHAnsi" w:eastAsiaTheme="minorHAnsi" w:hAnsiTheme="minorHAnsi" w:cstheme="minorBidi"/>
                <w:bCs/>
                <w:iCs/>
                <w:lang w:val="en-GB"/>
              </w:rPr>
            </w:pPr>
            <w:r w:rsidRPr="00BF190C">
              <w:rPr>
                <w:rFonts w:asciiTheme="minorHAnsi" w:eastAsiaTheme="minorHAnsi" w:hAnsiTheme="minorHAnsi" w:cstheme="minorBidi"/>
                <w:bCs/>
                <w:iCs/>
                <w:lang w:val="en-GB"/>
              </w:rPr>
              <w:t xml:space="preserve">Exposure </w:t>
            </w:r>
            <w:r>
              <w:rPr>
                <w:rFonts w:asciiTheme="minorHAnsi" w:eastAsiaTheme="minorHAnsi" w:hAnsiTheme="minorHAnsi" w:cstheme="minorBidi"/>
                <w:bCs/>
                <w:iCs/>
                <w:lang w:val="en-GB"/>
              </w:rPr>
              <w:t xml:space="preserve">is defined as </w:t>
            </w:r>
            <w:r w:rsidRPr="00BF190C">
              <w:rPr>
                <w:rFonts w:asciiTheme="minorHAnsi" w:eastAsiaTheme="minorHAnsi" w:hAnsiTheme="minorHAnsi" w:cstheme="minorBidi"/>
                <w:bCs/>
                <w:iCs/>
                <w:lang w:val="en-GB"/>
              </w:rPr>
              <w:t xml:space="preserve">the </w:t>
            </w:r>
            <w:r w:rsidRPr="00BF190C">
              <w:rPr>
                <w:rFonts w:asciiTheme="minorHAnsi" w:eastAsiaTheme="minorHAnsi" w:hAnsiTheme="minorHAnsi" w:cstheme="minorBidi"/>
                <w:bCs/>
                <w:iCs/>
                <w:u w:val="single"/>
                <w:lang w:val="en-GB"/>
              </w:rPr>
              <w:t>sum</w:t>
            </w:r>
            <w:r w:rsidRPr="00BF190C">
              <w:rPr>
                <w:rFonts w:asciiTheme="minorHAnsi" w:eastAsiaTheme="minorHAnsi" w:hAnsiTheme="minorHAnsi" w:cstheme="minorBidi"/>
                <w:bCs/>
                <w:iCs/>
                <w:lang w:val="en-GB"/>
              </w:rPr>
              <w:t xml:space="preserve"> of: </w:t>
            </w:r>
          </w:p>
          <w:p w14:paraId="510FCCEA" w14:textId="77777777" w:rsidR="00F83835" w:rsidRDefault="00F83835" w:rsidP="00EF72BB">
            <w:pPr>
              <w:numPr>
                <w:ilvl w:val="1"/>
                <w:numId w:val="11"/>
              </w:numPr>
              <w:contextualSpacing/>
              <w:rPr>
                <w:rFonts w:asciiTheme="minorHAnsi" w:eastAsiaTheme="minorHAnsi" w:hAnsiTheme="minorHAnsi" w:cstheme="minorBidi"/>
                <w:bCs/>
                <w:iCs/>
                <w:lang w:val="en-GB"/>
              </w:rPr>
            </w:pPr>
            <w:r w:rsidRPr="00BF190C">
              <w:rPr>
                <w:rFonts w:asciiTheme="minorHAnsi" w:eastAsiaTheme="minorHAnsi" w:hAnsiTheme="minorHAnsi" w:cstheme="minorBidi"/>
                <w:bCs/>
                <w:iCs/>
                <w:lang w:val="en-GB"/>
              </w:rPr>
              <w:t xml:space="preserve">Committed facilities (drawn and undrawn)  </w:t>
            </w:r>
          </w:p>
          <w:p w14:paraId="66350858" w14:textId="77777777" w:rsidR="00F83835" w:rsidRDefault="00F83835" w:rsidP="00EF72BB">
            <w:pPr>
              <w:numPr>
                <w:ilvl w:val="1"/>
                <w:numId w:val="11"/>
              </w:numPr>
              <w:contextualSpacing/>
              <w:rPr>
                <w:rFonts w:asciiTheme="minorHAnsi" w:eastAsiaTheme="minorHAnsi" w:hAnsiTheme="minorHAnsi" w:cstheme="minorBidi"/>
                <w:bCs/>
                <w:iCs/>
                <w:lang w:val="en-GB"/>
              </w:rPr>
            </w:pPr>
            <w:r>
              <w:rPr>
                <w:rFonts w:asciiTheme="minorHAnsi" w:eastAsiaTheme="minorHAnsi" w:hAnsiTheme="minorHAnsi" w:cstheme="minorBidi"/>
                <w:bCs/>
                <w:iCs/>
                <w:lang w:val="en-GB"/>
              </w:rPr>
              <w:t>D</w:t>
            </w:r>
            <w:r w:rsidRPr="00BF190C">
              <w:rPr>
                <w:rFonts w:asciiTheme="minorHAnsi" w:eastAsiaTheme="minorHAnsi" w:hAnsiTheme="minorHAnsi" w:cstheme="minorBidi"/>
                <w:bCs/>
                <w:iCs/>
                <w:lang w:val="en-GB"/>
              </w:rPr>
              <w:t>rawn</w:t>
            </w:r>
            <w:r>
              <w:rPr>
                <w:rFonts w:asciiTheme="minorHAnsi" w:eastAsiaTheme="minorHAnsi" w:hAnsiTheme="minorHAnsi" w:cstheme="minorBidi"/>
                <w:bCs/>
                <w:iCs/>
                <w:lang w:val="en-GB"/>
              </w:rPr>
              <w:t xml:space="preserve"> balances</w:t>
            </w:r>
            <w:r w:rsidRPr="00BF190C">
              <w:rPr>
                <w:rFonts w:asciiTheme="minorHAnsi" w:eastAsiaTheme="minorHAnsi" w:hAnsiTheme="minorHAnsi" w:cstheme="minorBidi"/>
                <w:bCs/>
                <w:iCs/>
                <w:lang w:val="en-GB"/>
              </w:rPr>
              <w:t xml:space="preserve"> under uncommitted facilities  </w:t>
            </w:r>
          </w:p>
          <w:p w14:paraId="1B8E01EB" w14:textId="77777777" w:rsidR="00F83835" w:rsidRDefault="00F83835" w:rsidP="00EF72BB">
            <w:pPr>
              <w:numPr>
                <w:ilvl w:val="1"/>
                <w:numId w:val="11"/>
              </w:numPr>
              <w:contextualSpacing/>
              <w:rPr>
                <w:rFonts w:asciiTheme="minorHAnsi" w:eastAsiaTheme="minorHAnsi" w:hAnsiTheme="minorHAnsi" w:cstheme="minorBidi"/>
                <w:bCs/>
                <w:iCs/>
                <w:lang w:val="en-GB"/>
              </w:rPr>
            </w:pPr>
            <w:r>
              <w:rPr>
                <w:rFonts w:asciiTheme="minorHAnsi" w:eastAsiaTheme="minorHAnsi" w:hAnsiTheme="minorHAnsi" w:cstheme="minorBidi"/>
                <w:bCs/>
                <w:iCs/>
                <w:lang w:val="en-GB"/>
              </w:rPr>
              <w:t>O</w:t>
            </w:r>
            <w:r w:rsidRPr="00BF190C">
              <w:rPr>
                <w:rFonts w:asciiTheme="minorHAnsi" w:eastAsiaTheme="minorHAnsi" w:hAnsiTheme="minorHAnsi" w:cstheme="minorBidi"/>
                <w:bCs/>
                <w:iCs/>
                <w:lang w:val="en-GB"/>
              </w:rPr>
              <w:t xml:space="preserve">ff balance sheet items (e.g. Letters of Credit)  </w:t>
            </w:r>
          </w:p>
          <w:p w14:paraId="31EC6811" w14:textId="77777777" w:rsidR="00F83835" w:rsidRDefault="00F83835" w:rsidP="00EF72BB">
            <w:pPr>
              <w:numPr>
                <w:ilvl w:val="1"/>
                <w:numId w:val="11"/>
              </w:numPr>
              <w:contextualSpacing/>
              <w:rPr>
                <w:rFonts w:asciiTheme="minorHAnsi" w:eastAsiaTheme="minorHAnsi" w:hAnsiTheme="minorHAnsi" w:cstheme="minorBidi"/>
                <w:bCs/>
                <w:iCs/>
                <w:lang w:val="en-GB"/>
              </w:rPr>
            </w:pPr>
            <w:r w:rsidRPr="00BF190C">
              <w:rPr>
                <w:rFonts w:asciiTheme="minorHAnsi" w:eastAsiaTheme="minorHAnsi" w:hAnsiTheme="minorHAnsi" w:cstheme="minorBidi"/>
                <w:bCs/>
                <w:iCs/>
                <w:lang w:val="en-GB"/>
              </w:rPr>
              <w:t>PFE</w:t>
            </w:r>
            <w:r w:rsidRPr="00BF190C">
              <w:rPr>
                <w:rFonts w:asciiTheme="minorHAnsi" w:eastAsiaTheme="minorHAnsi" w:hAnsiTheme="minorHAnsi" w:cstheme="minorBidi"/>
                <w:bCs/>
                <w:iCs/>
                <w:vertAlign w:val="superscript"/>
                <w:lang w:val="en-GB"/>
              </w:rPr>
              <w:footnoteReference w:id="11"/>
            </w:r>
            <w:r w:rsidRPr="00BF190C">
              <w:rPr>
                <w:rFonts w:asciiTheme="minorHAnsi" w:eastAsiaTheme="minorHAnsi" w:hAnsiTheme="minorHAnsi" w:cstheme="minorBidi"/>
                <w:bCs/>
                <w:iCs/>
                <w:lang w:val="en-GB"/>
              </w:rPr>
              <w:t xml:space="preserve"> (“REC”) for derivatives. </w:t>
            </w:r>
          </w:p>
          <w:p w14:paraId="556129E5" w14:textId="77777777" w:rsidR="00F83835" w:rsidRPr="00206D41" w:rsidRDefault="00F83835" w:rsidP="00EF72BB">
            <w:pPr>
              <w:spacing w:after="0" w:line="240" w:lineRule="auto"/>
              <w:rPr>
                <w:bCs/>
                <w:iCs/>
              </w:rPr>
            </w:pPr>
            <w:r w:rsidRPr="00BF190C">
              <w:rPr>
                <w:rFonts w:asciiTheme="minorHAnsi" w:eastAsiaTheme="minorHAnsi" w:hAnsiTheme="minorHAnsi" w:cstheme="minorBidi"/>
                <w:bCs/>
                <w:iCs/>
                <w:lang w:val="en-GB"/>
              </w:rPr>
              <w:t>Exposures will be calculated at individual counterparty level and aggregated as required to ultimate parent (economic group) level</w:t>
            </w:r>
            <w:r>
              <w:rPr>
                <w:rFonts w:asciiTheme="minorHAnsi" w:eastAsiaTheme="minorHAnsi" w:hAnsiTheme="minorHAnsi" w:cstheme="minorBidi"/>
                <w:bCs/>
                <w:iCs/>
                <w:lang w:val="en-GB"/>
              </w:rPr>
              <w:t>.</w:t>
            </w:r>
          </w:p>
        </w:tc>
      </w:tr>
      <w:tr w:rsidR="00F83835" w:rsidRPr="00206D41" w14:paraId="242036AC" w14:textId="77777777" w:rsidTr="00EF72BB">
        <w:trPr>
          <w:trHeight w:val="448"/>
        </w:trPr>
        <w:tc>
          <w:tcPr>
            <w:tcW w:w="1728" w:type="dxa"/>
            <w:shd w:val="clear" w:color="auto" w:fill="auto"/>
          </w:tcPr>
          <w:p w14:paraId="55F5E207" w14:textId="77777777" w:rsidR="00F83835" w:rsidRPr="00206D41" w:rsidRDefault="00F83835" w:rsidP="00EF72BB">
            <w:pPr>
              <w:rPr>
                <w:b/>
                <w:bCs/>
                <w:iCs/>
              </w:rPr>
            </w:pPr>
            <w:r>
              <w:rPr>
                <w:b/>
                <w:bCs/>
                <w:iCs/>
              </w:rPr>
              <w:t>RISK TYPE</w:t>
            </w:r>
          </w:p>
        </w:tc>
        <w:tc>
          <w:tcPr>
            <w:tcW w:w="7470" w:type="dxa"/>
            <w:shd w:val="clear" w:color="auto" w:fill="auto"/>
          </w:tcPr>
          <w:p w14:paraId="54ED0686" w14:textId="77777777" w:rsidR="00F83835" w:rsidRPr="00206D41" w:rsidRDefault="00F83835" w:rsidP="00EF72BB">
            <w:pPr>
              <w:spacing w:after="0" w:line="240" w:lineRule="auto"/>
              <w:rPr>
                <w:bCs/>
                <w:iCs/>
              </w:rPr>
            </w:pPr>
            <w:r>
              <w:rPr>
                <w:bCs/>
                <w:iCs/>
              </w:rPr>
              <w:t>Credit Risk</w:t>
            </w:r>
          </w:p>
        </w:tc>
      </w:tr>
      <w:tr w:rsidR="00F83835" w:rsidRPr="00206D41" w14:paraId="5DBE08F7" w14:textId="77777777" w:rsidTr="00EF72BB">
        <w:trPr>
          <w:trHeight w:val="448"/>
        </w:trPr>
        <w:tc>
          <w:tcPr>
            <w:tcW w:w="1728" w:type="dxa"/>
            <w:shd w:val="clear" w:color="auto" w:fill="auto"/>
          </w:tcPr>
          <w:p w14:paraId="02DE1EDC" w14:textId="77777777" w:rsidR="00F83835" w:rsidRDefault="00F83835" w:rsidP="00EF72BB">
            <w:pPr>
              <w:rPr>
                <w:b/>
                <w:bCs/>
                <w:iCs/>
              </w:rPr>
            </w:pPr>
            <w:r>
              <w:rPr>
                <w:b/>
                <w:bCs/>
                <w:iCs/>
              </w:rPr>
              <w:t>RATIONALE</w:t>
            </w:r>
          </w:p>
        </w:tc>
        <w:tc>
          <w:tcPr>
            <w:tcW w:w="7470" w:type="dxa"/>
            <w:shd w:val="clear" w:color="auto" w:fill="auto"/>
          </w:tcPr>
          <w:p w14:paraId="1E527E25" w14:textId="77777777" w:rsidR="00F83835" w:rsidRDefault="00EE0CC1" w:rsidP="004D074B">
            <w:pPr>
              <w:spacing w:after="0" w:line="240" w:lineRule="auto"/>
              <w:rPr>
                <w:bCs/>
                <w:iCs/>
              </w:rPr>
            </w:pPr>
            <w:r>
              <w:rPr>
                <w:bCs/>
                <w:iCs/>
              </w:rPr>
              <w:t xml:space="preserve">Important metric given its large exposure at BSPR relative to total credit exposure </w:t>
            </w:r>
            <w:r w:rsidR="004D074B">
              <w:rPr>
                <w:bCs/>
                <w:iCs/>
              </w:rPr>
              <w:t>and current public sector challenges in Puerto Rico</w:t>
            </w:r>
          </w:p>
        </w:tc>
      </w:tr>
      <w:tr w:rsidR="001553CE" w:rsidRPr="00206D41" w14:paraId="11C27BBB" w14:textId="77777777" w:rsidTr="00564499">
        <w:trPr>
          <w:trHeight w:val="270"/>
        </w:trPr>
        <w:tc>
          <w:tcPr>
            <w:tcW w:w="1728" w:type="dxa"/>
            <w:shd w:val="clear" w:color="auto" w:fill="auto"/>
          </w:tcPr>
          <w:p w14:paraId="5E6ACD10" w14:textId="77777777" w:rsidR="001553CE" w:rsidRPr="00206D41" w:rsidRDefault="001553CE" w:rsidP="00656906">
            <w:pPr>
              <w:rPr>
                <w:b/>
                <w:bCs/>
                <w:iCs/>
              </w:rPr>
            </w:pPr>
            <w:r>
              <w:rPr>
                <w:b/>
                <w:bCs/>
                <w:iCs/>
              </w:rPr>
              <w:t>ENTITY</w:t>
            </w:r>
          </w:p>
        </w:tc>
        <w:tc>
          <w:tcPr>
            <w:tcW w:w="7470" w:type="dxa"/>
            <w:shd w:val="clear" w:color="auto" w:fill="auto"/>
          </w:tcPr>
          <w:p w14:paraId="20F5D393" w14:textId="1FD50996" w:rsidR="001553CE" w:rsidRPr="001553CE" w:rsidRDefault="001553CE" w:rsidP="00656906">
            <w:pPr>
              <w:spacing w:after="0" w:line="240" w:lineRule="auto"/>
              <w:rPr>
                <w:b/>
                <w:bCs/>
                <w:iCs/>
              </w:rPr>
            </w:pPr>
            <w:r>
              <w:rPr>
                <w:b/>
                <w:bCs/>
                <w:iCs/>
              </w:rPr>
              <w:t>BSPR</w:t>
            </w:r>
          </w:p>
        </w:tc>
      </w:tr>
      <w:tr w:rsidR="001553CE" w:rsidRPr="00206D41" w14:paraId="481760FE" w14:textId="77777777" w:rsidTr="00564499">
        <w:trPr>
          <w:trHeight w:val="270"/>
        </w:trPr>
        <w:tc>
          <w:tcPr>
            <w:tcW w:w="1728" w:type="dxa"/>
            <w:shd w:val="clear" w:color="auto" w:fill="auto"/>
          </w:tcPr>
          <w:p w14:paraId="247CCCD0" w14:textId="378C90C1" w:rsidR="001553CE" w:rsidRPr="00206D41" w:rsidRDefault="00511F11" w:rsidP="00656906">
            <w:pPr>
              <w:rPr>
                <w:b/>
                <w:bCs/>
                <w:iCs/>
              </w:rPr>
            </w:pPr>
            <w:r>
              <w:rPr>
                <w:rFonts w:asciiTheme="minorHAnsi" w:hAnsiTheme="minorHAnsi"/>
                <w:b/>
                <w:bCs/>
                <w:iCs/>
              </w:rPr>
              <w:t>METRIC PROVIDER</w:t>
            </w:r>
          </w:p>
        </w:tc>
        <w:tc>
          <w:tcPr>
            <w:tcW w:w="7470" w:type="dxa"/>
            <w:shd w:val="clear" w:color="auto" w:fill="auto"/>
          </w:tcPr>
          <w:p w14:paraId="79F85D11" w14:textId="1235DF3C" w:rsidR="001553CE" w:rsidRPr="0004486A" w:rsidRDefault="003B5980" w:rsidP="00656906">
            <w:pPr>
              <w:spacing w:after="0" w:line="240" w:lineRule="auto"/>
              <w:rPr>
                <w:b/>
                <w:bCs/>
                <w:iCs/>
              </w:rPr>
            </w:pPr>
            <w:r>
              <w:rPr>
                <w:b/>
                <w:bCs/>
                <w:iCs/>
              </w:rPr>
              <w:t>BSPR Credit Risk</w:t>
            </w:r>
          </w:p>
        </w:tc>
      </w:tr>
      <w:tr w:rsidR="00656906" w:rsidRPr="00206D41" w14:paraId="3CD9FBB6" w14:textId="77777777" w:rsidTr="00EF72BB">
        <w:trPr>
          <w:trHeight w:val="360"/>
        </w:trPr>
        <w:tc>
          <w:tcPr>
            <w:tcW w:w="1728" w:type="dxa"/>
            <w:shd w:val="clear" w:color="auto" w:fill="auto"/>
          </w:tcPr>
          <w:p w14:paraId="49C36D0B" w14:textId="77777777" w:rsidR="00656906" w:rsidRPr="00206D41" w:rsidRDefault="00656906" w:rsidP="00656906">
            <w:pPr>
              <w:rPr>
                <w:b/>
                <w:bCs/>
                <w:iCs/>
              </w:rPr>
            </w:pPr>
            <w:r>
              <w:rPr>
                <w:b/>
                <w:bCs/>
                <w:iCs/>
              </w:rPr>
              <w:t>TRIGGER AND LIMIT SETTING</w:t>
            </w:r>
          </w:p>
        </w:tc>
        <w:tc>
          <w:tcPr>
            <w:tcW w:w="7470" w:type="dxa"/>
            <w:shd w:val="clear" w:color="auto" w:fill="auto"/>
          </w:tcPr>
          <w:p w14:paraId="693B0C78" w14:textId="77777777" w:rsidR="00656906" w:rsidRDefault="00656906" w:rsidP="00656906">
            <w:pPr>
              <w:spacing w:after="0" w:line="240" w:lineRule="auto"/>
              <w:rPr>
                <w:rFonts w:asciiTheme="minorHAnsi" w:eastAsiaTheme="minorHAnsi" w:hAnsiTheme="minorHAnsi" w:cstheme="minorBidi"/>
                <w:iCs/>
              </w:rPr>
            </w:pPr>
            <w:r>
              <w:rPr>
                <w:rFonts w:asciiTheme="minorHAnsi" w:eastAsiaTheme="minorHAnsi" w:hAnsiTheme="minorHAnsi" w:cstheme="minorBidi"/>
                <w:iCs/>
              </w:rPr>
              <w:t>The amber trigger and red limit for this metric are reviewed annually by the Board when setting the RAS. The trigger and limit for Public Sector exposure are set as follows:</w:t>
            </w:r>
          </w:p>
          <w:p w14:paraId="195A50C1" w14:textId="77777777" w:rsidR="00656906" w:rsidRDefault="00656906" w:rsidP="00656906">
            <w:pPr>
              <w:spacing w:after="0" w:line="240" w:lineRule="auto"/>
              <w:rPr>
                <w:rFonts w:asciiTheme="minorHAnsi" w:eastAsiaTheme="minorHAnsi" w:hAnsiTheme="minorHAnsi" w:cstheme="minorBidi"/>
                <w:iCs/>
              </w:rPr>
            </w:pPr>
          </w:p>
          <w:p w14:paraId="38D8CAF0" w14:textId="7602576F" w:rsidR="00656906" w:rsidRDefault="00656906" w:rsidP="00656906">
            <w:pPr>
              <w:pStyle w:val="ListParagraph"/>
              <w:numPr>
                <w:ilvl w:val="0"/>
                <w:numId w:val="55"/>
              </w:numPr>
              <w:spacing w:after="0" w:line="240" w:lineRule="auto"/>
              <w:rPr>
                <w:iCs/>
              </w:rPr>
            </w:pPr>
            <w:r>
              <w:rPr>
                <w:iCs/>
              </w:rPr>
              <w:t>Amber trigger: Set using a 20% deviation below the max exposure</w:t>
            </w:r>
            <w:r w:rsidR="00DF7DD0">
              <w:rPr>
                <w:iCs/>
              </w:rPr>
              <w:t xml:space="preserve"> (limit)</w:t>
            </w:r>
            <w:r>
              <w:rPr>
                <w:iCs/>
              </w:rPr>
              <w:t xml:space="preserve"> per BSPR Concentration Guideline (Board-approved document) </w:t>
            </w:r>
          </w:p>
          <w:p w14:paraId="6FEE3652" w14:textId="77777777" w:rsidR="00656906" w:rsidRPr="001618A5" w:rsidRDefault="00656906" w:rsidP="00656906">
            <w:pPr>
              <w:pStyle w:val="ListParagraph"/>
              <w:numPr>
                <w:ilvl w:val="0"/>
                <w:numId w:val="55"/>
              </w:numPr>
              <w:spacing w:after="0" w:line="240" w:lineRule="auto"/>
              <w:rPr>
                <w:iCs/>
              </w:rPr>
            </w:pPr>
            <w:r>
              <w:rPr>
                <w:iCs/>
              </w:rPr>
              <w:t xml:space="preserve">Red limit: Max exposure per BSPR Concentration Guideline (Board-approved document) is 14% of the total credit portfolio exposure  </w:t>
            </w:r>
          </w:p>
          <w:p w14:paraId="20A6DF87" w14:textId="77777777" w:rsidR="00656906" w:rsidRPr="001618A5" w:rsidRDefault="00656906" w:rsidP="00656906">
            <w:pPr>
              <w:spacing w:after="0" w:line="240" w:lineRule="auto"/>
              <w:rPr>
                <w:rFonts w:asciiTheme="minorHAnsi" w:eastAsiaTheme="minorHAnsi" w:hAnsiTheme="minorHAnsi" w:cstheme="minorBidi"/>
                <w:iCs/>
                <w:lang w:val="en-GB"/>
              </w:rPr>
            </w:pPr>
          </w:p>
        </w:tc>
      </w:tr>
      <w:tr w:rsidR="00656906" w:rsidRPr="00206D41" w14:paraId="584876C6" w14:textId="77777777" w:rsidTr="00EF72BB">
        <w:trPr>
          <w:cantSplit/>
          <w:trHeight w:val="360"/>
        </w:trPr>
        <w:tc>
          <w:tcPr>
            <w:tcW w:w="1728" w:type="dxa"/>
            <w:shd w:val="clear" w:color="auto" w:fill="auto"/>
          </w:tcPr>
          <w:p w14:paraId="119A3B67" w14:textId="77777777" w:rsidR="00656906" w:rsidRPr="00206D41" w:rsidRDefault="00656906" w:rsidP="00656906">
            <w:pPr>
              <w:rPr>
                <w:b/>
                <w:bCs/>
                <w:iCs/>
              </w:rPr>
            </w:pPr>
            <w:r w:rsidRPr="00931941">
              <w:rPr>
                <w:b/>
                <w:bCs/>
                <w:iCs/>
              </w:rPr>
              <w:t>TESTING FREQUENCY</w:t>
            </w:r>
          </w:p>
        </w:tc>
        <w:tc>
          <w:tcPr>
            <w:tcW w:w="7470" w:type="dxa"/>
            <w:shd w:val="clear" w:color="auto" w:fill="auto"/>
          </w:tcPr>
          <w:p w14:paraId="64E5A06E" w14:textId="77777777" w:rsidR="00656906" w:rsidRPr="002E67A0" w:rsidRDefault="00656906" w:rsidP="00656906">
            <w:pPr>
              <w:spacing w:after="0" w:line="240" w:lineRule="auto"/>
              <w:rPr>
                <w:rFonts w:asciiTheme="minorHAnsi" w:eastAsiaTheme="minorHAnsi" w:hAnsiTheme="minorHAnsi" w:cstheme="minorBidi"/>
                <w:iCs/>
              </w:rPr>
            </w:pPr>
            <w:r>
              <w:rPr>
                <w:rFonts w:asciiTheme="minorHAnsi" w:eastAsiaTheme="minorHAnsi" w:hAnsiTheme="minorHAnsi" w:cstheme="minorBidi"/>
                <w:iCs/>
              </w:rPr>
              <w:t>Monthly</w:t>
            </w:r>
          </w:p>
        </w:tc>
      </w:tr>
      <w:tr w:rsidR="00656906" w:rsidRPr="00206D41" w14:paraId="0A76C365" w14:textId="77777777" w:rsidTr="00EF72BB">
        <w:trPr>
          <w:trHeight w:val="650"/>
        </w:trPr>
        <w:tc>
          <w:tcPr>
            <w:tcW w:w="1728" w:type="dxa"/>
            <w:shd w:val="clear" w:color="auto" w:fill="auto"/>
          </w:tcPr>
          <w:p w14:paraId="6F016976" w14:textId="77777777" w:rsidR="00656906" w:rsidRPr="00206D41" w:rsidRDefault="00656906" w:rsidP="00656906">
            <w:pPr>
              <w:rPr>
                <w:b/>
                <w:bCs/>
                <w:iCs/>
              </w:rPr>
            </w:pPr>
            <w:r w:rsidRPr="00206D41">
              <w:rPr>
                <w:b/>
                <w:bCs/>
                <w:iCs/>
              </w:rPr>
              <w:t>SOURCE OF INFORMATION</w:t>
            </w:r>
          </w:p>
        </w:tc>
        <w:tc>
          <w:tcPr>
            <w:tcW w:w="7470" w:type="dxa"/>
            <w:shd w:val="clear" w:color="auto" w:fill="auto"/>
          </w:tcPr>
          <w:p w14:paraId="2B8701BF" w14:textId="755AC3F1" w:rsidR="00DF7DD0" w:rsidRPr="00EF72BB" w:rsidRDefault="00DF7DD0" w:rsidP="00DF7DD0">
            <w:pPr>
              <w:spacing w:after="0" w:line="240" w:lineRule="auto"/>
              <w:rPr>
                <w:bCs/>
                <w:iCs/>
              </w:rPr>
            </w:pPr>
            <w:r>
              <w:rPr>
                <w:bCs/>
                <w:iCs/>
              </w:rPr>
              <w:t xml:space="preserve">The data is provided by the </w:t>
            </w:r>
            <w:r>
              <w:rPr>
                <w:bCs/>
                <w:iCs/>
              </w:rPr>
              <w:t xml:space="preserve">BSPR </w:t>
            </w:r>
            <w:r>
              <w:rPr>
                <w:bCs/>
                <w:iCs/>
              </w:rPr>
              <w:t>Credit Risk MI area on a monthly basis and also included within the Concentration Guideline (BOD-approved document and monitoring is presented quarterly at the Board Risk Committee).</w:t>
            </w:r>
          </w:p>
          <w:p w14:paraId="2437C469" w14:textId="79256B01" w:rsidR="00656906" w:rsidRPr="00C72D48" w:rsidRDefault="00656906" w:rsidP="00FC6780">
            <w:pPr>
              <w:spacing w:after="0" w:line="240" w:lineRule="auto"/>
              <w:rPr>
                <w:bCs/>
                <w:iCs/>
              </w:rPr>
            </w:pPr>
          </w:p>
        </w:tc>
      </w:tr>
    </w:tbl>
    <w:p w14:paraId="0932A59A" w14:textId="77777777" w:rsidR="00F83835" w:rsidRDefault="00F83835" w:rsidP="00E21A3C">
      <w:pPr>
        <w:pStyle w:val="SANUS2"/>
        <w:rPr>
          <w:color w:val="000000" w:themeColor="text1"/>
        </w:rPr>
      </w:pPr>
    </w:p>
    <w:p w14:paraId="56AAAAA4" w14:textId="459A06E9" w:rsidR="00AF36AC" w:rsidRPr="00AF36AC" w:rsidRDefault="00AF36AC" w:rsidP="00E21A3C">
      <w:pPr>
        <w:pStyle w:val="SANUS2"/>
        <w:numPr>
          <w:ilvl w:val="1"/>
          <w:numId w:val="1"/>
        </w:numPr>
        <w:rPr>
          <w:color w:val="000000" w:themeColor="text1"/>
        </w:rPr>
      </w:pPr>
      <w:bookmarkStart w:id="110" w:name="_Toc453849293"/>
      <w:r>
        <w:rPr>
          <w:color w:val="000000" w:themeColor="text1"/>
        </w:rPr>
        <w:t>SC</w:t>
      </w:r>
      <w:r w:rsidRPr="002911D0">
        <w:rPr>
          <w:color w:val="000000" w:themeColor="text1"/>
        </w:rPr>
        <w:t xml:space="preserve"> subprime assets as % of SHUSA credit exposure</w:t>
      </w:r>
      <w:bookmarkEnd w:id="110"/>
    </w:p>
    <w:tbl>
      <w:tblPr>
        <w:tblpPr w:leftFromText="180" w:rightFromText="180" w:vertAnchor="text" w:tblpX="168" w:tblpY="1"/>
        <w:tblOverlap w:val="never"/>
        <w:tblW w:w="9198"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000" w:firstRow="0" w:lastRow="0" w:firstColumn="0" w:lastColumn="0" w:noHBand="0" w:noVBand="0"/>
      </w:tblPr>
      <w:tblGrid>
        <w:gridCol w:w="1622"/>
        <w:gridCol w:w="7576"/>
      </w:tblGrid>
      <w:tr w:rsidR="00AF36AC" w:rsidRPr="00206D41" w14:paraId="35CE6CAF" w14:textId="77777777" w:rsidTr="00564499">
        <w:trPr>
          <w:trHeight w:val="261"/>
        </w:trPr>
        <w:tc>
          <w:tcPr>
            <w:tcW w:w="1622" w:type="dxa"/>
            <w:shd w:val="clear" w:color="auto" w:fill="auto"/>
          </w:tcPr>
          <w:p w14:paraId="5AC9320B" w14:textId="77777777" w:rsidR="00AF36AC" w:rsidRPr="00206D41" w:rsidRDefault="00AF36AC" w:rsidP="00564499">
            <w:pPr>
              <w:rPr>
                <w:b/>
                <w:bCs/>
                <w:iCs/>
              </w:rPr>
            </w:pPr>
            <w:r>
              <w:rPr>
                <w:b/>
                <w:bCs/>
                <w:iCs/>
              </w:rPr>
              <w:t>DEFINITION</w:t>
            </w:r>
          </w:p>
        </w:tc>
        <w:tc>
          <w:tcPr>
            <w:tcW w:w="7576" w:type="dxa"/>
            <w:shd w:val="clear" w:color="auto" w:fill="auto"/>
          </w:tcPr>
          <w:p w14:paraId="7391A75C" w14:textId="77777777" w:rsidR="00AF36AC" w:rsidRPr="00206D41" w:rsidRDefault="00AF36AC" w:rsidP="00564499">
            <w:pPr>
              <w:spacing w:after="0" w:line="240" w:lineRule="auto"/>
              <w:rPr>
                <w:bCs/>
                <w:iCs/>
              </w:rPr>
            </w:pPr>
            <w:r>
              <w:rPr>
                <w:bCs/>
                <w:iCs/>
              </w:rPr>
              <w:t>The concentration</w:t>
            </w:r>
            <w:r w:rsidRPr="00206D41">
              <w:rPr>
                <w:bCs/>
                <w:iCs/>
              </w:rPr>
              <w:t xml:space="preserve"> of </w:t>
            </w:r>
            <w:r>
              <w:rPr>
                <w:bCs/>
                <w:iCs/>
              </w:rPr>
              <w:t>SC sub-prime assets</w:t>
            </w:r>
            <w:r w:rsidRPr="00206D41">
              <w:rPr>
                <w:bCs/>
                <w:iCs/>
              </w:rPr>
              <w:t xml:space="preserve"> as a % of total SHUSA consolidated </w:t>
            </w:r>
            <w:r>
              <w:rPr>
                <w:bCs/>
                <w:iCs/>
              </w:rPr>
              <w:t>credit exposure</w:t>
            </w:r>
          </w:p>
        </w:tc>
      </w:tr>
      <w:tr w:rsidR="00AF36AC" w:rsidRPr="00206D41" w14:paraId="5EDFB71F" w14:textId="77777777" w:rsidTr="00564499">
        <w:trPr>
          <w:trHeight w:val="350"/>
        </w:trPr>
        <w:tc>
          <w:tcPr>
            <w:tcW w:w="1622" w:type="dxa"/>
            <w:shd w:val="clear" w:color="auto" w:fill="auto"/>
          </w:tcPr>
          <w:p w14:paraId="4B2C3D94" w14:textId="77777777" w:rsidR="00AF36AC" w:rsidRPr="00206D41" w:rsidRDefault="00AF36AC" w:rsidP="00564499">
            <w:pPr>
              <w:rPr>
                <w:b/>
                <w:bCs/>
                <w:iCs/>
              </w:rPr>
            </w:pPr>
            <w:r>
              <w:rPr>
                <w:b/>
                <w:bCs/>
                <w:iCs/>
              </w:rPr>
              <w:t>RISK TYPE</w:t>
            </w:r>
          </w:p>
        </w:tc>
        <w:tc>
          <w:tcPr>
            <w:tcW w:w="7576" w:type="dxa"/>
            <w:shd w:val="clear" w:color="auto" w:fill="auto"/>
          </w:tcPr>
          <w:p w14:paraId="7B4345F5" w14:textId="77777777" w:rsidR="00AF36AC" w:rsidRPr="00206D41" w:rsidRDefault="00AF36AC" w:rsidP="00564499">
            <w:pPr>
              <w:spacing w:after="0" w:line="240" w:lineRule="auto"/>
              <w:rPr>
                <w:bCs/>
                <w:iCs/>
              </w:rPr>
            </w:pPr>
            <w:r>
              <w:rPr>
                <w:bCs/>
                <w:iCs/>
              </w:rPr>
              <w:t>Credit</w:t>
            </w:r>
            <w:r w:rsidRPr="00206D41">
              <w:rPr>
                <w:bCs/>
                <w:iCs/>
              </w:rPr>
              <w:t xml:space="preserve"> Risk</w:t>
            </w:r>
          </w:p>
        </w:tc>
      </w:tr>
      <w:tr w:rsidR="00AF36AC" w:rsidRPr="00206D41" w14:paraId="02F3884D" w14:textId="77777777" w:rsidTr="00564499">
        <w:trPr>
          <w:trHeight w:val="350"/>
        </w:trPr>
        <w:tc>
          <w:tcPr>
            <w:tcW w:w="1622" w:type="dxa"/>
            <w:shd w:val="clear" w:color="auto" w:fill="auto"/>
          </w:tcPr>
          <w:p w14:paraId="4781087D" w14:textId="77777777" w:rsidR="00AF36AC" w:rsidRDefault="00AF36AC" w:rsidP="00564499">
            <w:pPr>
              <w:rPr>
                <w:b/>
                <w:bCs/>
                <w:iCs/>
              </w:rPr>
            </w:pPr>
            <w:r>
              <w:rPr>
                <w:b/>
                <w:bCs/>
                <w:iCs/>
              </w:rPr>
              <w:t>RATIONALE</w:t>
            </w:r>
          </w:p>
        </w:tc>
        <w:tc>
          <w:tcPr>
            <w:tcW w:w="7576" w:type="dxa"/>
            <w:shd w:val="clear" w:color="auto" w:fill="auto"/>
          </w:tcPr>
          <w:p w14:paraId="3C2F704A" w14:textId="77777777" w:rsidR="00AF36AC" w:rsidRPr="00206D41" w:rsidRDefault="00AF36AC" w:rsidP="00564499">
            <w:pPr>
              <w:spacing w:after="0" w:line="240" w:lineRule="auto"/>
              <w:rPr>
                <w:bCs/>
                <w:iCs/>
              </w:rPr>
            </w:pPr>
            <w:r>
              <w:rPr>
                <w:bCs/>
                <w:iCs/>
              </w:rPr>
              <w:t>Important to monitor and manage the portion of SHUSA’s credit exposure which is subprime in order to maintain and improve SHUSA’s issuer ratings</w:t>
            </w:r>
          </w:p>
        </w:tc>
      </w:tr>
      <w:tr w:rsidR="00AF36AC" w:rsidRPr="00206D41" w14:paraId="6D252ABC" w14:textId="77777777" w:rsidTr="00564499">
        <w:trPr>
          <w:trHeight w:val="255"/>
        </w:trPr>
        <w:tc>
          <w:tcPr>
            <w:tcW w:w="1622" w:type="dxa"/>
            <w:shd w:val="clear" w:color="auto" w:fill="auto"/>
          </w:tcPr>
          <w:p w14:paraId="53C0950A" w14:textId="77777777" w:rsidR="00AF36AC" w:rsidRPr="00206D41" w:rsidRDefault="00AF36AC" w:rsidP="00564499">
            <w:pPr>
              <w:rPr>
                <w:b/>
                <w:bCs/>
                <w:iCs/>
              </w:rPr>
            </w:pPr>
            <w:r>
              <w:rPr>
                <w:b/>
                <w:bCs/>
                <w:iCs/>
              </w:rPr>
              <w:t>ENTITY</w:t>
            </w:r>
          </w:p>
        </w:tc>
        <w:tc>
          <w:tcPr>
            <w:tcW w:w="7576" w:type="dxa"/>
            <w:shd w:val="clear" w:color="auto" w:fill="auto"/>
          </w:tcPr>
          <w:p w14:paraId="2BCCDC1E" w14:textId="5DA2F2E2" w:rsidR="00AF36AC" w:rsidRDefault="00CD39BC" w:rsidP="00564499">
            <w:pPr>
              <w:spacing w:after="0" w:line="240" w:lineRule="auto"/>
              <w:rPr>
                <w:bCs/>
                <w:iCs/>
              </w:rPr>
            </w:pPr>
            <w:r>
              <w:rPr>
                <w:b/>
                <w:bCs/>
                <w:iCs/>
              </w:rPr>
              <w:t xml:space="preserve">SC </w:t>
            </w:r>
          </w:p>
        </w:tc>
      </w:tr>
      <w:tr w:rsidR="00CD39BC" w:rsidRPr="00206D41" w14:paraId="4258BB98" w14:textId="77777777" w:rsidTr="00564499">
        <w:trPr>
          <w:trHeight w:val="270"/>
        </w:trPr>
        <w:tc>
          <w:tcPr>
            <w:tcW w:w="1622" w:type="dxa"/>
            <w:shd w:val="clear" w:color="auto" w:fill="auto"/>
          </w:tcPr>
          <w:p w14:paraId="5D7D03A5" w14:textId="7ECD9461" w:rsidR="00CD39BC" w:rsidRPr="00206D41" w:rsidRDefault="00511F11" w:rsidP="00564499">
            <w:pPr>
              <w:rPr>
                <w:b/>
                <w:bCs/>
                <w:iCs/>
              </w:rPr>
            </w:pPr>
            <w:r>
              <w:rPr>
                <w:rFonts w:asciiTheme="minorHAnsi" w:hAnsiTheme="minorHAnsi"/>
                <w:b/>
                <w:bCs/>
                <w:iCs/>
              </w:rPr>
              <w:t>METRIC PROVIDER</w:t>
            </w:r>
          </w:p>
        </w:tc>
        <w:tc>
          <w:tcPr>
            <w:tcW w:w="7576" w:type="dxa"/>
            <w:shd w:val="clear" w:color="auto" w:fill="auto"/>
          </w:tcPr>
          <w:p w14:paraId="7BDC027F" w14:textId="7E864056" w:rsidR="00CD39BC" w:rsidRDefault="00CD39BC" w:rsidP="00564499">
            <w:pPr>
              <w:spacing w:after="0" w:line="240" w:lineRule="auto"/>
              <w:rPr>
                <w:bCs/>
                <w:iCs/>
              </w:rPr>
            </w:pPr>
            <w:r>
              <w:rPr>
                <w:b/>
                <w:bCs/>
                <w:iCs/>
              </w:rPr>
              <w:t>SHUSA Solvency, SC COO</w:t>
            </w:r>
          </w:p>
        </w:tc>
      </w:tr>
      <w:tr w:rsidR="00AF36AC" w:rsidRPr="00206D41" w14:paraId="3A1ACEE6" w14:textId="77777777" w:rsidTr="00564499">
        <w:trPr>
          <w:cantSplit/>
          <w:trHeight w:val="360"/>
        </w:trPr>
        <w:tc>
          <w:tcPr>
            <w:tcW w:w="1622" w:type="dxa"/>
            <w:shd w:val="clear" w:color="auto" w:fill="auto"/>
          </w:tcPr>
          <w:p w14:paraId="390F1557" w14:textId="77777777" w:rsidR="00AF36AC" w:rsidRPr="00206D41" w:rsidRDefault="00AF36AC" w:rsidP="00564499">
            <w:pPr>
              <w:rPr>
                <w:b/>
                <w:bCs/>
                <w:iCs/>
              </w:rPr>
            </w:pPr>
            <w:r>
              <w:rPr>
                <w:b/>
                <w:bCs/>
                <w:iCs/>
              </w:rPr>
              <w:t>TRIGGER AND LIMIT SETTING</w:t>
            </w:r>
          </w:p>
        </w:tc>
        <w:tc>
          <w:tcPr>
            <w:tcW w:w="7576" w:type="dxa"/>
            <w:shd w:val="clear" w:color="auto" w:fill="auto"/>
          </w:tcPr>
          <w:p w14:paraId="12B27337" w14:textId="77777777" w:rsidR="00AF36AC" w:rsidRDefault="00AF36AC" w:rsidP="00564499">
            <w:pPr>
              <w:spacing w:after="0" w:line="240" w:lineRule="auto"/>
              <w:rPr>
                <w:bCs/>
                <w:iCs/>
              </w:rPr>
            </w:pPr>
            <w:r>
              <w:rPr>
                <w:bCs/>
                <w:iCs/>
              </w:rPr>
              <w:t>The limit and trigger are as follows:</w:t>
            </w:r>
          </w:p>
          <w:p w14:paraId="62FAB8D4" w14:textId="77777777" w:rsidR="00AF36AC" w:rsidRPr="002911D0" w:rsidRDefault="00AF36AC" w:rsidP="00564499">
            <w:pPr>
              <w:spacing w:after="0" w:line="240" w:lineRule="auto"/>
              <w:rPr>
                <w:bCs/>
                <w:iCs/>
              </w:rPr>
            </w:pPr>
          </w:p>
          <w:p w14:paraId="47919187" w14:textId="77777777" w:rsidR="00AF36AC" w:rsidRDefault="00AF36AC" w:rsidP="00564499">
            <w:pPr>
              <w:pStyle w:val="ListParagraph"/>
              <w:numPr>
                <w:ilvl w:val="0"/>
                <w:numId w:val="30"/>
              </w:numPr>
              <w:spacing w:after="0" w:line="240" w:lineRule="auto"/>
              <w:rPr>
                <w:bCs/>
                <w:iCs/>
              </w:rPr>
            </w:pPr>
            <w:r w:rsidRPr="002911D0">
              <w:rPr>
                <w:bCs/>
                <w:iCs/>
              </w:rPr>
              <w:t>The amber trigger of 23% establishes an early warning indicator that</w:t>
            </w:r>
            <w:r>
              <w:rPr>
                <w:bCs/>
                <w:iCs/>
              </w:rPr>
              <w:t xml:space="preserve"> allows for management actions to control the sub-prime exposure growth;</w:t>
            </w:r>
          </w:p>
          <w:p w14:paraId="3688D331" w14:textId="77777777" w:rsidR="00AF36AC" w:rsidRPr="00E2205B" w:rsidRDefault="00AF36AC" w:rsidP="00564499">
            <w:pPr>
              <w:pStyle w:val="ListParagraph"/>
              <w:numPr>
                <w:ilvl w:val="0"/>
                <w:numId w:val="30"/>
              </w:numPr>
              <w:spacing w:after="0" w:line="240" w:lineRule="auto"/>
              <w:rPr>
                <w:bCs/>
                <w:iCs/>
              </w:rPr>
            </w:pPr>
            <w:r w:rsidRPr="002911D0">
              <w:rPr>
                <w:bCs/>
                <w:iCs/>
              </w:rPr>
              <w:t>A red limit of 25% was set by management as it aligns with Rating Agencies’ expectations and is benchmarked against competitors’ positions</w:t>
            </w:r>
            <w:r>
              <w:rPr>
                <w:bCs/>
                <w:iCs/>
              </w:rPr>
              <w:t>.</w:t>
            </w:r>
          </w:p>
        </w:tc>
      </w:tr>
      <w:tr w:rsidR="00AF36AC" w:rsidRPr="00206D41" w14:paraId="7510406C" w14:textId="77777777" w:rsidTr="00564499">
        <w:trPr>
          <w:trHeight w:val="306"/>
        </w:trPr>
        <w:tc>
          <w:tcPr>
            <w:tcW w:w="1622" w:type="dxa"/>
            <w:shd w:val="clear" w:color="auto" w:fill="auto"/>
          </w:tcPr>
          <w:p w14:paraId="31802E10" w14:textId="77777777" w:rsidR="00AF36AC" w:rsidRPr="00206D41" w:rsidRDefault="00AF36AC" w:rsidP="00564499">
            <w:pPr>
              <w:rPr>
                <w:b/>
                <w:bCs/>
                <w:iCs/>
              </w:rPr>
            </w:pPr>
            <w:r>
              <w:rPr>
                <w:b/>
                <w:bCs/>
                <w:iCs/>
              </w:rPr>
              <w:t xml:space="preserve">TESTING </w:t>
            </w:r>
            <w:r w:rsidRPr="00206D41">
              <w:rPr>
                <w:b/>
                <w:bCs/>
                <w:iCs/>
              </w:rPr>
              <w:t>FREQUENCY</w:t>
            </w:r>
          </w:p>
        </w:tc>
        <w:tc>
          <w:tcPr>
            <w:tcW w:w="7576" w:type="dxa"/>
            <w:shd w:val="clear" w:color="auto" w:fill="auto"/>
          </w:tcPr>
          <w:p w14:paraId="1D73F3DB" w14:textId="77777777" w:rsidR="00AF36AC" w:rsidRDefault="00AF36AC" w:rsidP="00564499">
            <w:pPr>
              <w:spacing w:after="0" w:line="240" w:lineRule="auto"/>
            </w:pPr>
            <w:r w:rsidRPr="00206D41">
              <w:t>Monthly</w:t>
            </w:r>
          </w:p>
          <w:p w14:paraId="045EDC73" w14:textId="77777777" w:rsidR="00AF36AC" w:rsidRDefault="00AF36AC" w:rsidP="00564499">
            <w:pPr>
              <w:spacing w:after="0" w:line="240" w:lineRule="auto"/>
              <w:rPr>
                <w:bCs/>
                <w:iCs/>
              </w:rPr>
            </w:pPr>
            <w:r>
              <w:rPr>
                <w:bCs/>
                <w:iCs/>
              </w:rPr>
              <w:t>The percentage of SHUSA’s sub-prime assets to SHUSA’s total credit exposure:</w:t>
            </w:r>
          </w:p>
          <w:p w14:paraId="463BCA9E" w14:textId="77777777" w:rsidR="00AF36AC" w:rsidRPr="00E10943" w:rsidRDefault="00AF36AC" w:rsidP="00564499">
            <w:pPr>
              <w:spacing w:after="0" w:line="240" w:lineRule="auto"/>
              <w:rPr>
                <w:bCs/>
                <w:iCs/>
              </w:rPr>
            </w:pPr>
          </w:p>
          <w:p w14:paraId="7ED8FAFE" w14:textId="77777777" w:rsidR="00AF36AC" w:rsidRPr="00FC6780" w:rsidRDefault="00DB2B0B" w:rsidP="00564499">
            <w:pPr>
              <w:spacing w:after="0" w:line="240" w:lineRule="auto"/>
              <w:ind w:left="1528"/>
              <w:rPr>
                <w:bCs/>
                <w:iCs/>
                <w:sz w:val="21"/>
                <w:szCs w:val="21"/>
              </w:rPr>
            </w:pPr>
            <m:oMathPara>
              <m:oMathParaPr>
                <m:jc m:val="center"/>
              </m:oMathParaPr>
              <m:oMath>
                <m:f>
                  <m:fPr>
                    <m:ctrlPr>
                      <w:rPr>
                        <w:rFonts w:ascii="Cambria Math" w:hAnsi="Cambria Math"/>
                        <w:bCs/>
                        <w:iCs/>
                        <w:sz w:val="21"/>
                        <w:szCs w:val="21"/>
                      </w:rPr>
                    </m:ctrlPr>
                  </m:fPr>
                  <m:num>
                    <m:r>
                      <m:rPr>
                        <m:sty m:val="p"/>
                      </m:rPr>
                      <w:rPr>
                        <w:rFonts w:ascii="Cambria Math" w:hAnsi="Cambria Math"/>
                        <w:sz w:val="21"/>
                        <w:szCs w:val="21"/>
                      </w:rPr>
                      <m:t>SC non-lease subprime assets</m:t>
                    </m:r>
                  </m:num>
                  <m:den>
                    <m:r>
                      <m:rPr>
                        <m:sty m:val="p"/>
                      </m:rPr>
                      <w:rPr>
                        <w:rFonts w:ascii="Cambria Math" w:hAnsi="Cambria Math"/>
                        <w:sz w:val="21"/>
                        <w:szCs w:val="21"/>
                      </w:rPr>
                      <m:t>Total SHUSA credit exposure, excluding leases</m:t>
                    </m:r>
                  </m:den>
                </m:f>
              </m:oMath>
            </m:oMathPara>
          </w:p>
          <w:p w14:paraId="6521DC2E" w14:textId="77777777" w:rsidR="00AF36AC" w:rsidRDefault="00AF36AC" w:rsidP="00564499">
            <w:pPr>
              <w:spacing w:after="0" w:line="240" w:lineRule="auto"/>
              <w:rPr>
                <w:bCs/>
                <w:iCs/>
              </w:rPr>
            </w:pPr>
          </w:p>
          <w:p w14:paraId="5F08BEEE" w14:textId="77777777" w:rsidR="00AF36AC" w:rsidRDefault="00AF36AC" w:rsidP="00564499">
            <w:pPr>
              <w:spacing w:after="0" w:line="240" w:lineRule="auto"/>
              <w:rPr>
                <w:bCs/>
                <w:iCs/>
              </w:rPr>
            </w:pPr>
            <w:r w:rsidRPr="00E10943">
              <w:rPr>
                <w:bCs/>
                <w:iCs/>
              </w:rPr>
              <w:t>Sub-prime assets are defined as having either a FICO score below 630 or no FICO score – excluding assets without a FICO score but classified as Commercial Fleet Retail and Chrysler Commercial Fleet Lease</w:t>
            </w:r>
            <w:r>
              <w:rPr>
                <w:bCs/>
                <w:iCs/>
              </w:rPr>
              <w:t>, Chrysler Lease, UBER Lease, wholesale and dealer lending and revolving facility – “Drive time”.</w:t>
            </w:r>
          </w:p>
          <w:p w14:paraId="6D9191B7" w14:textId="77777777" w:rsidR="00AF36AC" w:rsidRDefault="00AF36AC" w:rsidP="00564499">
            <w:pPr>
              <w:spacing w:after="0" w:line="240" w:lineRule="auto"/>
              <w:rPr>
                <w:bCs/>
                <w:iCs/>
              </w:rPr>
            </w:pPr>
          </w:p>
          <w:p w14:paraId="049010D8" w14:textId="77777777" w:rsidR="00AF36AC" w:rsidRPr="002911D0" w:rsidRDefault="00AF36AC" w:rsidP="00564499">
            <w:pPr>
              <w:spacing w:after="0" w:line="240" w:lineRule="auto"/>
              <w:rPr>
                <w:bCs/>
                <w:iCs/>
              </w:rPr>
            </w:pPr>
            <w:r w:rsidRPr="002911D0">
              <w:rPr>
                <w:bCs/>
                <w:iCs/>
              </w:rPr>
              <w:t xml:space="preserve">Total SHUSA Credit Exposure  (excludes leases) is defined as the sum of: </w:t>
            </w:r>
          </w:p>
          <w:p w14:paraId="25E2EF95" w14:textId="77777777" w:rsidR="00AF36AC" w:rsidRPr="002911D0" w:rsidRDefault="00AF36AC" w:rsidP="00564499">
            <w:pPr>
              <w:pStyle w:val="ListParagraph"/>
              <w:numPr>
                <w:ilvl w:val="0"/>
                <w:numId w:val="30"/>
              </w:numPr>
              <w:spacing w:after="0" w:line="240" w:lineRule="auto"/>
              <w:rPr>
                <w:bCs/>
                <w:iCs/>
              </w:rPr>
            </w:pPr>
            <w:r w:rsidRPr="002911D0">
              <w:rPr>
                <w:bCs/>
                <w:iCs/>
              </w:rPr>
              <w:t xml:space="preserve">Committed facilities (drawn and undrawn)  </w:t>
            </w:r>
          </w:p>
          <w:p w14:paraId="0E0DFB0D" w14:textId="77777777" w:rsidR="00AF36AC" w:rsidRPr="002911D0" w:rsidRDefault="00AF36AC" w:rsidP="00564499">
            <w:pPr>
              <w:pStyle w:val="ListParagraph"/>
              <w:numPr>
                <w:ilvl w:val="0"/>
                <w:numId w:val="30"/>
              </w:numPr>
              <w:spacing w:after="0" w:line="240" w:lineRule="auto"/>
              <w:rPr>
                <w:bCs/>
                <w:iCs/>
              </w:rPr>
            </w:pPr>
            <w:r w:rsidRPr="002911D0">
              <w:rPr>
                <w:bCs/>
                <w:iCs/>
              </w:rPr>
              <w:t xml:space="preserve">Drawn balances under uncommitted facilities  </w:t>
            </w:r>
          </w:p>
          <w:p w14:paraId="4964E5FB" w14:textId="77777777" w:rsidR="00AF36AC" w:rsidRPr="002911D0" w:rsidRDefault="00AF36AC" w:rsidP="00564499">
            <w:pPr>
              <w:pStyle w:val="ListParagraph"/>
              <w:numPr>
                <w:ilvl w:val="0"/>
                <w:numId w:val="30"/>
              </w:numPr>
              <w:spacing w:after="0" w:line="240" w:lineRule="auto"/>
              <w:rPr>
                <w:bCs/>
                <w:iCs/>
              </w:rPr>
            </w:pPr>
            <w:r w:rsidRPr="002911D0">
              <w:rPr>
                <w:bCs/>
                <w:iCs/>
              </w:rPr>
              <w:t xml:space="preserve">Off balance sheet items (e.g. Letters of Credit)  </w:t>
            </w:r>
          </w:p>
          <w:p w14:paraId="3ED7BA3B" w14:textId="77777777" w:rsidR="00AF36AC" w:rsidRPr="00E2205B" w:rsidRDefault="00AF36AC" w:rsidP="00564499">
            <w:pPr>
              <w:pStyle w:val="ListParagraph"/>
              <w:numPr>
                <w:ilvl w:val="0"/>
                <w:numId w:val="30"/>
              </w:numPr>
              <w:spacing w:after="0" w:line="240" w:lineRule="auto"/>
              <w:rPr>
                <w:bCs/>
                <w:iCs/>
              </w:rPr>
            </w:pPr>
            <w:r w:rsidRPr="002911D0">
              <w:rPr>
                <w:bCs/>
                <w:iCs/>
              </w:rPr>
              <w:t xml:space="preserve">PFE (“REC”) for derivatives. </w:t>
            </w:r>
          </w:p>
        </w:tc>
      </w:tr>
      <w:tr w:rsidR="00AF36AC" w:rsidRPr="00206D41" w14:paraId="6F3D761A" w14:textId="77777777" w:rsidTr="00564499">
        <w:trPr>
          <w:trHeight w:val="525"/>
        </w:trPr>
        <w:tc>
          <w:tcPr>
            <w:tcW w:w="1622" w:type="dxa"/>
            <w:shd w:val="clear" w:color="auto" w:fill="auto"/>
          </w:tcPr>
          <w:p w14:paraId="0B846B05" w14:textId="77777777" w:rsidR="00AF36AC" w:rsidRPr="00206D41" w:rsidRDefault="00AF36AC" w:rsidP="00564499">
            <w:pPr>
              <w:rPr>
                <w:b/>
                <w:bCs/>
                <w:iCs/>
              </w:rPr>
            </w:pPr>
            <w:r w:rsidRPr="00206D41">
              <w:rPr>
                <w:b/>
                <w:bCs/>
                <w:iCs/>
              </w:rPr>
              <w:t>SOURCE OF INFORMATION</w:t>
            </w:r>
          </w:p>
        </w:tc>
        <w:tc>
          <w:tcPr>
            <w:tcW w:w="7576" w:type="dxa"/>
            <w:shd w:val="clear" w:color="auto" w:fill="auto"/>
          </w:tcPr>
          <w:p w14:paraId="116B5444" w14:textId="099ED235" w:rsidR="00AF36AC" w:rsidRPr="00861735" w:rsidRDefault="00AF36AC" w:rsidP="00CD39BC">
            <w:pPr>
              <w:pStyle w:val="CommentText"/>
              <w:rPr>
                <w:sz w:val="22"/>
                <w:szCs w:val="22"/>
              </w:rPr>
            </w:pPr>
            <w:r w:rsidRPr="00861735">
              <w:rPr>
                <w:bCs/>
                <w:iCs/>
                <w:sz w:val="22"/>
                <w:szCs w:val="22"/>
              </w:rPr>
              <w:t xml:space="preserve">SC Subprime exposure: </w:t>
            </w:r>
            <w:r w:rsidR="00CD39BC" w:rsidRPr="00861735">
              <w:rPr>
                <w:sz w:val="22"/>
                <w:szCs w:val="22"/>
              </w:rPr>
              <w:t xml:space="preserve"> The data is queried from SC’s database by the Operational Data Development team.</w:t>
            </w:r>
          </w:p>
          <w:p w14:paraId="361BE04C" w14:textId="77777777" w:rsidR="00AF36AC" w:rsidRDefault="00AF36AC" w:rsidP="00564499">
            <w:pPr>
              <w:spacing w:after="0" w:line="240" w:lineRule="auto"/>
              <w:rPr>
                <w:bCs/>
                <w:iCs/>
              </w:rPr>
            </w:pPr>
            <w:r>
              <w:rPr>
                <w:bCs/>
                <w:iCs/>
              </w:rPr>
              <w:t xml:space="preserve">SHUSA Total Exposure: </w:t>
            </w:r>
            <w:r w:rsidRPr="00B8692E">
              <w:rPr>
                <w:bCs/>
                <w:iCs/>
              </w:rPr>
              <w:t xml:space="preserve">SBNA uses the GL + Unfunded exposure in CCMIS to generate Total Exposure and from there we receive the figure from the Solvency team in an Excel file titled “SBNA </w:t>
            </w:r>
            <w:proofErr w:type="spellStart"/>
            <w:r w:rsidRPr="00B8692E">
              <w:rPr>
                <w:bCs/>
                <w:iCs/>
              </w:rPr>
              <w:t>Credit_Template</w:t>
            </w:r>
            <w:proofErr w:type="spellEnd"/>
            <w:r w:rsidRPr="00B8692E">
              <w:rPr>
                <w:bCs/>
                <w:iCs/>
              </w:rPr>
              <w:t xml:space="preserve">” on a monthly </w:t>
            </w:r>
            <w:r w:rsidRPr="00602C3A">
              <w:rPr>
                <w:bCs/>
                <w:iCs/>
              </w:rPr>
              <w:t>basis. SC exposure: The sum of Current Legal Balance Amount, Total Letter of Credit Issued Amount and Credit Availability Amount, In deals participated with other financial institutions, this amount is based on the Santander only portion of the deal</w:t>
            </w:r>
            <w:r>
              <w:rPr>
                <w:bCs/>
                <w:iCs/>
              </w:rPr>
              <w:t xml:space="preserve"> sourced from </w:t>
            </w:r>
            <w:proofErr w:type="spellStart"/>
            <w:r w:rsidRPr="00602C3A">
              <w:rPr>
                <w:bCs/>
                <w:iCs/>
              </w:rPr>
              <w:t>SQLPrdDataWarehouse</w:t>
            </w:r>
            <w:proofErr w:type="spellEnd"/>
            <w:r>
              <w:rPr>
                <w:bCs/>
                <w:iCs/>
              </w:rPr>
              <w:t xml:space="preserve">, table: </w:t>
            </w:r>
            <w:proofErr w:type="spellStart"/>
            <w:r w:rsidRPr="00602C3A">
              <w:rPr>
                <w:bCs/>
                <w:iCs/>
              </w:rPr>
              <w:t>Vw_Loan_Finance_Month_Fact</w:t>
            </w:r>
            <w:proofErr w:type="spellEnd"/>
            <w:r>
              <w:rPr>
                <w:bCs/>
                <w:iCs/>
              </w:rPr>
              <w:t xml:space="preserve"> </w:t>
            </w:r>
          </w:p>
          <w:p w14:paraId="5D8C6CF9" w14:textId="1253BBF0" w:rsidR="00DF7DD0" w:rsidRPr="00206D41" w:rsidRDefault="00DF7DD0" w:rsidP="00DF7DD0">
            <w:pPr>
              <w:spacing w:after="0" w:line="240" w:lineRule="auto"/>
              <w:rPr>
                <w:bCs/>
                <w:iCs/>
              </w:rPr>
            </w:pPr>
          </w:p>
        </w:tc>
      </w:tr>
    </w:tbl>
    <w:p w14:paraId="698CD4B6" w14:textId="77777777" w:rsidR="00AF36AC" w:rsidRDefault="00AF36AC" w:rsidP="00E21A3C">
      <w:pPr>
        <w:pStyle w:val="SANUS2"/>
        <w:rPr>
          <w:color w:val="000000" w:themeColor="text1"/>
        </w:rPr>
      </w:pPr>
    </w:p>
    <w:p w14:paraId="240F972C" w14:textId="77777777" w:rsidR="006B1C6C" w:rsidRPr="002911D0" w:rsidRDefault="00313389" w:rsidP="006B1C6C">
      <w:pPr>
        <w:pStyle w:val="SANUS2"/>
        <w:numPr>
          <w:ilvl w:val="1"/>
          <w:numId w:val="1"/>
        </w:numPr>
        <w:rPr>
          <w:color w:val="000000" w:themeColor="text1"/>
        </w:rPr>
      </w:pPr>
      <w:bookmarkStart w:id="111" w:name="_Toc439165530"/>
      <w:bookmarkStart w:id="112" w:name="_Toc439165811"/>
      <w:bookmarkStart w:id="113" w:name="_Toc439841746"/>
      <w:bookmarkStart w:id="114" w:name="_Toc439165531"/>
      <w:bookmarkStart w:id="115" w:name="_Toc439165812"/>
      <w:bookmarkStart w:id="116" w:name="_Toc439841747"/>
      <w:bookmarkStart w:id="117" w:name="_Toc439165532"/>
      <w:bookmarkStart w:id="118" w:name="_Toc439165813"/>
      <w:bookmarkStart w:id="119" w:name="_Toc439841748"/>
      <w:bookmarkStart w:id="120" w:name="_Toc439165533"/>
      <w:bookmarkStart w:id="121" w:name="_Toc439165814"/>
      <w:bookmarkStart w:id="122" w:name="_Toc439841749"/>
      <w:bookmarkStart w:id="123" w:name="_Toc439165534"/>
      <w:bookmarkStart w:id="124" w:name="_Toc439165815"/>
      <w:bookmarkStart w:id="125" w:name="_Toc439841750"/>
      <w:bookmarkStart w:id="126" w:name="_Toc425154079"/>
      <w:bookmarkStart w:id="127" w:name="_Toc425154202"/>
      <w:bookmarkStart w:id="128" w:name="_Toc425154324"/>
      <w:bookmarkStart w:id="129" w:name="_Toc425154447"/>
      <w:bookmarkStart w:id="130" w:name="_Toc425154570"/>
      <w:bookmarkStart w:id="131" w:name="_Toc425154693"/>
      <w:bookmarkStart w:id="132" w:name="_Toc425154815"/>
      <w:bookmarkStart w:id="133" w:name="_Toc425154937"/>
      <w:bookmarkStart w:id="134" w:name="_Toc425155060"/>
      <w:bookmarkStart w:id="135" w:name="_Toc425161886"/>
      <w:bookmarkStart w:id="136" w:name="_Toc425162006"/>
      <w:bookmarkStart w:id="137" w:name="_Toc425162309"/>
      <w:bookmarkStart w:id="138" w:name="_Toc425162426"/>
      <w:bookmarkStart w:id="139" w:name="_Toc425162543"/>
      <w:bookmarkStart w:id="140" w:name="_Toc425162661"/>
      <w:bookmarkStart w:id="141" w:name="_Toc425162780"/>
      <w:bookmarkStart w:id="142" w:name="_Toc425162897"/>
      <w:bookmarkStart w:id="143" w:name="_Toc425163014"/>
      <w:bookmarkStart w:id="144" w:name="_Toc425163130"/>
      <w:bookmarkStart w:id="145" w:name="_Toc425163351"/>
      <w:bookmarkStart w:id="146" w:name="_Toc425163482"/>
      <w:bookmarkStart w:id="147" w:name="_Toc425163606"/>
      <w:bookmarkStart w:id="148" w:name="_Toc425163868"/>
      <w:bookmarkStart w:id="149" w:name="_Toc425164280"/>
      <w:bookmarkStart w:id="150" w:name="_Toc425164400"/>
      <w:bookmarkStart w:id="151" w:name="_Toc425169125"/>
      <w:bookmarkStart w:id="152" w:name="_Toc425172013"/>
      <w:bookmarkStart w:id="153" w:name="_Toc425172155"/>
      <w:bookmarkStart w:id="154" w:name="_Toc425172274"/>
      <w:bookmarkStart w:id="155" w:name="_Toc425172394"/>
      <w:bookmarkStart w:id="156" w:name="_Toc425172513"/>
      <w:bookmarkStart w:id="157" w:name="_Toc425172631"/>
      <w:bookmarkStart w:id="158" w:name="_Toc425172748"/>
      <w:bookmarkStart w:id="159" w:name="_Toc425172867"/>
      <w:bookmarkStart w:id="160" w:name="_Toc425172985"/>
      <w:bookmarkStart w:id="161" w:name="_Toc425173101"/>
      <w:bookmarkStart w:id="162" w:name="_Toc425173218"/>
      <w:bookmarkStart w:id="163" w:name="_Toc425173371"/>
      <w:bookmarkStart w:id="164" w:name="_Toc425173522"/>
      <w:bookmarkStart w:id="165" w:name="_Toc425173673"/>
      <w:bookmarkStart w:id="166" w:name="_Toc425173824"/>
      <w:bookmarkStart w:id="167" w:name="_Toc425173971"/>
      <w:bookmarkStart w:id="168" w:name="_Toc425174114"/>
      <w:bookmarkStart w:id="169" w:name="_Toc425174257"/>
      <w:bookmarkStart w:id="170" w:name="_Toc425174400"/>
      <w:bookmarkStart w:id="171" w:name="_Toc425174541"/>
      <w:bookmarkStart w:id="172" w:name="_Toc425152392"/>
      <w:bookmarkStart w:id="173" w:name="_Toc425154098"/>
      <w:bookmarkStart w:id="174" w:name="_Toc425154221"/>
      <w:bookmarkStart w:id="175" w:name="_Toc425154343"/>
      <w:bookmarkStart w:id="176" w:name="_Toc425154466"/>
      <w:bookmarkStart w:id="177" w:name="_Toc425154589"/>
      <w:bookmarkStart w:id="178" w:name="_Toc425154712"/>
      <w:bookmarkStart w:id="179" w:name="_Toc425154834"/>
      <w:bookmarkStart w:id="180" w:name="_Toc425154956"/>
      <w:bookmarkStart w:id="181" w:name="_Toc425155079"/>
      <w:bookmarkStart w:id="182" w:name="_Toc425161905"/>
      <w:bookmarkStart w:id="183" w:name="_Toc425162025"/>
      <w:bookmarkStart w:id="184" w:name="_Toc425162328"/>
      <w:bookmarkStart w:id="185" w:name="_Toc425162445"/>
      <w:bookmarkStart w:id="186" w:name="_Toc425162562"/>
      <w:bookmarkStart w:id="187" w:name="_Toc425162680"/>
      <w:bookmarkStart w:id="188" w:name="_Toc425162799"/>
      <w:bookmarkStart w:id="189" w:name="_Toc425162916"/>
      <w:bookmarkStart w:id="190" w:name="_Toc425163033"/>
      <w:bookmarkStart w:id="191" w:name="_Toc425163149"/>
      <w:bookmarkStart w:id="192" w:name="_Toc425163370"/>
      <w:bookmarkStart w:id="193" w:name="_Toc425163501"/>
      <w:bookmarkStart w:id="194" w:name="_Toc425163625"/>
      <w:bookmarkStart w:id="195" w:name="_Toc425163887"/>
      <w:bookmarkStart w:id="196" w:name="_Toc425164299"/>
      <w:bookmarkStart w:id="197" w:name="_Toc425164419"/>
      <w:bookmarkStart w:id="198" w:name="_Toc425169144"/>
      <w:bookmarkStart w:id="199" w:name="_Toc425172032"/>
      <w:bookmarkStart w:id="200" w:name="_Toc425172174"/>
      <w:bookmarkStart w:id="201" w:name="_Toc425172293"/>
      <w:bookmarkStart w:id="202" w:name="_Toc425172413"/>
      <w:bookmarkStart w:id="203" w:name="_Toc425172532"/>
      <w:bookmarkStart w:id="204" w:name="_Toc425172650"/>
      <w:bookmarkStart w:id="205" w:name="_Toc425172767"/>
      <w:bookmarkStart w:id="206" w:name="_Toc425172886"/>
      <w:bookmarkStart w:id="207" w:name="_Toc425173004"/>
      <w:bookmarkStart w:id="208" w:name="_Toc425173120"/>
      <w:bookmarkStart w:id="209" w:name="_Toc425173237"/>
      <w:bookmarkStart w:id="210" w:name="_Toc425173390"/>
      <w:bookmarkStart w:id="211" w:name="_Toc425173541"/>
      <w:bookmarkStart w:id="212" w:name="_Toc425173692"/>
      <w:bookmarkStart w:id="213" w:name="_Toc425173843"/>
      <w:bookmarkStart w:id="214" w:name="_Toc425173990"/>
      <w:bookmarkStart w:id="215" w:name="_Toc425174133"/>
      <w:bookmarkStart w:id="216" w:name="_Toc425174276"/>
      <w:bookmarkStart w:id="217" w:name="_Toc425174419"/>
      <w:bookmarkStart w:id="218" w:name="_Toc425174560"/>
      <w:bookmarkStart w:id="219" w:name="_Toc425152406"/>
      <w:bookmarkStart w:id="220" w:name="_Toc425154112"/>
      <w:bookmarkStart w:id="221" w:name="_Toc425154235"/>
      <w:bookmarkStart w:id="222" w:name="_Toc425154357"/>
      <w:bookmarkStart w:id="223" w:name="_Toc425154480"/>
      <w:bookmarkStart w:id="224" w:name="_Toc425154603"/>
      <w:bookmarkStart w:id="225" w:name="_Toc425154726"/>
      <w:bookmarkStart w:id="226" w:name="_Toc425154848"/>
      <w:bookmarkStart w:id="227" w:name="_Toc425154970"/>
      <w:bookmarkStart w:id="228" w:name="_Toc425155093"/>
      <w:bookmarkStart w:id="229" w:name="_Toc425161919"/>
      <w:bookmarkStart w:id="230" w:name="_Toc425162039"/>
      <w:bookmarkStart w:id="231" w:name="_Toc425162342"/>
      <w:bookmarkStart w:id="232" w:name="_Toc425162459"/>
      <w:bookmarkStart w:id="233" w:name="_Toc425162576"/>
      <w:bookmarkStart w:id="234" w:name="_Toc425162694"/>
      <w:bookmarkStart w:id="235" w:name="_Toc425162813"/>
      <w:bookmarkStart w:id="236" w:name="_Toc425162930"/>
      <w:bookmarkStart w:id="237" w:name="_Toc425163047"/>
      <w:bookmarkStart w:id="238" w:name="_Toc425163163"/>
      <w:bookmarkStart w:id="239" w:name="_Toc425163384"/>
      <w:bookmarkStart w:id="240" w:name="_Toc425163515"/>
      <w:bookmarkStart w:id="241" w:name="_Toc425163639"/>
      <w:bookmarkStart w:id="242" w:name="_Toc425163901"/>
      <w:bookmarkStart w:id="243" w:name="_Toc425164313"/>
      <w:bookmarkStart w:id="244" w:name="_Toc425164433"/>
      <w:bookmarkStart w:id="245" w:name="_Toc425169158"/>
      <w:bookmarkStart w:id="246" w:name="_Toc425172046"/>
      <w:bookmarkStart w:id="247" w:name="_Toc425172188"/>
      <w:bookmarkStart w:id="248" w:name="_Toc425172307"/>
      <w:bookmarkStart w:id="249" w:name="_Toc425172427"/>
      <w:bookmarkStart w:id="250" w:name="_Toc425172546"/>
      <w:bookmarkStart w:id="251" w:name="_Toc425172664"/>
      <w:bookmarkStart w:id="252" w:name="_Toc425172781"/>
      <w:bookmarkStart w:id="253" w:name="_Toc425172900"/>
      <w:bookmarkStart w:id="254" w:name="_Toc425173018"/>
      <w:bookmarkStart w:id="255" w:name="_Toc425173134"/>
      <w:bookmarkStart w:id="256" w:name="_Toc425173251"/>
      <w:bookmarkStart w:id="257" w:name="_Toc425173404"/>
      <w:bookmarkStart w:id="258" w:name="_Toc425173555"/>
      <w:bookmarkStart w:id="259" w:name="_Toc425173706"/>
      <w:bookmarkStart w:id="260" w:name="_Toc425173857"/>
      <w:bookmarkStart w:id="261" w:name="_Toc425174004"/>
      <w:bookmarkStart w:id="262" w:name="_Toc425174147"/>
      <w:bookmarkStart w:id="263" w:name="_Toc425174290"/>
      <w:bookmarkStart w:id="264" w:name="_Toc425174433"/>
      <w:bookmarkStart w:id="265" w:name="_Toc425174574"/>
      <w:bookmarkStart w:id="266" w:name="_Toc425154360"/>
      <w:bookmarkStart w:id="267" w:name="_Toc425154483"/>
      <w:bookmarkStart w:id="268" w:name="_Toc425154606"/>
      <w:bookmarkStart w:id="269" w:name="_Toc425154729"/>
      <w:bookmarkStart w:id="270" w:name="_Toc425154851"/>
      <w:bookmarkStart w:id="271" w:name="_Toc425154973"/>
      <w:bookmarkStart w:id="272" w:name="_Toc425155096"/>
      <w:bookmarkStart w:id="273" w:name="_Toc425161922"/>
      <w:bookmarkStart w:id="274" w:name="_Toc425162042"/>
      <w:bookmarkStart w:id="275" w:name="_Toc425162345"/>
      <w:bookmarkStart w:id="276" w:name="_Toc425162462"/>
      <w:bookmarkStart w:id="277" w:name="_Toc425162579"/>
      <w:bookmarkStart w:id="278" w:name="_Toc425162697"/>
      <w:bookmarkStart w:id="279" w:name="_Toc425162816"/>
      <w:bookmarkStart w:id="280" w:name="_Toc425162933"/>
      <w:bookmarkStart w:id="281" w:name="_Toc425163050"/>
      <w:bookmarkStart w:id="282" w:name="_Toc425163166"/>
      <w:bookmarkStart w:id="283" w:name="_Toc425163387"/>
      <w:bookmarkStart w:id="284" w:name="_Toc425163518"/>
      <w:bookmarkStart w:id="285" w:name="_Toc425163642"/>
      <w:bookmarkStart w:id="286" w:name="_Toc425163904"/>
      <w:bookmarkStart w:id="287" w:name="_Toc425164316"/>
      <w:bookmarkStart w:id="288" w:name="_Toc425164436"/>
      <w:bookmarkStart w:id="289" w:name="_Toc425169161"/>
      <w:bookmarkStart w:id="290" w:name="_Toc425172049"/>
      <w:bookmarkStart w:id="291" w:name="_Toc425172191"/>
      <w:bookmarkStart w:id="292" w:name="_Toc425172310"/>
      <w:bookmarkStart w:id="293" w:name="_Toc425172430"/>
      <w:bookmarkStart w:id="294" w:name="_Toc425172549"/>
      <w:bookmarkStart w:id="295" w:name="_Toc425172667"/>
      <w:bookmarkStart w:id="296" w:name="_Toc425172784"/>
      <w:bookmarkStart w:id="297" w:name="_Toc425172903"/>
      <w:bookmarkStart w:id="298" w:name="_Toc425173021"/>
      <w:bookmarkStart w:id="299" w:name="_Toc425173137"/>
      <w:bookmarkStart w:id="300" w:name="_Toc425173254"/>
      <w:bookmarkStart w:id="301" w:name="_Toc425173407"/>
      <w:bookmarkStart w:id="302" w:name="_Toc425173558"/>
      <w:bookmarkStart w:id="303" w:name="_Toc425173709"/>
      <w:bookmarkStart w:id="304" w:name="_Toc425173860"/>
      <w:bookmarkStart w:id="305" w:name="_Toc425174007"/>
      <w:bookmarkStart w:id="306" w:name="_Toc425174150"/>
      <w:bookmarkStart w:id="307" w:name="_Toc425174293"/>
      <w:bookmarkStart w:id="308" w:name="_Toc425174436"/>
      <w:bookmarkStart w:id="309" w:name="_Toc425174577"/>
      <w:bookmarkStart w:id="310" w:name="_Toc428364335"/>
      <w:bookmarkStart w:id="311" w:name="_Toc428364336"/>
      <w:bookmarkStart w:id="312" w:name="_Toc428364351"/>
      <w:bookmarkStart w:id="313" w:name="_Toc428197856"/>
      <w:bookmarkStart w:id="314" w:name="_Toc428198020"/>
      <w:bookmarkStart w:id="315" w:name="_Toc428198978"/>
      <w:bookmarkStart w:id="316" w:name="_Toc428201616"/>
      <w:bookmarkStart w:id="317" w:name="_Toc428364366"/>
      <w:bookmarkStart w:id="318" w:name="_Toc428197858"/>
      <w:bookmarkStart w:id="319" w:name="_Toc428198022"/>
      <w:bookmarkStart w:id="320" w:name="_Toc428198980"/>
      <w:bookmarkStart w:id="321" w:name="_Toc428201618"/>
      <w:bookmarkStart w:id="322" w:name="_Toc428364368"/>
      <w:bookmarkStart w:id="323" w:name="_Toc428197873"/>
      <w:bookmarkStart w:id="324" w:name="_Toc428198037"/>
      <w:bookmarkStart w:id="325" w:name="_Toc428198995"/>
      <w:bookmarkStart w:id="326" w:name="_Toc428201633"/>
      <w:bookmarkStart w:id="327" w:name="_Toc428364383"/>
      <w:bookmarkStart w:id="328" w:name="_Toc428197888"/>
      <w:bookmarkStart w:id="329" w:name="_Toc428198052"/>
      <w:bookmarkStart w:id="330" w:name="_Toc428199010"/>
      <w:bookmarkStart w:id="331" w:name="_Toc428201648"/>
      <w:bookmarkStart w:id="332" w:name="_Toc428364398"/>
      <w:bookmarkStart w:id="333" w:name="_Toc428197890"/>
      <w:bookmarkStart w:id="334" w:name="_Toc428198054"/>
      <w:bookmarkStart w:id="335" w:name="_Toc428199012"/>
      <w:bookmarkStart w:id="336" w:name="_Toc428201650"/>
      <w:bookmarkStart w:id="337" w:name="_Toc428364400"/>
      <w:bookmarkStart w:id="338" w:name="_Toc428364564"/>
      <w:bookmarkStart w:id="339" w:name="_Toc428364931"/>
      <w:bookmarkStart w:id="340" w:name="_Toc428366192"/>
      <w:bookmarkStart w:id="341" w:name="_Toc428368298"/>
      <w:bookmarkStart w:id="342" w:name="_Toc428370300"/>
      <w:bookmarkStart w:id="343" w:name="_Toc428370467"/>
      <w:bookmarkStart w:id="344" w:name="_Toc428433739"/>
      <w:bookmarkStart w:id="345" w:name="_Toc428433908"/>
      <w:bookmarkStart w:id="346" w:name="_Toc428434622"/>
      <w:bookmarkStart w:id="347" w:name="_Toc428435512"/>
      <w:bookmarkStart w:id="348" w:name="_Toc428436599"/>
      <w:bookmarkStart w:id="349" w:name="_Toc428436770"/>
      <w:bookmarkStart w:id="350" w:name="_Toc428197892"/>
      <w:bookmarkStart w:id="351" w:name="_Toc428198056"/>
      <w:bookmarkStart w:id="352" w:name="_Toc428199014"/>
      <w:bookmarkStart w:id="353" w:name="_Toc428201652"/>
      <w:bookmarkStart w:id="354" w:name="_Toc428364402"/>
      <w:bookmarkStart w:id="355" w:name="_Toc428364566"/>
      <w:bookmarkStart w:id="356" w:name="_Toc428364933"/>
      <w:bookmarkStart w:id="357" w:name="_Toc428366194"/>
      <w:bookmarkStart w:id="358" w:name="_Toc428368300"/>
      <w:bookmarkStart w:id="359" w:name="_Toc428370302"/>
      <w:bookmarkStart w:id="360" w:name="_Toc428370469"/>
      <w:bookmarkStart w:id="361" w:name="_Toc428433741"/>
      <w:bookmarkStart w:id="362" w:name="_Toc428433910"/>
      <w:bookmarkStart w:id="363" w:name="_Toc428434624"/>
      <w:bookmarkStart w:id="364" w:name="_Toc428435514"/>
      <w:bookmarkStart w:id="365" w:name="_Toc428436601"/>
      <w:bookmarkStart w:id="366" w:name="_Toc428436772"/>
      <w:bookmarkStart w:id="367" w:name="_Toc428197893"/>
      <w:bookmarkStart w:id="368" w:name="_Toc428198057"/>
      <w:bookmarkStart w:id="369" w:name="_Toc428199015"/>
      <w:bookmarkStart w:id="370" w:name="_Toc428201653"/>
      <w:bookmarkStart w:id="371" w:name="_Toc428364261"/>
      <w:bookmarkStart w:id="372" w:name="_Toc428364403"/>
      <w:bookmarkStart w:id="373" w:name="_Toc428364567"/>
      <w:bookmarkStart w:id="374" w:name="_Toc428364934"/>
      <w:bookmarkStart w:id="375" w:name="_Toc428366195"/>
      <w:bookmarkStart w:id="376" w:name="_Toc428368301"/>
      <w:bookmarkStart w:id="377" w:name="_Toc428370303"/>
      <w:bookmarkStart w:id="378" w:name="_Toc428370470"/>
      <w:bookmarkStart w:id="379" w:name="_Toc428433742"/>
      <w:bookmarkStart w:id="380" w:name="_Toc428433911"/>
      <w:bookmarkStart w:id="381" w:name="_Toc428434625"/>
      <w:bookmarkStart w:id="382" w:name="_Toc428435515"/>
      <w:bookmarkStart w:id="383" w:name="_Toc428436602"/>
      <w:bookmarkStart w:id="384" w:name="_Toc428436773"/>
      <w:bookmarkStart w:id="385" w:name="_Toc428197911"/>
      <w:bookmarkStart w:id="386" w:name="_Toc428198075"/>
      <w:bookmarkStart w:id="387" w:name="_Toc428199033"/>
      <w:bookmarkStart w:id="388" w:name="_Toc428201671"/>
      <w:bookmarkStart w:id="389" w:name="_Toc428364421"/>
      <w:bookmarkStart w:id="390" w:name="_Toc428364585"/>
      <w:bookmarkStart w:id="391" w:name="_Toc428364952"/>
      <w:bookmarkStart w:id="392" w:name="_Toc428366213"/>
      <w:bookmarkStart w:id="393" w:name="_Toc428368319"/>
      <w:bookmarkStart w:id="394" w:name="_Toc428370321"/>
      <w:bookmarkStart w:id="395" w:name="_Toc428370488"/>
      <w:bookmarkStart w:id="396" w:name="_Toc428433760"/>
      <w:bookmarkStart w:id="397" w:name="_Toc428433929"/>
      <w:bookmarkStart w:id="398" w:name="_Toc428434643"/>
      <w:bookmarkStart w:id="399" w:name="_Toc428435533"/>
      <w:bookmarkStart w:id="400" w:name="_Toc428436620"/>
      <w:bookmarkStart w:id="401" w:name="_Toc428436791"/>
      <w:bookmarkStart w:id="402" w:name="_Toc428197929"/>
      <w:bookmarkStart w:id="403" w:name="_Toc428198093"/>
      <w:bookmarkStart w:id="404" w:name="_Toc428199052"/>
      <w:bookmarkStart w:id="405" w:name="_Toc428201690"/>
      <w:bookmarkStart w:id="406" w:name="_Toc428364440"/>
      <w:bookmarkStart w:id="407" w:name="_Toc428364604"/>
      <w:bookmarkStart w:id="408" w:name="_Toc428364971"/>
      <w:bookmarkStart w:id="409" w:name="_Toc428366232"/>
      <w:bookmarkStart w:id="410" w:name="_Toc428368338"/>
      <w:bookmarkStart w:id="411" w:name="_Toc428370340"/>
      <w:bookmarkStart w:id="412" w:name="_Toc428370507"/>
      <w:bookmarkStart w:id="413" w:name="_Toc428433779"/>
      <w:bookmarkStart w:id="414" w:name="_Toc428433948"/>
      <w:bookmarkStart w:id="415" w:name="_Toc428434662"/>
      <w:bookmarkStart w:id="416" w:name="_Toc428435552"/>
      <w:bookmarkStart w:id="417" w:name="_Toc428436639"/>
      <w:bookmarkStart w:id="418" w:name="_Toc428436810"/>
      <w:bookmarkStart w:id="419" w:name="_Toc428197947"/>
      <w:bookmarkStart w:id="420" w:name="_Toc428198111"/>
      <w:bookmarkStart w:id="421" w:name="_Toc428199070"/>
      <w:bookmarkStart w:id="422" w:name="_Toc428201708"/>
      <w:bookmarkStart w:id="423" w:name="_Toc428364458"/>
      <w:bookmarkStart w:id="424" w:name="_Toc428364622"/>
      <w:bookmarkStart w:id="425" w:name="_Toc428364989"/>
      <w:bookmarkStart w:id="426" w:name="_Toc428366250"/>
      <w:bookmarkStart w:id="427" w:name="_Toc428368356"/>
      <w:bookmarkStart w:id="428" w:name="_Toc428370358"/>
      <w:bookmarkStart w:id="429" w:name="_Toc428370525"/>
      <w:bookmarkStart w:id="430" w:name="_Toc428433797"/>
      <w:bookmarkStart w:id="431" w:name="_Toc428433966"/>
      <w:bookmarkStart w:id="432" w:name="_Toc428434680"/>
      <w:bookmarkStart w:id="433" w:name="_Toc428435570"/>
      <w:bookmarkStart w:id="434" w:name="_Toc428436657"/>
      <w:bookmarkStart w:id="435" w:name="_Toc428436828"/>
      <w:bookmarkStart w:id="436" w:name="_Toc428197962"/>
      <w:bookmarkStart w:id="437" w:name="_Toc428198126"/>
      <w:bookmarkStart w:id="438" w:name="_Toc428199085"/>
      <w:bookmarkStart w:id="439" w:name="_Toc428201723"/>
      <w:bookmarkStart w:id="440" w:name="_Toc428364473"/>
      <w:bookmarkStart w:id="441" w:name="_Toc428364637"/>
      <w:bookmarkStart w:id="442" w:name="_Toc428365004"/>
      <w:bookmarkStart w:id="443" w:name="_Toc428366265"/>
      <w:bookmarkStart w:id="444" w:name="_Toc428368371"/>
      <w:bookmarkStart w:id="445" w:name="_Toc428370373"/>
      <w:bookmarkStart w:id="446" w:name="_Toc428370540"/>
      <w:bookmarkStart w:id="447" w:name="_Toc428433812"/>
      <w:bookmarkStart w:id="448" w:name="_Toc428433981"/>
      <w:bookmarkStart w:id="449" w:name="_Toc428434695"/>
      <w:bookmarkStart w:id="450" w:name="_Toc428435585"/>
      <w:bookmarkStart w:id="451" w:name="_Toc428436672"/>
      <w:bookmarkStart w:id="452" w:name="_Toc428436843"/>
      <w:bookmarkStart w:id="453" w:name="_Toc439165536"/>
      <w:bookmarkStart w:id="454" w:name="_Toc439165817"/>
      <w:bookmarkStart w:id="455" w:name="_Toc439841752"/>
      <w:bookmarkStart w:id="456" w:name="_Toc439165537"/>
      <w:bookmarkStart w:id="457" w:name="_Toc439165818"/>
      <w:bookmarkStart w:id="458" w:name="_Toc439841753"/>
      <w:bookmarkStart w:id="459" w:name="_Toc439165538"/>
      <w:bookmarkStart w:id="460" w:name="_Toc439165819"/>
      <w:bookmarkStart w:id="461" w:name="_Toc439841754"/>
      <w:bookmarkStart w:id="462" w:name="_Toc452544131"/>
      <w:bookmarkStart w:id="463" w:name="_Toc453849294"/>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r>
        <w:rPr>
          <w:color w:val="000000" w:themeColor="text1"/>
        </w:rPr>
        <w:t>SHUSA</w:t>
      </w:r>
      <w:r w:rsidR="006B1C6C" w:rsidRPr="002911D0">
        <w:rPr>
          <w:color w:val="000000" w:themeColor="text1"/>
        </w:rPr>
        <w:t xml:space="preserve"> subprime assets as % of SHUSA credit exposure</w:t>
      </w:r>
      <w:bookmarkEnd w:id="462"/>
      <w:bookmarkEnd w:id="463"/>
    </w:p>
    <w:tbl>
      <w:tblPr>
        <w:tblpPr w:leftFromText="180" w:rightFromText="180" w:vertAnchor="text" w:tblpX="168" w:tblpY="1"/>
        <w:tblOverlap w:val="never"/>
        <w:tblW w:w="9198"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000" w:firstRow="0" w:lastRow="0" w:firstColumn="0" w:lastColumn="0" w:noHBand="0" w:noVBand="0"/>
      </w:tblPr>
      <w:tblGrid>
        <w:gridCol w:w="1622"/>
        <w:gridCol w:w="7576"/>
      </w:tblGrid>
      <w:tr w:rsidR="006B1C6C" w:rsidRPr="00206D41" w14:paraId="07B0142C" w14:textId="77777777" w:rsidTr="006817E1">
        <w:trPr>
          <w:trHeight w:val="261"/>
        </w:trPr>
        <w:tc>
          <w:tcPr>
            <w:tcW w:w="1622" w:type="dxa"/>
            <w:shd w:val="clear" w:color="auto" w:fill="auto"/>
          </w:tcPr>
          <w:p w14:paraId="052733BA" w14:textId="77777777" w:rsidR="006B1C6C" w:rsidRPr="00206D41" w:rsidRDefault="006B1C6C" w:rsidP="005D0549">
            <w:pPr>
              <w:rPr>
                <w:b/>
                <w:bCs/>
                <w:iCs/>
              </w:rPr>
            </w:pPr>
            <w:r>
              <w:rPr>
                <w:b/>
                <w:bCs/>
                <w:iCs/>
              </w:rPr>
              <w:t>DEFINITION</w:t>
            </w:r>
          </w:p>
        </w:tc>
        <w:tc>
          <w:tcPr>
            <w:tcW w:w="7576" w:type="dxa"/>
            <w:shd w:val="clear" w:color="auto" w:fill="auto"/>
          </w:tcPr>
          <w:p w14:paraId="4BF817A6" w14:textId="77777777" w:rsidR="006B1C6C" w:rsidRPr="00206D41" w:rsidRDefault="006B1C6C" w:rsidP="003F6792">
            <w:pPr>
              <w:spacing w:after="0" w:line="240" w:lineRule="auto"/>
              <w:rPr>
                <w:bCs/>
                <w:iCs/>
              </w:rPr>
            </w:pPr>
            <w:r>
              <w:rPr>
                <w:bCs/>
                <w:iCs/>
              </w:rPr>
              <w:t>The concentration</w:t>
            </w:r>
            <w:r w:rsidRPr="00206D41">
              <w:rPr>
                <w:bCs/>
                <w:iCs/>
              </w:rPr>
              <w:t xml:space="preserve"> of </w:t>
            </w:r>
            <w:r>
              <w:rPr>
                <w:bCs/>
                <w:iCs/>
              </w:rPr>
              <w:t>sub-prime assets</w:t>
            </w:r>
            <w:r w:rsidRPr="00206D41">
              <w:rPr>
                <w:bCs/>
                <w:iCs/>
              </w:rPr>
              <w:t xml:space="preserve"> as a % of total SHUSA consolidated </w:t>
            </w:r>
            <w:r>
              <w:rPr>
                <w:bCs/>
                <w:iCs/>
              </w:rPr>
              <w:t>credit exposure</w:t>
            </w:r>
          </w:p>
        </w:tc>
      </w:tr>
      <w:tr w:rsidR="006B1C6C" w:rsidRPr="00206D41" w14:paraId="0BC17AB1" w14:textId="77777777" w:rsidTr="006817E1">
        <w:trPr>
          <w:trHeight w:val="350"/>
        </w:trPr>
        <w:tc>
          <w:tcPr>
            <w:tcW w:w="1622" w:type="dxa"/>
            <w:shd w:val="clear" w:color="auto" w:fill="auto"/>
          </w:tcPr>
          <w:p w14:paraId="09029FCC" w14:textId="77777777" w:rsidR="006B1C6C" w:rsidRPr="00206D41" w:rsidRDefault="006B1C6C" w:rsidP="005D0549">
            <w:pPr>
              <w:rPr>
                <w:b/>
                <w:bCs/>
                <w:iCs/>
              </w:rPr>
            </w:pPr>
            <w:r>
              <w:rPr>
                <w:b/>
                <w:bCs/>
                <w:iCs/>
              </w:rPr>
              <w:t>RISK TYPE</w:t>
            </w:r>
          </w:p>
        </w:tc>
        <w:tc>
          <w:tcPr>
            <w:tcW w:w="7576" w:type="dxa"/>
            <w:shd w:val="clear" w:color="auto" w:fill="auto"/>
          </w:tcPr>
          <w:p w14:paraId="44B91759" w14:textId="77777777" w:rsidR="006B1C6C" w:rsidRPr="00206D41" w:rsidRDefault="00244B87" w:rsidP="005D0549">
            <w:pPr>
              <w:spacing w:after="0" w:line="240" w:lineRule="auto"/>
              <w:rPr>
                <w:bCs/>
                <w:iCs/>
              </w:rPr>
            </w:pPr>
            <w:r>
              <w:rPr>
                <w:bCs/>
                <w:iCs/>
              </w:rPr>
              <w:t>Credit</w:t>
            </w:r>
            <w:r w:rsidR="006B1C6C" w:rsidRPr="00206D41">
              <w:rPr>
                <w:bCs/>
                <w:iCs/>
              </w:rPr>
              <w:t xml:space="preserve"> Risk</w:t>
            </w:r>
          </w:p>
        </w:tc>
      </w:tr>
      <w:tr w:rsidR="006B1C6C" w:rsidRPr="00206D41" w14:paraId="355E66DA" w14:textId="77777777" w:rsidTr="006817E1">
        <w:trPr>
          <w:trHeight w:val="350"/>
        </w:trPr>
        <w:tc>
          <w:tcPr>
            <w:tcW w:w="1622" w:type="dxa"/>
            <w:shd w:val="clear" w:color="auto" w:fill="auto"/>
          </w:tcPr>
          <w:p w14:paraId="188C851C" w14:textId="77777777" w:rsidR="006B1C6C" w:rsidRDefault="006B1C6C" w:rsidP="005D0549">
            <w:pPr>
              <w:rPr>
                <w:b/>
                <w:bCs/>
                <w:iCs/>
              </w:rPr>
            </w:pPr>
            <w:r>
              <w:rPr>
                <w:b/>
                <w:bCs/>
                <w:iCs/>
              </w:rPr>
              <w:t>RATIONALE</w:t>
            </w:r>
          </w:p>
        </w:tc>
        <w:tc>
          <w:tcPr>
            <w:tcW w:w="7576" w:type="dxa"/>
            <w:shd w:val="clear" w:color="auto" w:fill="auto"/>
          </w:tcPr>
          <w:p w14:paraId="61DB4E79" w14:textId="77777777" w:rsidR="006B1C6C" w:rsidRPr="00206D41" w:rsidRDefault="00244B87" w:rsidP="00244B87">
            <w:pPr>
              <w:spacing w:after="0" w:line="240" w:lineRule="auto"/>
              <w:rPr>
                <w:bCs/>
                <w:iCs/>
              </w:rPr>
            </w:pPr>
            <w:r>
              <w:rPr>
                <w:bCs/>
                <w:iCs/>
              </w:rPr>
              <w:t>Important to monitor and manage the portion of SHUSA’s credit exposure which is subprime in order to maintain and improve SHUSA’s issuer ratings</w:t>
            </w:r>
          </w:p>
        </w:tc>
      </w:tr>
      <w:tr w:rsidR="00861735" w:rsidRPr="00206D41" w14:paraId="71E3CD9F" w14:textId="77777777" w:rsidTr="00564499">
        <w:trPr>
          <w:trHeight w:val="255"/>
        </w:trPr>
        <w:tc>
          <w:tcPr>
            <w:tcW w:w="1622" w:type="dxa"/>
            <w:shd w:val="clear" w:color="auto" w:fill="auto"/>
          </w:tcPr>
          <w:p w14:paraId="019C8C72" w14:textId="77777777" w:rsidR="00861735" w:rsidRPr="00206D41" w:rsidRDefault="00861735" w:rsidP="006817E1">
            <w:pPr>
              <w:rPr>
                <w:b/>
                <w:bCs/>
                <w:iCs/>
              </w:rPr>
            </w:pPr>
            <w:r>
              <w:rPr>
                <w:b/>
                <w:bCs/>
                <w:iCs/>
              </w:rPr>
              <w:t>ENTITY</w:t>
            </w:r>
          </w:p>
        </w:tc>
        <w:tc>
          <w:tcPr>
            <w:tcW w:w="7576" w:type="dxa"/>
            <w:shd w:val="clear" w:color="auto" w:fill="auto"/>
          </w:tcPr>
          <w:p w14:paraId="68647B87" w14:textId="169DA76A" w:rsidR="00861735" w:rsidRDefault="00861735" w:rsidP="00861735">
            <w:pPr>
              <w:spacing w:after="0" w:line="240" w:lineRule="auto"/>
              <w:rPr>
                <w:bCs/>
                <w:iCs/>
              </w:rPr>
            </w:pPr>
            <w:r w:rsidRPr="00CE7334">
              <w:rPr>
                <w:b/>
                <w:bCs/>
                <w:iCs/>
              </w:rPr>
              <w:t>SBNA</w:t>
            </w:r>
            <w:r>
              <w:rPr>
                <w:b/>
                <w:bCs/>
                <w:iCs/>
              </w:rPr>
              <w:t xml:space="preserve">, </w:t>
            </w:r>
            <w:r w:rsidRPr="00CE7334">
              <w:rPr>
                <w:b/>
                <w:bCs/>
                <w:iCs/>
              </w:rPr>
              <w:t>SC</w:t>
            </w:r>
            <w:r>
              <w:rPr>
                <w:b/>
                <w:bCs/>
                <w:iCs/>
              </w:rPr>
              <w:t>, BSPR</w:t>
            </w:r>
          </w:p>
        </w:tc>
      </w:tr>
      <w:tr w:rsidR="00861735" w:rsidRPr="00206D41" w14:paraId="20563F1E" w14:textId="77777777" w:rsidTr="00564499">
        <w:trPr>
          <w:trHeight w:val="270"/>
        </w:trPr>
        <w:tc>
          <w:tcPr>
            <w:tcW w:w="1622" w:type="dxa"/>
            <w:shd w:val="clear" w:color="auto" w:fill="auto"/>
          </w:tcPr>
          <w:p w14:paraId="42A06D5B" w14:textId="4D18EEAD" w:rsidR="00861735" w:rsidRPr="00206D41" w:rsidRDefault="00511F11" w:rsidP="006817E1">
            <w:pPr>
              <w:rPr>
                <w:b/>
                <w:bCs/>
                <w:iCs/>
              </w:rPr>
            </w:pPr>
            <w:r>
              <w:rPr>
                <w:rFonts w:asciiTheme="minorHAnsi" w:hAnsiTheme="minorHAnsi"/>
                <w:b/>
                <w:bCs/>
                <w:iCs/>
              </w:rPr>
              <w:t>METRIC PROVIDER</w:t>
            </w:r>
          </w:p>
        </w:tc>
        <w:tc>
          <w:tcPr>
            <w:tcW w:w="7576" w:type="dxa"/>
            <w:shd w:val="clear" w:color="auto" w:fill="auto"/>
          </w:tcPr>
          <w:p w14:paraId="1E78EE2F" w14:textId="1D60D7D1" w:rsidR="00861735" w:rsidRDefault="00861735" w:rsidP="00861735">
            <w:pPr>
              <w:spacing w:after="0" w:line="240" w:lineRule="auto"/>
              <w:rPr>
                <w:bCs/>
                <w:iCs/>
              </w:rPr>
            </w:pPr>
            <w:r w:rsidRPr="00CE7334">
              <w:rPr>
                <w:b/>
                <w:bCs/>
                <w:iCs/>
              </w:rPr>
              <w:t>SHUSA</w:t>
            </w:r>
            <w:r>
              <w:rPr>
                <w:b/>
                <w:bCs/>
                <w:iCs/>
              </w:rPr>
              <w:t xml:space="preserve"> Solvency, </w:t>
            </w:r>
            <w:r w:rsidRPr="00CE7334">
              <w:rPr>
                <w:b/>
                <w:bCs/>
                <w:iCs/>
              </w:rPr>
              <w:t>SBNA</w:t>
            </w:r>
            <w:r>
              <w:rPr>
                <w:b/>
                <w:bCs/>
                <w:iCs/>
              </w:rPr>
              <w:t xml:space="preserve"> Solvency, </w:t>
            </w:r>
            <w:r w:rsidRPr="00CE7334">
              <w:rPr>
                <w:b/>
                <w:bCs/>
                <w:iCs/>
              </w:rPr>
              <w:t>SC</w:t>
            </w:r>
            <w:r>
              <w:rPr>
                <w:b/>
                <w:bCs/>
                <w:iCs/>
              </w:rPr>
              <w:t xml:space="preserve"> COO and </w:t>
            </w:r>
            <w:proofErr w:type="gramStart"/>
            <w:r>
              <w:rPr>
                <w:b/>
                <w:bCs/>
                <w:iCs/>
              </w:rPr>
              <w:t>BSPR ?</w:t>
            </w:r>
            <w:proofErr w:type="gramEnd"/>
          </w:p>
        </w:tc>
      </w:tr>
      <w:tr w:rsidR="006817E1" w:rsidRPr="00206D41" w14:paraId="2EDB9A9B" w14:textId="77777777" w:rsidTr="006817E1">
        <w:trPr>
          <w:cantSplit/>
          <w:trHeight w:val="360"/>
        </w:trPr>
        <w:tc>
          <w:tcPr>
            <w:tcW w:w="1622" w:type="dxa"/>
            <w:shd w:val="clear" w:color="auto" w:fill="auto"/>
          </w:tcPr>
          <w:p w14:paraId="1B4D75E1" w14:textId="77777777" w:rsidR="006817E1" w:rsidRPr="00206D41" w:rsidRDefault="006817E1" w:rsidP="006817E1">
            <w:pPr>
              <w:rPr>
                <w:b/>
                <w:bCs/>
                <w:iCs/>
              </w:rPr>
            </w:pPr>
            <w:r>
              <w:rPr>
                <w:b/>
                <w:bCs/>
                <w:iCs/>
              </w:rPr>
              <w:t>TRIGGER AND LIMIT SETTING</w:t>
            </w:r>
          </w:p>
        </w:tc>
        <w:tc>
          <w:tcPr>
            <w:tcW w:w="7576" w:type="dxa"/>
            <w:shd w:val="clear" w:color="auto" w:fill="auto"/>
          </w:tcPr>
          <w:p w14:paraId="05AFFA3B" w14:textId="77777777" w:rsidR="006817E1" w:rsidRDefault="006817E1" w:rsidP="006817E1">
            <w:pPr>
              <w:spacing w:after="0" w:line="240" w:lineRule="auto"/>
              <w:rPr>
                <w:bCs/>
                <w:iCs/>
              </w:rPr>
            </w:pPr>
            <w:r>
              <w:rPr>
                <w:bCs/>
                <w:iCs/>
              </w:rPr>
              <w:t>The limit and trigger are as follows:</w:t>
            </w:r>
          </w:p>
          <w:p w14:paraId="4B1F5378" w14:textId="77777777" w:rsidR="006817E1" w:rsidRPr="002911D0" w:rsidRDefault="006817E1" w:rsidP="006817E1">
            <w:pPr>
              <w:spacing w:after="0" w:line="240" w:lineRule="auto"/>
              <w:rPr>
                <w:bCs/>
                <w:iCs/>
              </w:rPr>
            </w:pPr>
          </w:p>
          <w:p w14:paraId="0BD1F89D" w14:textId="77777777" w:rsidR="006817E1" w:rsidRDefault="006817E1" w:rsidP="006817E1">
            <w:pPr>
              <w:pStyle w:val="ListParagraph"/>
              <w:numPr>
                <w:ilvl w:val="0"/>
                <w:numId w:val="30"/>
              </w:numPr>
              <w:spacing w:after="0" w:line="240" w:lineRule="auto"/>
              <w:rPr>
                <w:bCs/>
                <w:iCs/>
              </w:rPr>
            </w:pPr>
            <w:r w:rsidRPr="002911D0">
              <w:rPr>
                <w:bCs/>
                <w:iCs/>
              </w:rPr>
              <w:t>The amber trigger of 23% establishes an early warning indicator that</w:t>
            </w:r>
            <w:r>
              <w:rPr>
                <w:bCs/>
                <w:iCs/>
              </w:rPr>
              <w:t xml:space="preserve"> allows for management actions to control the sub-prime exposure growth;</w:t>
            </w:r>
          </w:p>
          <w:p w14:paraId="113B6698" w14:textId="77777777" w:rsidR="006817E1" w:rsidRPr="00E2205B" w:rsidRDefault="006817E1" w:rsidP="006817E1">
            <w:pPr>
              <w:pStyle w:val="ListParagraph"/>
              <w:numPr>
                <w:ilvl w:val="0"/>
                <w:numId w:val="30"/>
              </w:numPr>
              <w:spacing w:after="0" w:line="240" w:lineRule="auto"/>
              <w:rPr>
                <w:bCs/>
                <w:iCs/>
              </w:rPr>
            </w:pPr>
            <w:r w:rsidRPr="002911D0">
              <w:rPr>
                <w:bCs/>
                <w:iCs/>
              </w:rPr>
              <w:t>A red limit of 25% was set by management as it aligns with Rating Agencies’ expectations and is benchmarked against competitors’ positions</w:t>
            </w:r>
            <w:r>
              <w:rPr>
                <w:bCs/>
                <w:iCs/>
              </w:rPr>
              <w:t>.</w:t>
            </w:r>
          </w:p>
        </w:tc>
      </w:tr>
      <w:tr w:rsidR="006817E1" w:rsidRPr="00206D41" w14:paraId="34E2D660" w14:textId="77777777" w:rsidTr="006817E1">
        <w:trPr>
          <w:trHeight w:val="306"/>
        </w:trPr>
        <w:tc>
          <w:tcPr>
            <w:tcW w:w="1622" w:type="dxa"/>
            <w:shd w:val="clear" w:color="auto" w:fill="auto"/>
          </w:tcPr>
          <w:p w14:paraId="39C6E76D" w14:textId="77777777" w:rsidR="006817E1" w:rsidRPr="00206D41" w:rsidRDefault="006817E1" w:rsidP="006817E1">
            <w:pPr>
              <w:rPr>
                <w:b/>
                <w:bCs/>
                <w:iCs/>
              </w:rPr>
            </w:pPr>
            <w:r>
              <w:rPr>
                <w:b/>
                <w:bCs/>
                <w:iCs/>
              </w:rPr>
              <w:t xml:space="preserve">TESTING </w:t>
            </w:r>
            <w:r w:rsidRPr="00206D41">
              <w:rPr>
                <w:b/>
                <w:bCs/>
                <w:iCs/>
              </w:rPr>
              <w:t>FREQUENCY</w:t>
            </w:r>
          </w:p>
        </w:tc>
        <w:tc>
          <w:tcPr>
            <w:tcW w:w="7576" w:type="dxa"/>
            <w:shd w:val="clear" w:color="auto" w:fill="auto"/>
          </w:tcPr>
          <w:p w14:paraId="1EA92681" w14:textId="77777777" w:rsidR="006817E1" w:rsidRDefault="006817E1" w:rsidP="006817E1">
            <w:pPr>
              <w:spacing w:after="0" w:line="240" w:lineRule="auto"/>
            </w:pPr>
            <w:r w:rsidRPr="00206D41">
              <w:t>Monthly</w:t>
            </w:r>
          </w:p>
          <w:p w14:paraId="5A36D789" w14:textId="77777777" w:rsidR="006817E1" w:rsidRDefault="006817E1" w:rsidP="006817E1">
            <w:pPr>
              <w:spacing w:after="0" w:line="240" w:lineRule="auto"/>
              <w:rPr>
                <w:bCs/>
                <w:iCs/>
              </w:rPr>
            </w:pPr>
            <w:r>
              <w:rPr>
                <w:bCs/>
                <w:iCs/>
              </w:rPr>
              <w:t>The percentage of SHUSA’s sub-prime assets to SHUSA’s total credit exposure:</w:t>
            </w:r>
          </w:p>
          <w:p w14:paraId="04F79736" w14:textId="77777777" w:rsidR="006817E1" w:rsidRPr="00E10943" w:rsidRDefault="006817E1" w:rsidP="006817E1">
            <w:pPr>
              <w:spacing w:after="0" w:line="240" w:lineRule="auto"/>
              <w:rPr>
                <w:bCs/>
                <w:iCs/>
              </w:rPr>
            </w:pPr>
          </w:p>
          <w:p w14:paraId="2970B06F" w14:textId="77777777" w:rsidR="006817E1" w:rsidRPr="00FC6780" w:rsidRDefault="00DB2B0B" w:rsidP="006817E1">
            <w:pPr>
              <w:spacing w:after="0" w:line="240" w:lineRule="auto"/>
              <w:rPr>
                <w:bCs/>
                <w:iCs/>
                <w:sz w:val="21"/>
                <w:szCs w:val="21"/>
              </w:rPr>
            </w:pPr>
            <m:oMathPara>
              <m:oMath>
                <m:f>
                  <m:fPr>
                    <m:ctrlPr>
                      <w:rPr>
                        <w:rFonts w:ascii="Cambria Math" w:hAnsi="Cambria Math"/>
                        <w:bCs/>
                        <w:iCs/>
                        <w:sz w:val="21"/>
                        <w:szCs w:val="21"/>
                      </w:rPr>
                    </m:ctrlPr>
                  </m:fPr>
                  <m:num>
                    <m:r>
                      <m:rPr>
                        <m:sty m:val="p"/>
                      </m:rPr>
                      <w:rPr>
                        <w:rFonts w:ascii="Cambria Math" w:hAnsi="Cambria Math"/>
                        <w:sz w:val="21"/>
                        <w:szCs w:val="21"/>
                      </w:rPr>
                      <m:t>SC non-lease subprime assets+SBNA subprime assets+BSPR subprime assets</m:t>
                    </m:r>
                  </m:num>
                  <m:den>
                    <m:r>
                      <m:rPr>
                        <m:sty m:val="p"/>
                      </m:rPr>
                      <w:rPr>
                        <w:rFonts w:ascii="Cambria Math" w:hAnsi="Cambria Math"/>
                        <w:sz w:val="21"/>
                        <w:szCs w:val="21"/>
                      </w:rPr>
                      <m:t>Total SHUSA credit exposure, excluding leases</m:t>
                    </m:r>
                  </m:den>
                </m:f>
              </m:oMath>
            </m:oMathPara>
          </w:p>
          <w:p w14:paraId="632D668B" w14:textId="77777777" w:rsidR="006817E1" w:rsidRDefault="006817E1" w:rsidP="006817E1">
            <w:pPr>
              <w:spacing w:after="0" w:line="240" w:lineRule="auto"/>
              <w:rPr>
                <w:bCs/>
                <w:iCs/>
              </w:rPr>
            </w:pPr>
          </w:p>
          <w:p w14:paraId="5FC3C2A1" w14:textId="77777777" w:rsidR="006817E1" w:rsidRDefault="006817E1" w:rsidP="006817E1">
            <w:pPr>
              <w:spacing w:after="0" w:line="240" w:lineRule="auto"/>
              <w:rPr>
                <w:bCs/>
                <w:iCs/>
              </w:rPr>
            </w:pPr>
            <w:r w:rsidRPr="00E10943">
              <w:rPr>
                <w:bCs/>
                <w:iCs/>
              </w:rPr>
              <w:t>Sub-prime assets are defined as having either a FICO score below 630 or no FICO score – excluding assets without a FICO score but classified as Commercial Fleet Retail and Chrysler Commercial Fleet Lease</w:t>
            </w:r>
            <w:r>
              <w:rPr>
                <w:bCs/>
                <w:iCs/>
              </w:rPr>
              <w:t>, Chrysler Lease, UBER Lease, wholesale and dealer lending and revolving facility – “Drive time”.</w:t>
            </w:r>
          </w:p>
          <w:p w14:paraId="740E760C" w14:textId="77777777" w:rsidR="006817E1" w:rsidRDefault="006817E1" w:rsidP="006817E1">
            <w:pPr>
              <w:spacing w:after="0" w:line="240" w:lineRule="auto"/>
              <w:rPr>
                <w:bCs/>
                <w:iCs/>
              </w:rPr>
            </w:pPr>
          </w:p>
          <w:p w14:paraId="69D3A936" w14:textId="77777777" w:rsidR="006817E1" w:rsidRPr="002911D0" w:rsidRDefault="006817E1" w:rsidP="006817E1">
            <w:pPr>
              <w:spacing w:after="0" w:line="240" w:lineRule="auto"/>
              <w:rPr>
                <w:bCs/>
                <w:iCs/>
              </w:rPr>
            </w:pPr>
            <w:r w:rsidRPr="002911D0">
              <w:rPr>
                <w:bCs/>
                <w:iCs/>
              </w:rPr>
              <w:t xml:space="preserve">Total SHUSA Credit Exposure  (excludes leases) is defined as the sum of: </w:t>
            </w:r>
          </w:p>
          <w:p w14:paraId="780F6A62" w14:textId="77777777" w:rsidR="006817E1" w:rsidRPr="002911D0" w:rsidRDefault="006817E1" w:rsidP="006817E1">
            <w:pPr>
              <w:pStyle w:val="ListParagraph"/>
              <w:numPr>
                <w:ilvl w:val="0"/>
                <w:numId w:val="30"/>
              </w:numPr>
              <w:spacing w:after="0" w:line="240" w:lineRule="auto"/>
              <w:rPr>
                <w:bCs/>
                <w:iCs/>
              </w:rPr>
            </w:pPr>
            <w:r w:rsidRPr="002911D0">
              <w:rPr>
                <w:bCs/>
                <w:iCs/>
              </w:rPr>
              <w:t xml:space="preserve">Committed facilities (drawn and undrawn)  </w:t>
            </w:r>
          </w:p>
          <w:p w14:paraId="027135C7" w14:textId="77777777" w:rsidR="006817E1" w:rsidRPr="002911D0" w:rsidRDefault="006817E1" w:rsidP="006817E1">
            <w:pPr>
              <w:pStyle w:val="ListParagraph"/>
              <w:numPr>
                <w:ilvl w:val="0"/>
                <w:numId w:val="30"/>
              </w:numPr>
              <w:spacing w:after="0" w:line="240" w:lineRule="auto"/>
              <w:rPr>
                <w:bCs/>
                <w:iCs/>
              </w:rPr>
            </w:pPr>
            <w:r w:rsidRPr="002911D0">
              <w:rPr>
                <w:bCs/>
                <w:iCs/>
              </w:rPr>
              <w:t xml:space="preserve">Drawn balances under uncommitted facilities  </w:t>
            </w:r>
          </w:p>
          <w:p w14:paraId="4C28D6A7" w14:textId="77777777" w:rsidR="006817E1" w:rsidRPr="002911D0" w:rsidRDefault="006817E1" w:rsidP="006817E1">
            <w:pPr>
              <w:pStyle w:val="ListParagraph"/>
              <w:numPr>
                <w:ilvl w:val="0"/>
                <w:numId w:val="30"/>
              </w:numPr>
              <w:spacing w:after="0" w:line="240" w:lineRule="auto"/>
              <w:rPr>
                <w:bCs/>
                <w:iCs/>
              </w:rPr>
            </w:pPr>
            <w:r w:rsidRPr="002911D0">
              <w:rPr>
                <w:bCs/>
                <w:iCs/>
              </w:rPr>
              <w:t xml:space="preserve">Off balance sheet items (e.g. Letters of Credit)  </w:t>
            </w:r>
          </w:p>
          <w:p w14:paraId="55BFA9D3" w14:textId="77777777" w:rsidR="006817E1" w:rsidRPr="00E2205B" w:rsidRDefault="006817E1" w:rsidP="006817E1">
            <w:pPr>
              <w:pStyle w:val="ListParagraph"/>
              <w:numPr>
                <w:ilvl w:val="0"/>
                <w:numId w:val="30"/>
              </w:numPr>
              <w:spacing w:after="0" w:line="240" w:lineRule="auto"/>
              <w:rPr>
                <w:bCs/>
                <w:iCs/>
              </w:rPr>
            </w:pPr>
            <w:r w:rsidRPr="002911D0">
              <w:rPr>
                <w:bCs/>
                <w:iCs/>
              </w:rPr>
              <w:t xml:space="preserve">PFE (“REC”) for derivatives. </w:t>
            </w:r>
          </w:p>
        </w:tc>
      </w:tr>
      <w:tr w:rsidR="006817E1" w:rsidRPr="00206D41" w14:paraId="5256BDC9" w14:textId="77777777" w:rsidTr="006817E1">
        <w:trPr>
          <w:trHeight w:val="525"/>
        </w:trPr>
        <w:tc>
          <w:tcPr>
            <w:tcW w:w="1622" w:type="dxa"/>
            <w:shd w:val="clear" w:color="auto" w:fill="auto"/>
          </w:tcPr>
          <w:p w14:paraId="7D46E8BA" w14:textId="77777777" w:rsidR="006817E1" w:rsidRPr="00206D41" w:rsidRDefault="006817E1" w:rsidP="006817E1">
            <w:pPr>
              <w:rPr>
                <w:b/>
                <w:bCs/>
                <w:iCs/>
              </w:rPr>
            </w:pPr>
            <w:r w:rsidRPr="00206D41">
              <w:rPr>
                <w:b/>
                <w:bCs/>
                <w:iCs/>
              </w:rPr>
              <w:t>SOURCE OF INFORMATION</w:t>
            </w:r>
          </w:p>
        </w:tc>
        <w:tc>
          <w:tcPr>
            <w:tcW w:w="7576" w:type="dxa"/>
            <w:shd w:val="clear" w:color="auto" w:fill="auto"/>
          </w:tcPr>
          <w:p w14:paraId="592E3BF2" w14:textId="1C4BA261" w:rsidR="005841D7" w:rsidRPr="003B5980" w:rsidRDefault="006817E1" w:rsidP="003B5980">
            <w:pPr>
              <w:pStyle w:val="CommentText"/>
            </w:pPr>
            <w:r>
              <w:rPr>
                <w:bCs/>
                <w:iCs/>
              </w:rPr>
              <w:t>SC Subprime exposure</w:t>
            </w:r>
            <w:proofErr w:type="gramStart"/>
            <w:r>
              <w:rPr>
                <w:bCs/>
                <w:iCs/>
              </w:rPr>
              <w:t xml:space="preserve">: </w:t>
            </w:r>
            <w:r w:rsidR="003B5980">
              <w:t>.</w:t>
            </w:r>
            <w:proofErr w:type="gramEnd"/>
            <w:r w:rsidR="003B5980">
              <w:t xml:space="preserve">  The data is queried from SC’s database by the Operational Data Development team.</w:t>
            </w:r>
          </w:p>
          <w:p w14:paraId="5DBEA840" w14:textId="0DBC1B4B" w:rsidR="006817E1" w:rsidRDefault="006817E1" w:rsidP="006817E1">
            <w:pPr>
              <w:spacing w:after="0" w:line="240" w:lineRule="auto"/>
              <w:rPr>
                <w:bCs/>
                <w:iCs/>
              </w:rPr>
            </w:pPr>
            <w:r>
              <w:rPr>
                <w:bCs/>
                <w:iCs/>
              </w:rPr>
              <w:t>SBNA come</w:t>
            </w:r>
            <w:r w:rsidR="00DF7DD0">
              <w:rPr>
                <w:bCs/>
                <w:iCs/>
              </w:rPr>
              <w:t>s</w:t>
            </w:r>
            <w:r>
              <w:rPr>
                <w:bCs/>
                <w:iCs/>
              </w:rPr>
              <w:t xml:space="preserve"> from SBNA </w:t>
            </w:r>
            <w:r w:rsidR="00DF7DD0">
              <w:rPr>
                <w:bCs/>
                <w:iCs/>
              </w:rPr>
              <w:t>Solvency</w:t>
            </w:r>
            <w:r>
              <w:rPr>
                <w:bCs/>
                <w:iCs/>
              </w:rPr>
              <w:t>.</w:t>
            </w:r>
          </w:p>
          <w:p w14:paraId="046FC619" w14:textId="77777777" w:rsidR="00DF7DD0" w:rsidRDefault="00DF7DD0" w:rsidP="006817E1">
            <w:pPr>
              <w:spacing w:after="0" w:line="240" w:lineRule="auto"/>
              <w:rPr>
                <w:bCs/>
                <w:iCs/>
              </w:rPr>
            </w:pPr>
          </w:p>
          <w:p w14:paraId="1AF84B22" w14:textId="77777777" w:rsidR="00DF7DD0" w:rsidRDefault="00DF7DD0" w:rsidP="00DF7DD0">
            <w:pPr>
              <w:spacing w:after="0" w:line="240" w:lineRule="auto"/>
              <w:rPr>
                <w:bCs/>
                <w:iCs/>
              </w:rPr>
            </w:pPr>
          </w:p>
          <w:p w14:paraId="4F0F59E3" w14:textId="093EF45A" w:rsidR="00DF7DD0" w:rsidRPr="00DF7DD0" w:rsidRDefault="00DF7DD0" w:rsidP="00DF7DD0">
            <w:pPr>
              <w:spacing w:after="0" w:line="240" w:lineRule="auto"/>
              <w:rPr>
                <w:bCs/>
                <w:iCs/>
              </w:rPr>
            </w:pPr>
            <w:r>
              <w:rPr>
                <w:bCs/>
                <w:iCs/>
              </w:rPr>
              <w:t xml:space="preserve">BSPR </w:t>
            </w:r>
            <w:proofErr w:type="gramStart"/>
            <w:r>
              <w:rPr>
                <w:bCs/>
                <w:iCs/>
              </w:rPr>
              <w:t>-  BSPR</w:t>
            </w:r>
            <w:proofErr w:type="gramEnd"/>
            <w:r>
              <w:rPr>
                <w:bCs/>
                <w:iCs/>
              </w:rPr>
              <w:t xml:space="preserve"> subprime exposure comes from BSPR Credit Portfolio Management team.  </w:t>
            </w:r>
          </w:p>
          <w:p w14:paraId="76498A52" w14:textId="77777777" w:rsidR="006817E1" w:rsidRDefault="006817E1" w:rsidP="006817E1">
            <w:pPr>
              <w:spacing w:after="0" w:line="240" w:lineRule="auto"/>
              <w:rPr>
                <w:bCs/>
                <w:iCs/>
              </w:rPr>
            </w:pPr>
          </w:p>
          <w:p w14:paraId="7E4C5B47" w14:textId="77777777" w:rsidR="006817E1" w:rsidRPr="00206D41" w:rsidRDefault="006817E1" w:rsidP="006817E1">
            <w:pPr>
              <w:spacing w:after="0" w:line="240" w:lineRule="auto"/>
              <w:rPr>
                <w:bCs/>
                <w:iCs/>
              </w:rPr>
            </w:pPr>
            <w:r>
              <w:rPr>
                <w:bCs/>
                <w:iCs/>
              </w:rPr>
              <w:t xml:space="preserve">SHUSA Total Exposure: </w:t>
            </w:r>
            <w:r w:rsidRPr="00B8692E">
              <w:rPr>
                <w:bCs/>
                <w:iCs/>
              </w:rPr>
              <w:t xml:space="preserve">SBNA uses the GL + Unfunded exposure in CCMIS to generate Total Exposure and from there we receive the figure from the Solvency team in an Excel file titled “SBNA </w:t>
            </w:r>
            <w:proofErr w:type="spellStart"/>
            <w:r w:rsidRPr="00B8692E">
              <w:rPr>
                <w:bCs/>
                <w:iCs/>
              </w:rPr>
              <w:t>Credit_Template</w:t>
            </w:r>
            <w:proofErr w:type="spellEnd"/>
            <w:r w:rsidRPr="00B8692E">
              <w:rPr>
                <w:bCs/>
                <w:iCs/>
              </w:rPr>
              <w:t xml:space="preserve">” on a monthly </w:t>
            </w:r>
            <w:r w:rsidRPr="00602C3A">
              <w:rPr>
                <w:bCs/>
                <w:iCs/>
              </w:rPr>
              <w:t>basis. SC exposure: The sum of Current Legal Balance Amount, Total Letter of Credit Issued Amount and Credit Availability Amount, In deals participated with other financial institutions, this amount is based on the Santander only portion of the deal</w:t>
            </w:r>
            <w:r>
              <w:rPr>
                <w:bCs/>
                <w:iCs/>
              </w:rPr>
              <w:t xml:space="preserve"> sourced from </w:t>
            </w:r>
            <w:proofErr w:type="spellStart"/>
            <w:r w:rsidRPr="00602C3A">
              <w:rPr>
                <w:bCs/>
                <w:iCs/>
              </w:rPr>
              <w:t>SQLPrdDataWarehouse</w:t>
            </w:r>
            <w:proofErr w:type="spellEnd"/>
            <w:r>
              <w:rPr>
                <w:bCs/>
                <w:iCs/>
              </w:rPr>
              <w:t xml:space="preserve">, table: </w:t>
            </w:r>
            <w:proofErr w:type="spellStart"/>
            <w:r w:rsidRPr="00602C3A">
              <w:rPr>
                <w:bCs/>
                <w:iCs/>
              </w:rPr>
              <w:t>Vw_Loan_Finance_Month_Fact</w:t>
            </w:r>
            <w:proofErr w:type="spellEnd"/>
            <w:r>
              <w:rPr>
                <w:bCs/>
                <w:iCs/>
              </w:rPr>
              <w:t xml:space="preserve"> </w:t>
            </w:r>
          </w:p>
        </w:tc>
      </w:tr>
    </w:tbl>
    <w:p w14:paraId="64BB9FC2" w14:textId="77777777" w:rsidR="006817E1" w:rsidRDefault="006817E1" w:rsidP="006817E1">
      <w:pPr>
        <w:pStyle w:val="SANUS2"/>
        <w:ind w:left="680"/>
        <w:rPr>
          <w:color w:val="000000" w:themeColor="text1"/>
        </w:rPr>
      </w:pPr>
    </w:p>
    <w:p w14:paraId="50893A10" w14:textId="77777777" w:rsidR="00511F11" w:rsidRDefault="00511F11" w:rsidP="006817E1">
      <w:pPr>
        <w:pStyle w:val="SANUS2"/>
        <w:ind w:left="680"/>
        <w:rPr>
          <w:color w:val="000000" w:themeColor="text1"/>
        </w:rPr>
      </w:pPr>
    </w:p>
    <w:p w14:paraId="44B28AF8" w14:textId="77777777" w:rsidR="002450B1" w:rsidRPr="005F51C4" w:rsidRDefault="00A43D45" w:rsidP="00FC2445">
      <w:pPr>
        <w:pStyle w:val="SANUS1"/>
        <w:numPr>
          <w:ilvl w:val="0"/>
          <w:numId w:val="1"/>
        </w:numPr>
      </w:pPr>
      <w:bookmarkStart w:id="464" w:name="_Toc452544132"/>
      <w:bookmarkStart w:id="465" w:name="_Toc453849295"/>
      <w:r>
        <w:t>Residual value risk metrics</w:t>
      </w:r>
      <w:bookmarkEnd w:id="464"/>
      <w:bookmarkEnd w:id="465"/>
    </w:p>
    <w:p w14:paraId="108A2C9B" w14:textId="77777777" w:rsidR="004E6183" w:rsidRPr="00AA0199" w:rsidRDefault="00AA0199" w:rsidP="002450B1">
      <w:pPr>
        <w:pStyle w:val="SANUS2"/>
        <w:numPr>
          <w:ilvl w:val="1"/>
          <w:numId w:val="1"/>
        </w:numPr>
        <w:ind w:left="720" w:hanging="630"/>
        <w:rPr>
          <w:color w:val="000000" w:themeColor="text1"/>
        </w:rPr>
      </w:pPr>
      <w:bookmarkStart w:id="466" w:name="_Toc452541487"/>
      <w:bookmarkStart w:id="467" w:name="_Toc452543562"/>
      <w:bookmarkStart w:id="468" w:name="_Toc452544133"/>
      <w:bookmarkStart w:id="469" w:name="_Toc452544708"/>
      <w:bookmarkStart w:id="470" w:name="_Toc452650984"/>
      <w:bookmarkStart w:id="471" w:name="_Toc452541502"/>
      <w:bookmarkStart w:id="472" w:name="_Toc452543577"/>
      <w:bookmarkStart w:id="473" w:name="_Toc452544148"/>
      <w:bookmarkStart w:id="474" w:name="_Toc452544723"/>
      <w:bookmarkStart w:id="475" w:name="_Toc452650999"/>
      <w:bookmarkStart w:id="476" w:name="_Toc452541512"/>
      <w:bookmarkStart w:id="477" w:name="_Toc452543587"/>
      <w:bookmarkStart w:id="478" w:name="_Toc452544158"/>
      <w:bookmarkStart w:id="479" w:name="_Toc452544733"/>
      <w:bookmarkStart w:id="480" w:name="_Toc452651009"/>
      <w:bookmarkStart w:id="481" w:name="_Toc452544178"/>
      <w:bookmarkStart w:id="482" w:name="_Toc453849296"/>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r>
        <w:rPr>
          <w:color w:val="000000" w:themeColor="text1"/>
        </w:rPr>
        <w:t>Net residual v</w:t>
      </w:r>
      <w:r w:rsidR="00784F28">
        <w:rPr>
          <w:color w:val="000000" w:themeColor="text1"/>
        </w:rPr>
        <w:t>alue exposure</w:t>
      </w:r>
      <w:bookmarkEnd w:id="481"/>
      <w:bookmarkEnd w:id="482"/>
      <w:r w:rsidR="00784F28">
        <w:rPr>
          <w:color w:val="000000" w:themeColor="text1"/>
        </w:rPr>
        <w:t xml:space="preserve"> </w:t>
      </w:r>
    </w:p>
    <w:tbl>
      <w:tblPr>
        <w:tblpPr w:leftFromText="180" w:rightFromText="180" w:vertAnchor="text" w:tblpX="168" w:tblpY="1"/>
        <w:tblOverlap w:val="never"/>
        <w:tblW w:w="9198"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000" w:firstRow="0" w:lastRow="0" w:firstColumn="0" w:lastColumn="0" w:noHBand="0" w:noVBand="0"/>
      </w:tblPr>
      <w:tblGrid>
        <w:gridCol w:w="1728"/>
        <w:gridCol w:w="7470"/>
      </w:tblGrid>
      <w:tr w:rsidR="002450B1" w:rsidRPr="00206D41" w14:paraId="34079351" w14:textId="77777777" w:rsidTr="00B3414B">
        <w:trPr>
          <w:trHeight w:val="390"/>
        </w:trPr>
        <w:tc>
          <w:tcPr>
            <w:tcW w:w="1728" w:type="dxa"/>
            <w:shd w:val="clear" w:color="auto" w:fill="auto"/>
          </w:tcPr>
          <w:p w14:paraId="1FDDE7FD" w14:textId="77777777" w:rsidR="002450B1" w:rsidRPr="00206D41" w:rsidRDefault="00AA0199" w:rsidP="007F5098">
            <w:pPr>
              <w:rPr>
                <w:b/>
                <w:bCs/>
                <w:iCs/>
              </w:rPr>
            </w:pPr>
            <w:r>
              <w:rPr>
                <w:b/>
                <w:bCs/>
                <w:iCs/>
              </w:rPr>
              <w:t>DEFINITION</w:t>
            </w:r>
          </w:p>
        </w:tc>
        <w:tc>
          <w:tcPr>
            <w:tcW w:w="7470" w:type="dxa"/>
            <w:shd w:val="clear" w:color="auto" w:fill="auto"/>
          </w:tcPr>
          <w:p w14:paraId="1F1998CC" w14:textId="77777777" w:rsidR="00D87576" w:rsidRPr="00FD6507" w:rsidRDefault="00FD6507" w:rsidP="00FD6507">
            <w:pPr>
              <w:spacing w:after="0" w:line="240" w:lineRule="auto"/>
              <w:rPr>
                <w:rFonts w:asciiTheme="minorHAnsi" w:eastAsiaTheme="minorHAnsi" w:hAnsiTheme="minorHAnsi" w:cstheme="minorBidi"/>
                <w:iCs/>
              </w:rPr>
            </w:pPr>
            <w:r>
              <w:rPr>
                <w:rFonts w:asciiTheme="minorHAnsi" w:eastAsiaTheme="minorHAnsi" w:hAnsiTheme="minorHAnsi" w:cstheme="minorBidi"/>
                <w:iCs/>
              </w:rPr>
              <w:t>T</w:t>
            </w:r>
            <w:r w:rsidR="00D87576" w:rsidRPr="00FD6507">
              <w:rPr>
                <w:rFonts w:asciiTheme="minorHAnsi" w:eastAsiaTheme="minorHAnsi" w:hAnsiTheme="minorHAnsi" w:cstheme="minorBidi"/>
                <w:iCs/>
              </w:rPr>
              <w:t>he implied profit or loss in the residual value of</w:t>
            </w:r>
            <w:r>
              <w:rPr>
                <w:rFonts w:asciiTheme="minorHAnsi" w:eastAsiaTheme="minorHAnsi" w:hAnsiTheme="minorHAnsi" w:cstheme="minorBidi"/>
                <w:iCs/>
              </w:rPr>
              <w:t xml:space="preserve"> all leased</w:t>
            </w:r>
            <w:r w:rsidR="00D87576" w:rsidRPr="00FD6507">
              <w:rPr>
                <w:rFonts w:asciiTheme="minorHAnsi" w:eastAsiaTheme="minorHAnsi" w:hAnsiTheme="minorHAnsi" w:cstheme="minorBidi"/>
                <w:iCs/>
              </w:rPr>
              <w:t xml:space="preserve"> vehicles at the point in time of calculation</w:t>
            </w:r>
            <w:r>
              <w:rPr>
                <w:rFonts w:asciiTheme="minorHAnsi" w:eastAsiaTheme="minorHAnsi" w:hAnsiTheme="minorHAnsi" w:cstheme="minorBidi"/>
                <w:iCs/>
              </w:rPr>
              <w:t xml:space="preserve"> – the d</w:t>
            </w:r>
            <w:r w:rsidR="00D87576" w:rsidRPr="00FD6507">
              <w:rPr>
                <w:rFonts w:asciiTheme="minorHAnsi" w:eastAsiaTheme="minorHAnsi" w:hAnsiTheme="minorHAnsi" w:cstheme="minorBidi"/>
                <w:iCs/>
              </w:rPr>
              <w:t>ifference between</w:t>
            </w:r>
            <w:r>
              <w:rPr>
                <w:rFonts w:asciiTheme="minorHAnsi" w:eastAsiaTheme="minorHAnsi" w:hAnsiTheme="minorHAnsi" w:cstheme="minorBidi"/>
                <w:iCs/>
              </w:rPr>
              <w:t xml:space="preserve"> the</w:t>
            </w:r>
            <w:r w:rsidR="00D87576" w:rsidRPr="00FD6507">
              <w:rPr>
                <w:rFonts w:asciiTheme="minorHAnsi" w:eastAsiaTheme="minorHAnsi" w:hAnsiTheme="minorHAnsi" w:cstheme="minorBidi"/>
                <w:iCs/>
              </w:rPr>
              <w:t xml:space="preserve"> Forecasted Residual Value (3-month smoothed average) and</w:t>
            </w:r>
            <w:r>
              <w:rPr>
                <w:rFonts w:asciiTheme="minorHAnsi" w:eastAsiaTheme="minorHAnsi" w:hAnsiTheme="minorHAnsi" w:cstheme="minorBidi"/>
                <w:iCs/>
              </w:rPr>
              <w:t xml:space="preserve"> the</w:t>
            </w:r>
            <w:r w:rsidR="00D87576" w:rsidRPr="00FD6507">
              <w:rPr>
                <w:rFonts w:asciiTheme="minorHAnsi" w:eastAsiaTheme="minorHAnsi" w:hAnsiTheme="minorHAnsi" w:cstheme="minorBidi"/>
                <w:iCs/>
              </w:rPr>
              <w:t xml:space="preserve"> Contract Residual less Incentives &amp; Tax (CRLIT) as a proportion of</w:t>
            </w:r>
            <w:r>
              <w:rPr>
                <w:rFonts w:asciiTheme="minorHAnsi" w:eastAsiaTheme="minorHAnsi" w:hAnsiTheme="minorHAnsi" w:cstheme="minorBidi"/>
                <w:iCs/>
              </w:rPr>
              <w:t xml:space="preserve"> total CRLIT</w:t>
            </w:r>
          </w:p>
        </w:tc>
      </w:tr>
      <w:tr w:rsidR="002450B1" w:rsidRPr="00206D41" w14:paraId="7B84BA54" w14:textId="77777777" w:rsidTr="00B3414B">
        <w:trPr>
          <w:trHeight w:val="434"/>
        </w:trPr>
        <w:tc>
          <w:tcPr>
            <w:tcW w:w="1728" w:type="dxa"/>
            <w:shd w:val="clear" w:color="auto" w:fill="auto"/>
          </w:tcPr>
          <w:p w14:paraId="21AB4FA9" w14:textId="77777777" w:rsidR="002450B1" w:rsidRPr="00206D41" w:rsidRDefault="00D87576" w:rsidP="007F5098">
            <w:pPr>
              <w:rPr>
                <w:b/>
                <w:bCs/>
                <w:iCs/>
              </w:rPr>
            </w:pPr>
            <w:r>
              <w:rPr>
                <w:b/>
                <w:bCs/>
                <w:iCs/>
              </w:rPr>
              <w:t>RISK TYPE</w:t>
            </w:r>
          </w:p>
        </w:tc>
        <w:tc>
          <w:tcPr>
            <w:tcW w:w="7470" w:type="dxa"/>
            <w:shd w:val="clear" w:color="auto" w:fill="auto"/>
          </w:tcPr>
          <w:p w14:paraId="441BD9F1" w14:textId="77777777" w:rsidR="002450B1" w:rsidRPr="00206D41" w:rsidRDefault="0094418D" w:rsidP="007F5098">
            <w:pPr>
              <w:spacing w:after="0" w:line="240" w:lineRule="auto"/>
              <w:rPr>
                <w:bCs/>
                <w:iCs/>
              </w:rPr>
            </w:pPr>
            <w:r>
              <w:rPr>
                <w:bCs/>
                <w:iCs/>
              </w:rPr>
              <w:t>Residual Value Risk</w:t>
            </w:r>
          </w:p>
        </w:tc>
      </w:tr>
      <w:tr w:rsidR="00D10F8D" w:rsidRPr="00206D41" w14:paraId="0B0AB890" w14:textId="77777777" w:rsidTr="00B3414B">
        <w:trPr>
          <w:trHeight w:val="434"/>
        </w:trPr>
        <w:tc>
          <w:tcPr>
            <w:tcW w:w="1728" w:type="dxa"/>
            <w:shd w:val="clear" w:color="auto" w:fill="auto"/>
          </w:tcPr>
          <w:p w14:paraId="2DED292B" w14:textId="77777777" w:rsidR="00D10F8D" w:rsidRDefault="00D10F8D" w:rsidP="007F5098">
            <w:pPr>
              <w:rPr>
                <w:b/>
                <w:bCs/>
                <w:iCs/>
              </w:rPr>
            </w:pPr>
            <w:r>
              <w:rPr>
                <w:b/>
                <w:bCs/>
                <w:iCs/>
              </w:rPr>
              <w:t>RATIONALE</w:t>
            </w:r>
          </w:p>
        </w:tc>
        <w:tc>
          <w:tcPr>
            <w:tcW w:w="7470" w:type="dxa"/>
            <w:shd w:val="clear" w:color="auto" w:fill="auto"/>
          </w:tcPr>
          <w:p w14:paraId="7E512BD0" w14:textId="77777777" w:rsidR="00D10F8D" w:rsidRDefault="008E208E" w:rsidP="008E208E">
            <w:pPr>
              <w:spacing w:after="0" w:line="240" w:lineRule="auto"/>
              <w:rPr>
                <w:bCs/>
                <w:iCs/>
              </w:rPr>
            </w:pPr>
            <w:r w:rsidRPr="008E208E">
              <w:rPr>
                <w:bCs/>
                <w:iCs/>
              </w:rPr>
              <w:t xml:space="preserve">As the projected residual value deterioration is only calculated annually, SHUSA will want a </w:t>
            </w:r>
            <w:r>
              <w:rPr>
                <w:bCs/>
                <w:iCs/>
              </w:rPr>
              <w:t>BAU</w:t>
            </w:r>
            <w:r w:rsidRPr="008E208E">
              <w:rPr>
                <w:bCs/>
                <w:iCs/>
              </w:rPr>
              <w:t xml:space="preserve"> metric to monitor more frequently</w:t>
            </w:r>
          </w:p>
        </w:tc>
      </w:tr>
      <w:tr w:rsidR="00215BFE" w:rsidRPr="00206D41" w14:paraId="5F681A31" w14:textId="77777777" w:rsidTr="00564499">
        <w:trPr>
          <w:trHeight w:val="270"/>
        </w:trPr>
        <w:tc>
          <w:tcPr>
            <w:tcW w:w="1728" w:type="dxa"/>
            <w:shd w:val="clear" w:color="auto" w:fill="auto"/>
          </w:tcPr>
          <w:p w14:paraId="3557124D" w14:textId="77777777" w:rsidR="00215BFE" w:rsidRPr="00206D41" w:rsidRDefault="00215BFE" w:rsidP="007F5098">
            <w:pPr>
              <w:rPr>
                <w:b/>
                <w:bCs/>
                <w:iCs/>
              </w:rPr>
            </w:pPr>
            <w:r>
              <w:rPr>
                <w:b/>
                <w:bCs/>
                <w:iCs/>
              </w:rPr>
              <w:t>ENTITY</w:t>
            </w:r>
          </w:p>
        </w:tc>
        <w:tc>
          <w:tcPr>
            <w:tcW w:w="7470" w:type="dxa"/>
            <w:shd w:val="clear" w:color="auto" w:fill="auto"/>
          </w:tcPr>
          <w:p w14:paraId="4B8C460C" w14:textId="19F4C4F9" w:rsidR="00215BFE" w:rsidRPr="00D87576" w:rsidRDefault="00215BFE" w:rsidP="0096752A">
            <w:pPr>
              <w:spacing w:after="0" w:line="240" w:lineRule="auto"/>
              <w:rPr>
                <w:b/>
                <w:bCs/>
                <w:iCs/>
              </w:rPr>
            </w:pPr>
            <w:r>
              <w:rPr>
                <w:b/>
                <w:bCs/>
                <w:iCs/>
              </w:rPr>
              <w:t>SC</w:t>
            </w:r>
          </w:p>
        </w:tc>
      </w:tr>
      <w:tr w:rsidR="00215BFE" w:rsidRPr="00206D41" w14:paraId="0F9ED358" w14:textId="77777777" w:rsidTr="00564499">
        <w:trPr>
          <w:trHeight w:val="270"/>
        </w:trPr>
        <w:tc>
          <w:tcPr>
            <w:tcW w:w="1728" w:type="dxa"/>
            <w:shd w:val="clear" w:color="auto" w:fill="auto"/>
          </w:tcPr>
          <w:p w14:paraId="7C6ABCB5" w14:textId="0EF2D8BE" w:rsidR="00215BFE" w:rsidRPr="00206D41" w:rsidRDefault="00511F11" w:rsidP="00D10F8D">
            <w:pPr>
              <w:rPr>
                <w:b/>
                <w:bCs/>
                <w:iCs/>
              </w:rPr>
            </w:pPr>
            <w:r>
              <w:rPr>
                <w:rFonts w:asciiTheme="minorHAnsi" w:hAnsiTheme="minorHAnsi"/>
                <w:b/>
                <w:bCs/>
                <w:iCs/>
              </w:rPr>
              <w:t>METRIC PROVIDER</w:t>
            </w:r>
          </w:p>
        </w:tc>
        <w:tc>
          <w:tcPr>
            <w:tcW w:w="7470" w:type="dxa"/>
            <w:shd w:val="clear" w:color="auto" w:fill="auto"/>
          </w:tcPr>
          <w:p w14:paraId="18870A32" w14:textId="68B624BB" w:rsidR="00215BFE" w:rsidRPr="00D87576" w:rsidRDefault="00215BFE" w:rsidP="00D10F8D">
            <w:pPr>
              <w:spacing w:after="0" w:line="240" w:lineRule="auto"/>
              <w:rPr>
                <w:b/>
                <w:bCs/>
                <w:iCs/>
              </w:rPr>
            </w:pPr>
            <w:r>
              <w:rPr>
                <w:b/>
                <w:bCs/>
                <w:iCs/>
              </w:rPr>
              <w:t>SC COO</w:t>
            </w:r>
          </w:p>
        </w:tc>
      </w:tr>
      <w:tr w:rsidR="00D10F8D" w:rsidRPr="00206D41" w14:paraId="25143979" w14:textId="77777777" w:rsidTr="00B3414B">
        <w:trPr>
          <w:trHeight w:val="360"/>
        </w:trPr>
        <w:tc>
          <w:tcPr>
            <w:tcW w:w="1728" w:type="dxa"/>
            <w:shd w:val="clear" w:color="auto" w:fill="auto"/>
          </w:tcPr>
          <w:p w14:paraId="028215FA" w14:textId="77777777" w:rsidR="00D10F8D" w:rsidRPr="00206D41" w:rsidRDefault="00D10F8D" w:rsidP="00D10F8D">
            <w:pPr>
              <w:ind w:left="-60"/>
              <w:rPr>
                <w:b/>
                <w:bCs/>
                <w:iCs/>
              </w:rPr>
            </w:pPr>
            <w:r>
              <w:rPr>
                <w:b/>
                <w:bCs/>
                <w:iCs/>
              </w:rPr>
              <w:t>TRIGGER AND LIMIT SETTING</w:t>
            </w:r>
          </w:p>
        </w:tc>
        <w:tc>
          <w:tcPr>
            <w:tcW w:w="7470" w:type="dxa"/>
            <w:shd w:val="clear" w:color="auto" w:fill="auto"/>
          </w:tcPr>
          <w:p w14:paraId="5391DC3B" w14:textId="77777777" w:rsidR="00D10F8D" w:rsidRDefault="00D10F8D" w:rsidP="00D10F8D">
            <w:pPr>
              <w:spacing w:after="0" w:line="240" w:lineRule="auto"/>
              <w:rPr>
                <w:bCs/>
                <w:iCs/>
              </w:rPr>
            </w:pPr>
            <w:r>
              <w:rPr>
                <w:bCs/>
                <w:iCs/>
              </w:rPr>
              <w:t>Net Residual Value exposure trigger and limit are established annually through a calibration process as follows:</w:t>
            </w:r>
          </w:p>
          <w:p w14:paraId="1DBA970F" w14:textId="77777777" w:rsidR="00D10F8D" w:rsidRDefault="00D10F8D" w:rsidP="00D10F8D">
            <w:pPr>
              <w:pStyle w:val="ListParagraph"/>
              <w:numPr>
                <w:ilvl w:val="0"/>
                <w:numId w:val="12"/>
              </w:numPr>
              <w:spacing w:after="0" w:line="240" w:lineRule="auto"/>
              <w:rPr>
                <w:bCs/>
                <w:iCs/>
              </w:rPr>
            </w:pPr>
            <w:r w:rsidRPr="001F2D95">
              <w:rPr>
                <w:bCs/>
                <w:iCs/>
              </w:rPr>
              <w:t>Using an internal ROA model, SC compares lifetime expected return of lease assets (lifetime ROA) to CRLIT</w:t>
            </w:r>
          </w:p>
          <w:p w14:paraId="1A41D9D7" w14:textId="77777777" w:rsidR="00D10F8D" w:rsidRDefault="00D10F8D" w:rsidP="00D10F8D">
            <w:pPr>
              <w:pStyle w:val="ListParagraph"/>
              <w:numPr>
                <w:ilvl w:val="0"/>
                <w:numId w:val="12"/>
              </w:numPr>
              <w:spacing w:after="0" w:line="240" w:lineRule="auto"/>
              <w:rPr>
                <w:bCs/>
                <w:iCs/>
              </w:rPr>
            </w:pPr>
            <w:r>
              <w:rPr>
                <w:bCs/>
                <w:iCs/>
              </w:rPr>
              <w:t>This is</w:t>
            </w:r>
            <w:r w:rsidRPr="001F2D95">
              <w:rPr>
                <w:bCs/>
                <w:iCs/>
              </w:rPr>
              <w:t xml:space="preserve"> translated to a shortfall analysis to show the break-even point</w:t>
            </w:r>
            <w:r>
              <w:rPr>
                <w:bCs/>
                <w:iCs/>
              </w:rPr>
              <w:t xml:space="preserve"> where the portfolio ROA becomes 0%. This point is selected as the red</w:t>
            </w:r>
            <w:r w:rsidRPr="001F2D95">
              <w:rPr>
                <w:bCs/>
                <w:iCs/>
              </w:rPr>
              <w:t xml:space="preserve"> limit</w:t>
            </w:r>
          </w:p>
          <w:p w14:paraId="6B4EDA34" w14:textId="77777777" w:rsidR="00D10F8D" w:rsidRPr="001F2D95" w:rsidRDefault="00D10F8D" w:rsidP="00D10F8D">
            <w:pPr>
              <w:pStyle w:val="ListParagraph"/>
              <w:numPr>
                <w:ilvl w:val="0"/>
                <w:numId w:val="12"/>
              </w:numPr>
              <w:spacing w:after="0" w:line="240" w:lineRule="auto"/>
              <w:rPr>
                <w:bCs/>
                <w:iCs/>
              </w:rPr>
            </w:pPr>
            <w:r>
              <w:rPr>
                <w:bCs/>
                <w:iCs/>
              </w:rPr>
              <w:t>Expert judgement is used to set the amber trigger</w:t>
            </w:r>
          </w:p>
          <w:p w14:paraId="4B15F992" w14:textId="77777777" w:rsidR="00D10F8D" w:rsidRPr="0094418D" w:rsidRDefault="00D10F8D" w:rsidP="00D10F8D">
            <w:pPr>
              <w:spacing w:after="0" w:line="240" w:lineRule="auto"/>
              <w:rPr>
                <w:rFonts w:asciiTheme="minorHAnsi" w:eastAsiaTheme="minorHAnsi" w:hAnsiTheme="minorHAnsi" w:cstheme="minorBidi"/>
                <w:iCs/>
              </w:rPr>
            </w:pPr>
          </w:p>
        </w:tc>
      </w:tr>
      <w:tr w:rsidR="00D10F8D" w:rsidRPr="00206D41" w14:paraId="541E9858" w14:textId="77777777" w:rsidTr="00B3414B">
        <w:trPr>
          <w:trHeight w:val="510"/>
        </w:trPr>
        <w:tc>
          <w:tcPr>
            <w:tcW w:w="1728" w:type="dxa"/>
            <w:shd w:val="clear" w:color="auto" w:fill="auto"/>
          </w:tcPr>
          <w:p w14:paraId="13ED8BDC" w14:textId="77777777" w:rsidR="00D10F8D" w:rsidRPr="00206D41" w:rsidRDefault="00D10F8D" w:rsidP="00D10F8D">
            <w:pPr>
              <w:ind w:left="-60"/>
              <w:rPr>
                <w:b/>
                <w:bCs/>
                <w:iCs/>
              </w:rPr>
            </w:pPr>
            <w:r>
              <w:rPr>
                <w:b/>
                <w:bCs/>
                <w:iCs/>
              </w:rPr>
              <w:t xml:space="preserve">TESTING </w:t>
            </w:r>
            <w:r w:rsidRPr="00206D41">
              <w:rPr>
                <w:b/>
                <w:bCs/>
                <w:iCs/>
              </w:rPr>
              <w:t>FREQUENCY</w:t>
            </w:r>
          </w:p>
        </w:tc>
        <w:tc>
          <w:tcPr>
            <w:tcW w:w="7470" w:type="dxa"/>
            <w:shd w:val="clear" w:color="auto" w:fill="auto"/>
          </w:tcPr>
          <w:p w14:paraId="1B1B338B" w14:textId="77777777" w:rsidR="00D10F8D" w:rsidRDefault="00D10F8D" w:rsidP="00D10F8D">
            <w:r>
              <w:t>Monthly</w:t>
            </w:r>
          </w:p>
          <w:p w14:paraId="7D950CF2" w14:textId="77777777" w:rsidR="00D10F8D" w:rsidRDefault="00D10F8D" w:rsidP="00D10F8D">
            <w:pPr>
              <w:spacing w:after="0" w:line="240" w:lineRule="auto"/>
              <w:rPr>
                <w:rFonts w:asciiTheme="minorHAnsi" w:eastAsiaTheme="minorHAnsi" w:hAnsiTheme="minorHAnsi" w:cstheme="minorBidi"/>
                <w:iCs/>
              </w:rPr>
            </w:pPr>
            <w:r w:rsidRPr="0094418D">
              <w:rPr>
                <w:rFonts w:asciiTheme="minorHAnsi" w:eastAsiaTheme="minorHAnsi" w:hAnsiTheme="minorHAnsi" w:cstheme="minorBidi"/>
                <w:iCs/>
              </w:rPr>
              <w:t>The difference between Forecasted Residual Value and CRLIT, divided by CRLIT – net of the Chrysler Risk Share:</w:t>
            </w:r>
          </w:p>
          <w:p w14:paraId="5A1E9B9F" w14:textId="77777777" w:rsidR="00D10F8D" w:rsidRPr="0094418D" w:rsidRDefault="00D10F8D" w:rsidP="00D10F8D">
            <w:pPr>
              <w:spacing w:after="0" w:line="240" w:lineRule="auto"/>
              <w:rPr>
                <w:rFonts w:asciiTheme="minorHAnsi" w:eastAsiaTheme="minorHAnsi" w:hAnsiTheme="minorHAnsi" w:cstheme="minorBidi"/>
                <w:iCs/>
              </w:rPr>
            </w:pPr>
          </w:p>
          <w:p w14:paraId="6344F867" w14:textId="77777777" w:rsidR="00D10F8D" w:rsidRPr="00340596" w:rsidRDefault="00DB2B0B" w:rsidP="00D10F8D">
            <w:pPr>
              <w:spacing w:after="0" w:line="240" w:lineRule="auto"/>
              <w:jc w:val="center"/>
              <w:rPr>
                <w:rFonts w:asciiTheme="minorHAnsi" w:eastAsiaTheme="minorEastAsia" w:hAnsiTheme="minorHAnsi" w:cstheme="minorBidi"/>
                <w:iCs/>
                <w:sz w:val="28"/>
                <w:szCs w:val="28"/>
              </w:rPr>
            </w:pPr>
            <m:oMath>
              <m:f>
                <m:fPr>
                  <m:ctrlPr>
                    <w:rPr>
                      <w:rFonts w:ascii="Cambria Math" w:eastAsiaTheme="minorHAnsi" w:hAnsi="Cambria Math" w:cstheme="minorBidi"/>
                      <w:iCs/>
                      <w:sz w:val="28"/>
                      <w:szCs w:val="28"/>
                    </w:rPr>
                  </m:ctrlPr>
                </m:fPr>
                <m:num>
                  <m:r>
                    <m:rPr>
                      <m:sty m:val="p"/>
                    </m:rPr>
                    <w:rPr>
                      <w:rFonts w:ascii="Cambria Math" w:eastAsiaTheme="minorHAnsi" w:hAnsi="Cambria Math" w:cstheme="minorBidi"/>
                      <w:sz w:val="28"/>
                      <w:szCs w:val="28"/>
                    </w:rPr>
                    <m:t>Forecasted Residual Value-CRLIT</m:t>
                  </m:r>
                </m:num>
                <m:den>
                  <m:r>
                    <m:rPr>
                      <m:sty m:val="p"/>
                    </m:rPr>
                    <w:rPr>
                      <w:rFonts w:ascii="Cambria Math" w:eastAsiaTheme="minorHAnsi" w:hAnsi="Cambria Math" w:cstheme="minorBidi"/>
                      <w:sz w:val="28"/>
                      <w:szCs w:val="28"/>
                    </w:rPr>
                    <m:t>CRLIT</m:t>
                  </m:r>
                </m:den>
              </m:f>
            </m:oMath>
            <w:r w:rsidR="00D10F8D">
              <w:rPr>
                <w:rFonts w:asciiTheme="minorHAnsi" w:eastAsiaTheme="minorEastAsia" w:hAnsiTheme="minorHAnsi" w:cstheme="minorBidi"/>
                <w:iCs/>
                <w:sz w:val="28"/>
                <w:szCs w:val="28"/>
              </w:rPr>
              <w:t xml:space="preserve"> </w:t>
            </w:r>
          </w:p>
          <w:p w14:paraId="67FA78DB" w14:textId="77777777" w:rsidR="00D10F8D" w:rsidRPr="0094418D" w:rsidRDefault="00D10F8D" w:rsidP="00D10F8D">
            <w:pPr>
              <w:spacing w:after="0" w:line="240" w:lineRule="auto"/>
              <w:rPr>
                <w:rFonts w:asciiTheme="minorHAnsi" w:eastAsiaTheme="minorEastAsia" w:hAnsiTheme="minorHAnsi" w:cstheme="minorBidi"/>
                <w:iCs/>
              </w:rPr>
            </w:pPr>
          </w:p>
          <w:p w14:paraId="0EFB69EA" w14:textId="77777777" w:rsidR="00D10F8D" w:rsidRDefault="00D10F8D" w:rsidP="00D10F8D">
            <w:pPr>
              <w:spacing w:after="0" w:line="240" w:lineRule="auto"/>
              <w:rPr>
                <w:rFonts w:asciiTheme="minorHAnsi" w:eastAsiaTheme="minorHAnsi" w:hAnsiTheme="minorHAnsi" w:cstheme="minorBidi"/>
                <w:iCs/>
              </w:rPr>
            </w:pPr>
            <w:r w:rsidRPr="0094418D">
              <w:rPr>
                <w:rFonts w:asciiTheme="minorHAnsi" w:eastAsiaTheme="minorHAnsi" w:hAnsiTheme="minorHAnsi" w:cstheme="minorBidi"/>
                <w:iCs/>
              </w:rPr>
              <w:t>The Forecasted Residual Value is the lower of ALG (quarterly number) and the forecasted residual value for internal mark (3 month average).</w:t>
            </w:r>
          </w:p>
          <w:p w14:paraId="5E1AEF40" w14:textId="77777777" w:rsidR="00D10F8D" w:rsidRDefault="00D10F8D" w:rsidP="00D10F8D">
            <w:pPr>
              <w:spacing w:after="0" w:line="240" w:lineRule="auto"/>
              <w:rPr>
                <w:rFonts w:asciiTheme="minorHAnsi" w:eastAsiaTheme="minorHAnsi" w:hAnsiTheme="minorHAnsi" w:cstheme="minorBidi"/>
                <w:iCs/>
              </w:rPr>
            </w:pPr>
          </w:p>
          <w:p w14:paraId="4A5961C3" w14:textId="77777777" w:rsidR="00D10F8D" w:rsidRDefault="00D10F8D" w:rsidP="00D10F8D">
            <w:pPr>
              <w:spacing w:after="0" w:line="240" w:lineRule="auto"/>
              <w:rPr>
                <w:rFonts w:asciiTheme="minorHAnsi" w:eastAsiaTheme="minorHAnsi" w:hAnsiTheme="minorHAnsi" w:cstheme="minorBidi"/>
                <w:iCs/>
              </w:rPr>
            </w:pPr>
            <w:r w:rsidRPr="00B53310">
              <w:rPr>
                <w:rFonts w:asciiTheme="minorHAnsi" w:eastAsiaTheme="minorHAnsi" w:hAnsiTheme="minorHAnsi" w:cstheme="minorBidi"/>
                <w:iCs/>
              </w:rPr>
              <w:t>Note: The forecast used for future originations is produced every 2 months, while the forecast used to measure residual risk on the current portfolio (Mark to Market) is produced every month.</w:t>
            </w:r>
          </w:p>
          <w:p w14:paraId="620844D0" w14:textId="77777777" w:rsidR="00D10F8D" w:rsidRDefault="00D10F8D" w:rsidP="00D10F8D">
            <w:pPr>
              <w:spacing w:after="0" w:line="240" w:lineRule="auto"/>
              <w:rPr>
                <w:rFonts w:asciiTheme="minorHAnsi" w:eastAsiaTheme="minorHAnsi" w:hAnsiTheme="minorHAnsi" w:cstheme="minorBidi"/>
                <w:iCs/>
              </w:rPr>
            </w:pPr>
          </w:p>
          <w:p w14:paraId="7244CAA2" w14:textId="77777777" w:rsidR="00D10F8D" w:rsidRPr="00951159" w:rsidRDefault="00D10F8D" w:rsidP="00D10F8D">
            <w:pPr>
              <w:spacing w:after="0" w:line="240" w:lineRule="auto"/>
              <w:rPr>
                <w:rFonts w:asciiTheme="minorHAnsi" w:eastAsiaTheme="minorHAnsi" w:hAnsiTheme="minorHAnsi" w:cstheme="minorBidi"/>
                <w:iCs/>
              </w:rPr>
            </w:pPr>
          </w:p>
        </w:tc>
      </w:tr>
      <w:tr w:rsidR="00D10F8D" w:rsidRPr="001903BB" w14:paraId="560559D7" w14:textId="77777777" w:rsidTr="00B3414B">
        <w:trPr>
          <w:trHeight w:val="525"/>
        </w:trPr>
        <w:tc>
          <w:tcPr>
            <w:tcW w:w="1728" w:type="dxa"/>
            <w:shd w:val="clear" w:color="auto" w:fill="auto"/>
          </w:tcPr>
          <w:p w14:paraId="34C74C99" w14:textId="77777777" w:rsidR="00D10F8D" w:rsidRPr="00206D41" w:rsidRDefault="00D10F8D" w:rsidP="00D10F8D">
            <w:pPr>
              <w:rPr>
                <w:b/>
                <w:bCs/>
                <w:iCs/>
              </w:rPr>
            </w:pPr>
            <w:r w:rsidRPr="00206D41">
              <w:rPr>
                <w:b/>
                <w:bCs/>
                <w:iCs/>
              </w:rPr>
              <w:t>SOURCE OF INFORMATION</w:t>
            </w:r>
          </w:p>
        </w:tc>
        <w:tc>
          <w:tcPr>
            <w:tcW w:w="7470" w:type="dxa"/>
            <w:shd w:val="clear" w:color="auto" w:fill="auto"/>
          </w:tcPr>
          <w:p w14:paraId="4B4E674F" w14:textId="7B97BEA3" w:rsidR="00215BFE" w:rsidRPr="00215BFE" w:rsidRDefault="00215BFE" w:rsidP="00215BFE">
            <w:pPr>
              <w:pStyle w:val="CommentText"/>
              <w:rPr>
                <w:sz w:val="22"/>
                <w:szCs w:val="22"/>
              </w:rPr>
            </w:pPr>
            <w:r w:rsidRPr="00215BFE">
              <w:rPr>
                <w:sz w:val="22"/>
                <w:szCs w:val="22"/>
              </w:rPr>
              <w:t>The data is produced by the Residual Forecasting Model.  The model output is then uploaded into the SC data warehouse.  The Credit Risk MIS team then pulls the metric data from the data warehouse.</w:t>
            </w:r>
          </w:p>
          <w:p w14:paraId="0DE99BA9" w14:textId="77777777" w:rsidR="00D10F8D" w:rsidRPr="00C05360" w:rsidRDefault="00D10F8D" w:rsidP="00D10F8D">
            <w:pPr>
              <w:spacing w:after="0" w:line="240" w:lineRule="auto"/>
              <w:rPr>
                <w:bCs/>
                <w:iCs/>
                <w:highlight w:val="yellow"/>
                <w:lang w:val="it-IT"/>
              </w:rPr>
            </w:pPr>
          </w:p>
        </w:tc>
      </w:tr>
    </w:tbl>
    <w:p w14:paraId="18F7BBB4" w14:textId="77777777" w:rsidR="00C05B09" w:rsidRPr="005F51C4" w:rsidRDefault="00A43D45" w:rsidP="00FC2445">
      <w:pPr>
        <w:pStyle w:val="SANUS1"/>
        <w:numPr>
          <w:ilvl w:val="0"/>
          <w:numId w:val="1"/>
        </w:numPr>
      </w:pPr>
      <w:bookmarkStart w:id="483" w:name="_Toc428197966"/>
      <w:bookmarkStart w:id="484" w:name="_Toc428198130"/>
      <w:bookmarkStart w:id="485" w:name="_Toc428199089"/>
      <w:bookmarkStart w:id="486" w:name="_Toc428201727"/>
      <w:bookmarkStart w:id="487" w:name="_Toc428364477"/>
      <w:bookmarkStart w:id="488" w:name="_Toc428364641"/>
      <w:bookmarkStart w:id="489" w:name="_Toc428365008"/>
      <w:bookmarkStart w:id="490" w:name="_Toc428366269"/>
      <w:bookmarkStart w:id="491" w:name="_Toc428368375"/>
      <w:bookmarkStart w:id="492" w:name="_Toc428370377"/>
      <w:bookmarkStart w:id="493" w:name="_Toc428370544"/>
      <w:bookmarkStart w:id="494" w:name="_Toc428433816"/>
      <w:bookmarkStart w:id="495" w:name="_Toc428433985"/>
      <w:bookmarkStart w:id="496" w:name="_Toc428434699"/>
      <w:bookmarkStart w:id="497" w:name="_Toc428435589"/>
      <w:bookmarkStart w:id="498" w:name="_Toc428436676"/>
      <w:bookmarkStart w:id="499" w:name="_Toc428436847"/>
      <w:bookmarkStart w:id="500" w:name="_Toc428197967"/>
      <w:bookmarkStart w:id="501" w:name="_Toc428198131"/>
      <w:bookmarkStart w:id="502" w:name="_Toc428199090"/>
      <w:bookmarkStart w:id="503" w:name="_Toc428201728"/>
      <w:bookmarkStart w:id="504" w:name="_Toc428364478"/>
      <w:bookmarkStart w:id="505" w:name="_Toc428364642"/>
      <w:bookmarkStart w:id="506" w:name="_Toc428365009"/>
      <w:bookmarkStart w:id="507" w:name="_Toc428366270"/>
      <w:bookmarkStart w:id="508" w:name="_Toc428368376"/>
      <w:bookmarkStart w:id="509" w:name="_Toc428370378"/>
      <w:bookmarkStart w:id="510" w:name="_Toc428370545"/>
      <w:bookmarkStart w:id="511" w:name="_Toc428433817"/>
      <w:bookmarkStart w:id="512" w:name="_Toc428433986"/>
      <w:bookmarkStart w:id="513" w:name="_Toc428434700"/>
      <w:bookmarkStart w:id="514" w:name="_Toc428435590"/>
      <w:bookmarkStart w:id="515" w:name="_Toc428436677"/>
      <w:bookmarkStart w:id="516" w:name="_Toc428436848"/>
      <w:bookmarkStart w:id="517" w:name="_Toc428197968"/>
      <w:bookmarkStart w:id="518" w:name="_Toc428198132"/>
      <w:bookmarkStart w:id="519" w:name="_Toc428199091"/>
      <w:bookmarkStart w:id="520" w:name="_Toc428201729"/>
      <w:bookmarkStart w:id="521" w:name="_Toc428364479"/>
      <w:bookmarkStart w:id="522" w:name="_Toc428364643"/>
      <w:bookmarkStart w:id="523" w:name="_Toc428365010"/>
      <w:bookmarkStart w:id="524" w:name="_Toc428366271"/>
      <w:bookmarkStart w:id="525" w:name="_Toc428368377"/>
      <w:bookmarkStart w:id="526" w:name="_Toc428370379"/>
      <w:bookmarkStart w:id="527" w:name="_Toc428370546"/>
      <w:bookmarkStart w:id="528" w:name="_Toc428433818"/>
      <w:bookmarkStart w:id="529" w:name="_Toc428433987"/>
      <w:bookmarkStart w:id="530" w:name="_Toc428434701"/>
      <w:bookmarkStart w:id="531" w:name="_Toc428435591"/>
      <w:bookmarkStart w:id="532" w:name="_Toc428436678"/>
      <w:bookmarkStart w:id="533" w:name="_Toc428436849"/>
      <w:bookmarkStart w:id="534" w:name="_Toc428197969"/>
      <w:bookmarkStart w:id="535" w:name="_Toc428198133"/>
      <w:bookmarkStart w:id="536" w:name="_Toc428199092"/>
      <w:bookmarkStart w:id="537" w:name="_Toc428201730"/>
      <w:bookmarkStart w:id="538" w:name="_Toc428364480"/>
      <w:bookmarkStart w:id="539" w:name="_Toc428364644"/>
      <w:bookmarkStart w:id="540" w:name="_Toc428365011"/>
      <w:bookmarkStart w:id="541" w:name="_Toc428366272"/>
      <w:bookmarkStart w:id="542" w:name="_Toc428368378"/>
      <w:bookmarkStart w:id="543" w:name="_Toc428370380"/>
      <w:bookmarkStart w:id="544" w:name="_Toc428370547"/>
      <w:bookmarkStart w:id="545" w:name="_Toc428433819"/>
      <w:bookmarkStart w:id="546" w:name="_Toc428433988"/>
      <w:bookmarkStart w:id="547" w:name="_Toc428434702"/>
      <w:bookmarkStart w:id="548" w:name="_Toc428435592"/>
      <w:bookmarkStart w:id="549" w:name="_Toc428436679"/>
      <w:bookmarkStart w:id="550" w:name="_Toc428436850"/>
      <w:bookmarkStart w:id="551" w:name="_Toc428197970"/>
      <w:bookmarkStart w:id="552" w:name="_Toc428198134"/>
      <w:bookmarkStart w:id="553" w:name="_Toc428199093"/>
      <w:bookmarkStart w:id="554" w:name="_Toc428201731"/>
      <w:bookmarkStart w:id="555" w:name="_Toc428364481"/>
      <w:bookmarkStart w:id="556" w:name="_Toc428364645"/>
      <w:bookmarkStart w:id="557" w:name="_Toc428365012"/>
      <w:bookmarkStart w:id="558" w:name="_Toc428366273"/>
      <w:bookmarkStart w:id="559" w:name="_Toc428368379"/>
      <w:bookmarkStart w:id="560" w:name="_Toc428370381"/>
      <w:bookmarkStart w:id="561" w:name="_Toc428370548"/>
      <w:bookmarkStart w:id="562" w:name="_Toc428433820"/>
      <w:bookmarkStart w:id="563" w:name="_Toc428433989"/>
      <w:bookmarkStart w:id="564" w:name="_Toc428434703"/>
      <w:bookmarkStart w:id="565" w:name="_Toc428435593"/>
      <w:bookmarkStart w:id="566" w:name="_Toc428436680"/>
      <w:bookmarkStart w:id="567" w:name="_Toc428436851"/>
      <w:bookmarkStart w:id="568" w:name="_Toc428197971"/>
      <w:bookmarkStart w:id="569" w:name="_Toc428198135"/>
      <w:bookmarkStart w:id="570" w:name="_Toc428199094"/>
      <w:bookmarkStart w:id="571" w:name="_Toc428201732"/>
      <w:bookmarkStart w:id="572" w:name="_Toc428364482"/>
      <w:bookmarkStart w:id="573" w:name="_Toc428364646"/>
      <w:bookmarkStart w:id="574" w:name="_Toc428365013"/>
      <w:bookmarkStart w:id="575" w:name="_Toc428366274"/>
      <w:bookmarkStart w:id="576" w:name="_Toc428368380"/>
      <w:bookmarkStart w:id="577" w:name="_Toc428370382"/>
      <w:bookmarkStart w:id="578" w:name="_Toc428370549"/>
      <w:bookmarkStart w:id="579" w:name="_Toc428433821"/>
      <w:bookmarkStart w:id="580" w:name="_Toc428433990"/>
      <w:bookmarkStart w:id="581" w:name="_Toc428434704"/>
      <w:bookmarkStart w:id="582" w:name="_Toc428435594"/>
      <w:bookmarkStart w:id="583" w:name="_Toc428436681"/>
      <w:bookmarkStart w:id="584" w:name="_Toc428436852"/>
      <w:bookmarkStart w:id="585" w:name="_Toc428197972"/>
      <w:bookmarkStart w:id="586" w:name="_Toc428198136"/>
      <w:bookmarkStart w:id="587" w:name="_Toc428199095"/>
      <w:bookmarkStart w:id="588" w:name="_Toc428201733"/>
      <w:bookmarkStart w:id="589" w:name="_Toc428364483"/>
      <w:bookmarkStart w:id="590" w:name="_Toc428364647"/>
      <w:bookmarkStart w:id="591" w:name="_Toc428365014"/>
      <w:bookmarkStart w:id="592" w:name="_Toc428366275"/>
      <w:bookmarkStart w:id="593" w:name="_Toc428368381"/>
      <w:bookmarkStart w:id="594" w:name="_Toc428370383"/>
      <w:bookmarkStart w:id="595" w:name="_Toc428370550"/>
      <w:bookmarkStart w:id="596" w:name="_Toc428433822"/>
      <w:bookmarkStart w:id="597" w:name="_Toc428433991"/>
      <w:bookmarkStart w:id="598" w:name="_Toc428434705"/>
      <w:bookmarkStart w:id="599" w:name="_Toc428435595"/>
      <w:bookmarkStart w:id="600" w:name="_Toc428436682"/>
      <w:bookmarkStart w:id="601" w:name="_Toc428436853"/>
      <w:bookmarkStart w:id="602" w:name="_Toc428197973"/>
      <w:bookmarkStart w:id="603" w:name="_Toc428198137"/>
      <w:bookmarkStart w:id="604" w:name="_Toc428199096"/>
      <w:bookmarkStart w:id="605" w:name="_Toc428201734"/>
      <w:bookmarkStart w:id="606" w:name="_Toc428364484"/>
      <w:bookmarkStart w:id="607" w:name="_Toc428364648"/>
      <w:bookmarkStart w:id="608" w:name="_Toc428365015"/>
      <w:bookmarkStart w:id="609" w:name="_Toc428366276"/>
      <w:bookmarkStart w:id="610" w:name="_Toc428368382"/>
      <w:bookmarkStart w:id="611" w:name="_Toc428370384"/>
      <w:bookmarkStart w:id="612" w:name="_Toc428370551"/>
      <w:bookmarkStart w:id="613" w:name="_Toc428433823"/>
      <w:bookmarkStart w:id="614" w:name="_Toc428433992"/>
      <w:bookmarkStart w:id="615" w:name="_Toc428434706"/>
      <w:bookmarkStart w:id="616" w:name="_Toc428435596"/>
      <w:bookmarkStart w:id="617" w:name="_Toc428436683"/>
      <w:bookmarkStart w:id="618" w:name="_Toc428436854"/>
      <w:bookmarkStart w:id="619" w:name="_Toc425163395"/>
      <w:bookmarkStart w:id="620" w:name="_Toc425163526"/>
      <w:bookmarkStart w:id="621" w:name="_Toc425163649"/>
      <w:bookmarkStart w:id="622" w:name="_Toc425163910"/>
      <w:bookmarkStart w:id="623" w:name="_Toc425164322"/>
      <w:bookmarkStart w:id="624" w:name="_Toc425164442"/>
      <w:bookmarkStart w:id="625" w:name="_Toc425169167"/>
      <w:bookmarkStart w:id="626" w:name="_Toc425172055"/>
      <w:bookmarkStart w:id="627" w:name="_Toc425172197"/>
      <w:bookmarkStart w:id="628" w:name="_Toc425172316"/>
      <w:bookmarkStart w:id="629" w:name="_Toc425172436"/>
      <w:bookmarkStart w:id="630" w:name="_Toc425172555"/>
      <w:bookmarkStart w:id="631" w:name="_Toc425172673"/>
      <w:bookmarkStart w:id="632" w:name="_Toc425172790"/>
      <w:bookmarkStart w:id="633" w:name="_Toc425172909"/>
      <w:bookmarkStart w:id="634" w:name="_Toc425173027"/>
      <w:bookmarkStart w:id="635" w:name="_Toc425173143"/>
      <w:bookmarkStart w:id="636" w:name="_Toc425173260"/>
      <w:bookmarkStart w:id="637" w:name="_Toc425173413"/>
      <w:bookmarkStart w:id="638" w:name="_Toc425173564"/>
      <w:bookmarkStart w:id="639" w:name="_Toc425173715"/>
      <w:bookmarkStart w:id="640" w:name="_Toc425173866"/>
      <w:bookmarkStart w:id="641" w:name="_Toc425174013"/>
      <w:bookmarkStart w:id="642" w:name="_Toc425174156"/>
      <w:bookmarkStart w:id="643" w:name="_Toc425174299"/>
      <w:bookmarkStart w:id="644" w:name="_Toc425174442"/>
      <w:bookmarkStart w:id="645" w:name="_Toc425174583"/>
      <w:bookmarkStart w:id="646" w:name="_Toc425163396"/>
      <w:bookmarkStart w:id="647" w:name="_Toc425163527"/>
      <w:bookmarkStart w:id="648" w:name="_Toc425163650"/>
      <w:bookmarkStart w:id="649" w:name="_Toc425163911"/>
      <w:bookmarkStart w:id="650" w:name="_Toc425164323"/>
      <w:bookmarkStart w:id="651" w:name="_Toc425164443"/>
      <w:bookmarkStart w:id="652" w:name="_Toc425169168"/>
      <w:bookmarkStart w:id="653" w:name="_Toc425172056"/>
      <w:bookmarkStart w:id="654" w:name="_Toc425172198"/>
      <w:bookmarkStart w:id="655" w:name="_Toc425172317"/>
      <w:bookmarkStart w:id="656" w:name="_Toc425172437"/>
      <w:bookmarkStart w:id="657" w:name="_Toc425172556"/>
      <w:bookmarkStart w:id="658" w:name="_Toc425172674"/>
      <w:bookmarkStart w:id="659" w:name="_Toc425172791"/>
      <w:bookmarkStart w:id="660" w:name="_Toc425172910"/>
      <w:bookmarkStart w:id="661" w:name="_Toc425173028"/>
      <w:bookmarkStart w:id="662" w:name="_Toc425173144"/>
      <w:bookmarkStart w:id="663" w:name="_Toc425173261"/>
      <w:bookmarkStart w:id="664" w:name="_Toc425173414"/>
      <w:bookmarkStart w:id="665" w:name="_Toc425173565"/>
      <w:bookmarkStart w:id="666" w:name="_Toc425173716"/>
      <w:bookmarkStart w:id="667" w:name="_Toc425173867"/>
      <w:bookmarkStart w:id="668" w:name="_Toc425174014"/>
      <w:bookmarkStart w:id="669" w:name="_Toc425174157"/>
      <w:bookmarkStart w:id="670" w:name="_Toc425174300"/>
      <w:bookmarkStart w:id="671" w:name="_Toc425174443"/>
      <w:bookmarkStart w:id="672" w:name="_Toc425174584"/>
      <w:bookmarkStart w:id="673" w:name="_Toc425163397"/>
      <w:bookmarkStart w:id="674" w:name="_Toc425163528"/>
      <w:bookmarkStart w:id="675" w:name="_Toc425163651"/>
      <w:bookmarkStart w:id="676" w:name="_Toc425163912"/>
      <w:bookmarkStart w:id="677" w:name="_Toc425164324"/>
      <w:bookmarkStart w:id="678" w:name="_Toc425164444"/>
      <w:bookmarkStart w:id="679" w:name="_Toc425169169"/>
      <w:bookmarkStart w:id="680" w:name="_Toc425172057"/>
      <w:bookmarkStart w:id="681" w:name="_Toc425172199"/>
      <w:bookmarkStart w:id="682" w:name="_Toc425172318"/>
      <w:bookmarkStart w:id="683" w:name="_Toc425172438"/>
      <w:bookmarkStart w:id="684" w:name="_Toc425172557"/>
      <w:bookmarkStart w:id="685" w:name="_Toc425172675"/>
      <w:bookmarkStart w:id="686" w:name="_Toc425172792"/>
      <w:bookmarkStart w:id="687" w:name="_Toc425172911"/>
      <w:bookmarkStart w:id="688" w:name="_Toc425173029"/>
      <w:bookmarkStart w:id="689" w:name="_Toc425173145"/>
      <w:bookmarkStart w:id="690" w:name="_Toc425173262"/>
      <w:bookmarkStart w:id="691" w:name="_Toc425173415"/>
      <w:bookmarkStart w:id="692" w:name="_Toc425173566"/>
      <w:bookmarkStart w:id="693" w:name="_Toc425173717"/>
      <w:bookmarkStart w:id="694" w:name="_Toc425173868"/>
      <w:bookmarkStart w:id="695" w:name="_Toc425174015"/>
      <w:bookmarkStart w:id="696" w:name="_Toc425174158"/>
      <w:bookmarkStart w:id="697" w:name="_Toc425174301"/>
      <w:bookmarkStart w:id="698" w:name="_Toc425174444"/>
      <w:bookmarkStart w:id="699" w:name="_Toc425174585"/>
      <w:bookmarkStart w:id="700" w:name="_Toc425163398"/>
      <w:bookmarkStart w:id="701" w:name="_Toc425163529"/>
      <w:bookmarkStart w:id="702" w:name="_Toc425163652"/>
      <w:bookmarkStart w:id="703" w:name="_Toc425163913"/>
      <w:bookmarkStart w:id="704" w:name="_Toc425164325"/>
      <w:bookmarkStart w:id="705" w:name="_Toc425164445"/>
      <w:bookmarkStart w:id="706" w:name="_Toc425169170"/>
      <w:bookmarkStart w:id="707" w:name="_Toc425172058"/>
      <w:bookmarkStart w:id="708" w:name="_Toc425172200"/>
      <w:bookmarkStart w:id="709" w:name="_Toc425172319"/>
      <w:bookmarkStart w:id="710" w:name="_Toc425172439"/>
      <w:bookmarkStart w:id="711" w:name="_Toc425172558"/>
      <w:bookmarkStart w:id="712" w:name="_Toc425172676"/>
      <w:bookmarkStart w:id="713" w:name="_Toc425172793"/>
      <w:bookmarkStart w:id="714" w:name="_Toc425172912"/>
      <w:bookmarkStart w:id="715" w:name="_Toc425173030"/>
      <w:bookmarkStart w:id="716" w:name="_Toc425173146"/>
      <w:bookmarkStart w:id="717" w:name="_Toc425173263"/>
      <w:bookmarkStart w:id="718" w:name="_Toc425173416"/>
      <w:bookmarkStart w:id="719" w:name="_Toc425173567"/>
      <w:bookmarkStart w:id="720" w:name="_Toc425173718"/>
      <w:bookmarkStart w:id="721" w:name="_Toc425173869"/>
      <w:bookmarkStart w:id="722" w:name="_Toc425174016"/>
      <w:bookmarkStart w:id="723" w:name="_Toc425174159"/>
      <w:bookmarkStart w:id="724" w:name="_Toc425174302"/>
      <w:bookmarkStart w:id="725" w:name="_Toc425174445"/>
      <w:bookmarkStart w:id="726" w:name="_Toc425174586"/>
      <w:bookmarkStart w:id="727" w:name="_Toc425163399"/>
      <w:bookmarkStart w:id="728" w:name="_Toc425163530"/>
      <w:bookmarkStart w:id="729" w:name="_Toc425163653"/>
      <w:bookmarkStart w:id="730" w:name="_Toc425163914"/>
      <w:bookmarkStart w:id="731" w:name="_Toc425164326"/>
      <w:bookmarkStart w:id="732" w:name="_Toc425164446"/>
      <w:bookmarkStart w:id="733" w:name="_Toc425169171"/>
      <w:bookmarkStart w:id="734" w:name="_Toc425172059"/>
      <w:bookmarkStart w:id="735" w:name="_Toc425172201"/>
      <w:bookmarkStart w:id="736" w:name="_Toc425172320"/>
      <w:bookmarkStart w:id="737" w:name="_Toc425172440"/>
      <w:bookmarkStart w:id="738" w:name="_Toc425172559"/>
      <w:bookmarkStart w:id="739" w:name="_Toc425172677"/>
      <w:bookmarkStart w:id="740" w:name="_Toc425172794"/>
      <w:bookmarkStart w:id="741" w:name="_Toc425172913"/>
      <w:bookmarkStart w:id="742" w:name="_Toc425173031"/>
      <w:bookmarkStart w:id="743" w:name="_Toc425173147"/>
      <w:bookmarkStart w:id="744" w:name="_Toc425173264"/>
      <w:bookmarkStart w:id="745" w:name="_Toc425173417"/>
      <w:bookmarkStart w:id="746" w:name="_Toc425173568"/>
      <w:bookmarkStart w:id="747" w:name="_Toc425173719"/>
      <w:bookmarkStart w:id="748" w:name="_Toc425173870"/>
      <w:bookmarkStart w:id="749" w:name="_Toc425174017"/>
      <w:bookmarkStart w:id="750" w:name="_Toc425174160"/>
      <w:bookmarkStart w:id="751" w:name="_Toc425174303"/>
      <w:bookmarkStart w:id="752" w:name="_Toc425174446"/>
      <w:bookmarkStart w:id="753" w:name="_Toc425174587"/>
      <w:bookmarkStart w:id="754" w:name="_Toc425163400"/>
      <w:bookmarkStart w:id="755" w:name="_Toc425163531"/>
      <w:bookmarkStart w:id="756" w:name="_Toc425163654"/>
      <w:bookmarkStart w:id="757" w:name="_Toc425163915"/>
      <w:bookmarkStart w:id="758" w:name="_Toc425164327"/>
      <w:bookmarkStart w:id="759" w:name="_Toc425164447"/>
      <w:bookmarkStart w:id="760" w:name="_Toc425169172"/>
      <w:bookmarkStart w:id="761" w:name="_Toc425172060"/>
      <w:bookmarkStart w:id="762" w:name="_Toc425172202"/>
      <w:bookmarkStart w:id="763" w:name="_Toc425172321"/>
      <w:bookmarkStart w:id="764" w:name="_Toc425172441"/>
      <w:bookmarkStart w:id="765" w:name="_Toc425172560"/>
      <w:bookmarkStart w:id="766" w:name="_Toc425172678"/>
      <w:bookmarkStart w:id="767" w:name="_Toc425172795"/>
      <w:bookmarkStart w:id="768" w:name="_Toc425172914"/>
      <w:bookmarkStart w:id="769" w:name="_Toc425173032"/>
      <w:bookmarkStart w:id="770" w:name="_Toc425173148"/>
      <w:bookmarkStart w:id="771" w:name="_Toc425173265"/>
      <w:bookmarkStart w:id="772" w:name="_Toc425173418"/>
      <w:bookmarkStart w:id="773" w:name="_Toc425173569"/>
      <w:bookmarkStart w:id="774" w:name="_Toc425173720"/>
      <w:bookmarkStart w:id="775" w:name="_Toc425173871"/>
      <w:bookmarkStart w:id="776" w:name="_Toc425174018"/>
      <w:bookmarkStart w:id="777" w:name="_Toc425174161"/>
      <w:bookmarkStart w:id="778" w:name="_Toc425174304"/>
      <w:bookmarkStart w:id="779" w:name="_Toc425174447"/>
      <w:bookmarkStart w:id="780" w:name="_Toc425174588"/>
      <w:bookmarkStart w:id="781" w:name="_Toc425163401"/>
      <w:bookmarkStart w:id="782" w:name="_Toc425163532"/>
      <w:bookmarkStart w:id="783" w:name="_Toc425163655"/>
      <w:bookmarkStart w:id="784" w:name="_Toc425163916"/>
      <w:bookmarkStart w:id="785" w:name="_Toc425164328"/>
      <w:bookmarkStart w:id="786" w:name="_Toc425164448"/>
      <w:bookmarkStart w:id="787" w:name="_Toc425169173"/>
      <w:bookmarkStart w:id="788" w:name="_Toc425172061"/>
      <w:bookmarkStart w:id="789" w:name="_Toc425172203"/>
      <w:bookmarkStart w:id="790" w:name="_Toc425172322"/>
      <w:bookmarkStart w:id="791" w:name="_Toc425172442"/>
      <w:bookmarkStart w:id="792" w:name="_Toc425172561"/>
      <w:bookmarkStart w:id="793" w:name="_Toc425172679"/>
      <w:bookmarkStart w:id="794" w:name="_Toc425172796"/>
      <w:bookmarkStart w:id="795" w:name="_Toc425172915"/>
      <w:bookmarkStart w:id="796" w:name="_Toc425173033"/>
      <w:bookmarkStart w:id="797" w:name="_Toc425173149"/>
      <w:bookmarkStart w:id="798" w:name="_Toc425173266"/>
      <w:bookmarkStart w:id="799" w:name="_Toc425173419"/>
      <w:bookmarkStart w:id="800" w:name="_Toc425173570"/>
      <w:bookmarkStart w:id="801" w:name="_Toc425173721"/>
      <w:bookmarkStart w:id="802" w:name="_Toc425173872"/>
      <w:bookmarkStart w:id="803" w:name="_Toc425174019"/>
      <w:bookmarkStart w:id="804" w:name="_Toc425174162"/>
      <w:bookmarkStart w:id="805" w:name="_Toc425174305"/>
      <w:bookmarkStart w:id="806" w:name="_Toc425174448"/>
      <w:bookmarkStart w:id="807" w:name="_Toc425174589"/>
      <w:bookmarkStart w:id="808" w:name="_Toc425163402"/>
      <w:bookmarkStart w:id="809" w:name="_Toc425163533"/>
      <w:bookmarkStart w:id="810" w:name="_Toc425163656"/>
      <w:bookmarkStart w:id="811" w:name="_Toc425163917"/>
      <w:bookmarkStart w:id="812" w:name="_Toc425164329"/>
      <w:bookmarkStart w:id="813" w:name="_Toc425164449"/>
      <w:bookmarkStart w:id="814" w:name="_Toc425169174"/>
      <w:bookmarkStart w:id="815" w:name="_Toc425172062"/>
      <w:bookmarkStart w:id="816" w:name="_Toc425172204"/>
      <w:bookmarkStart w:id="817" w:name="_Toc425172323"/>
      <w:bookmarkStart w:id="818" w:name="_Toc425172443"/>
      <w:bookmarkStart w:id="819" w:name="_Toc425172562"/>
      <w:bookmarkStart w:id="820" w:name="_Toc425172680"/>
      <w:bookmarkStart w:id="821" w:name="_Toc425172797"/>
      <w:bookmarkStart w:id="822" w:name="_Toc425172916"/>
      <w:bookmarkStart w:id="823" w:name="_Toc425173034"/>
      <w:bookmarkStart w:id="824" w:name="_Toc425173150"/>
      <w:bookmarkStart w:id="825" w:name="_Toc425173267"/>
      <w:bookmarkStart w:id="826" w:name="_Toc425173420"/>
      <w:bookmarkStart w:id="827" w:name="_Toc425173571"/>
      <w:bookmarkStart w:id="828" w:name="_Toc425173722"/>
      <w:bookmarkStart w:id="829" w:name="_Toc425173873"/>
      <w:bookmarkStart w:id="830" w:name="_Toc425174020"/>
      <w:bookmarkStart w:id="831" w:name="_Toc425174163"/>
      <w:bookmarkStart w:id="832" w:name="_Toc425174306"/>
      <w:bookmarkStart w:id="833" w:name="_Toc425174449"/>
      <w:bookmarkStart w:id="834" w:name="_Toc425174590"/>
      <w:bookmarkStart w:id="835" w:name="_Toc425163403"/>
      <w:bookmarkStart w:id="836" w:name="_Toc425163534"/>
      <w:bookmarkStart w:id="837" w:name="_Toc425163657"/>
      <w:bookmarkStart w:id="838" w:name="_Toc425163918"/>
      <w:bookmarkStart w:id="839" w:name="_Toc425164330"/>
      <w:bookmarkStart w:id="840" w:name="_Toc425164450"/>
      <w:bookmarkStart w:id="841" w:name="_Toc425169175"/>
      <w:bookmarkStart w:id="842" w:name="_Toc425172063"/>
      <w:bookmarkStart w:id="843" w:name="_Toc425172205"/>
      <w:bookmarkStart w:id="844" w:name="_Toc425172324"/>
      <w:bookmarkStart w:id="845" w:name="_Toc425172444"/>
      <w:bookmarkStart w:id="846" w:name="_Toc425172563"/>
      <w:bookmarkStart w:id="847" w:name="_Toc425172681"/>
      <w:bookmarkStart w:id="848" w:name="_Toc425172798"/>
      <w:bookmarkStart w:id="849" w:name="_Toc425172917"/>
      <w:bookmarkStart w:id="850" w:name="_Toc425173035"/>
      <w:bookmarkStart w:id="851" w:name="_Toc425173151"/>
      <w:bookmarkStart w:id="852" w:name="_Toc425173268"/>
      <w:bookmarkStart w:id="853" w:name="_Toc425173421"/>
      <w:bookmarkStart w:id="854" w:name="_Toc425173572"/>
      <w:bookmarkStart w:id="855" w:name="_Toc425173723"/>
      <w:bookmarkStart w:id="856" w:name="_Toc425173874"/>
      <w:bookmarkStart w:id="857" w:name="_Toc425174021"/>
      <w:bookmarkStart w:id="858" w:name="_Toc425174164"/>
      <w:bookmarkStart w:id="859" w:name="_Toc425174307"/>
      <w:bookmarkStart w:id="860" w:name="_Toc425174450"/>
      <w:bookmarkStart w:id="861" w:name="_Toc425174591"/>
      <w:bookmarkStart w:id="862" w:name="_Toc452544179"/>
      <w:bookmarkStart w:id="863" w:name="_Toc453849297"/>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r>
        <w:t>Liquidity / funding risk metrics</w:t>
      </w:r>
      <w:bookmarkEnd w:id="862"/>
      <w:bookmarkEnd w:id="863"/>
    </w:p>
    <w:p w14:paraId="72E8B94F" w14:textId="77777777" w:rsidR="00384347" w:rsidRPr="005A3957" w:rsidRDefault="005841D7" w:rsidP="00384347">
      <w:pPr>
        <w:pStyle w:val="SANUS2"/>
        <w:numPr>
          <w:ilvl w:val="1"/>
          <w:numId w:val="1"/>
        </w:numPr>
      </w:pPr>
      <w:bookmarkStart w:id="864" w:name="_Toc453849298"/>
      <w:r>
        <w:t>Stressed survival period</w:t>
      </w:r>
      <w:bookmarkEnd w:id="864"/>
    </w:p>
    <w:tbl>
      <w:tblPr>
        <w:tblpPr w:leftFromText="180" w:rightFromText="180" w:vertAnchor="text" w:tblpX="168" w:tblpY="1"/>
        <w:tblOverlap w:val="never"/>
        <w:tblW w:w="9198"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000" w:firstRow="0" w:lastRow="0" w:firstColumn="0" w:lastColumn="0" w:noHBand="0" w:noVBand="0"/>
      </w:tblPr>
      <w:tblGrid>
        <w:gridCol w:w="1728"/>
        <w:gridCol w:w="7470"/>
      </w:tblGrid>
      <w:tr w:rsidR="00384347" w:rsidRPr="00206D41" w14:paraId="69B7A1BE" w14:textId="77777777" w:rsidTr="00B3414B">
        <w:trPr>
          <w:cantSplit/>
          <w:trHeight w:val="462"/>
        </w:trPr>
        <w:tc>
          <w:tcPr>
            <w:tcW w:w="1728" w:type="dxa"/>
            <w:shd w:val="clear" w:color="auto" w:fill="auto"/>
          </w:tcPr>
          <w:p w14:paraId="651A127E" w14:textId="77777777" w:rsidR="00384347" w:rsidRPr="00206D41" w:rsidRDefault="009E25D9" w:rsidP="007E122B">
            <w:pPr>
              <w:rPr>
                <w:b/>
                <w:bCs/>
                <w:iCs/>
              </w:rPr>
            </w:pPr>
            <w:r>
              <w:rPr>
                <w:b/>
                <w:bCs/>
                <w:iCs/>
              </w:rPr>
              <w:t>DEFINITION</w:t>
            </w:r>
          </w:p>
        </w:tc>
        <w:tc>
          <w:tcPr>
            <w:tcW w:w="7470" w:type="dxa"/>
            <w:shd w:val="clear" w:color="auto" w:fill="auto"/>
          </w:tcPr>
          <w:p w14:paraId="1EBE7E7C" w14:textId="77777777" w:rsidR="003B5980" w:rsidRDefault="003B5980" w:rsidP="003B5980">
            <w:pPr>
              <w:spacing w:after="0" w:line="240" w:lineRule="auto"/>
              <w:rPr>
                <w:bCs/>
                <w:iCs/>
              </w:rPr>
            </w:pPr>
            <w:r>
              <w:rPr>
                <w:bCs/>
                <w:iCs/>
              </w:rPr>
              <w:t xml:space="preserve">The amount of days until SHUSA and its subsidiaries will have a cash shortfall under stressed conditions. </w:t>
            </w:r>
          </w:p>
          <w:p w14:paraId="0D07296D" w14:textId="77777777" w:rsidR="003B5980" w:rsidRDefault="003B5980" w:rsidP="003B5980">
            <w:pPr>
              <w:spacing w:after="0" w:line="240" w:lineRule="auto"/>
              <w:rPr>
                <w:bCs/>
                <w:iCs/>
              </w:rPr>
            </w:pPr>
          </w:p>
          <w:p w14:paraId="66CCEDEC" w14:textId="77777777" w:rsidR="003B5980" w:rsidRDefault="003B5980" w:rsidP="003B5980">
            <w:pPr>
              <w:spacing w:after="0" w:line="240" w:lineRule="auto"/>
              <w:rPr>
                <w:bCs/>
                <w:iCs/>
              </w:rPr>
            </w:pPr>
            <w:r>
              <w:rPr>
                <w:bCs/>
                <w:iCs/>
              </w:rPr>
              <w:t xml:space="preserve">The metric is stressed under four different scenarios: </w:t>
            </w:r>
          </w:p>
          <w:p w14:paraId="5ED060D5" w14:textId="77777777" w:rsidR="003B5980" w:rsidRDefault="003B5980" w:rsidP="003B5980">
            <w:pPr>
              <w:pStyle w:val="ListParagraph"/>
              <w:numPr>
                <w:ilvl w:val="0"/>
                <w:numId w:val="13"/>
              </w:numPr>
              <w:spacing w:after="0" w:line="240" w:lineRule="auto"/>
              <w:rPr>
                <w:bCs/>
                <w:iCs/>
              </w:rPr>
            </w:pPr>
            <w:r>
              <w:rPr>
                <w:bCs/>
                <w:iCs/>
              </w:rPr>
              <w:t>Market</w:t>
            </w:r>
            <w:r w:rsidRPr="004B1F65">
              <w:rPr>
                <w:bCs/>
                <w:iCs/>
              </w:rPr>
              <w:t xml:space="preserve">, </w:t>
            </w:r>
          </w:p>
          <w:p w14:paraId="7B1FAD02" w14:textId="77777777" w:rsidR="003B5980" w:rsidRDefault="003B5980" w:rsidP="003B5980">
            <w:pPr>
              <w:pStyle w:val="ListParagraph"/>
              <w:numPr>
                <w:ilvl w:val="0"/>
                <w:numId w:val="13"/>
              </w:numPr>
              <w:spacing w:after="0" w:line="240" w:lineRule="auto"/>
              <w:rPr>
                <w:bCs/>
                <w:iCs/>
              </w:rPr>
            </w:pPr>
            <w:r w:rsidRPr="004B1F65">
              <w:rPr>
                <w:bCs/>
                <w:iCs/>
              </w:rPr>
              <w:t xml:space="preserve">Idiosyncratic </w:t>
            </w:r>
          </w:p>
          <w:p w14:paraId="093D1992" w14:textId="77777777" w:rsidR="003B5980" w:rsidRDefault="003B5980" w:rsidP="003B5980">
            <w:pPr>
              <w:pStyle w:val="ListParagraph"/>
              <w:numPr>
                <w:ilvl w:val="0"/>
                <w:numId w:val="13"/>
              </w:numPr>
              <w:spacing w:after="0" w:line="240" w:lineRule="auto"/>
              <w:rPr>
                <w:bCs/>
                <w:iCs/>
              </w:rPr>
            </w:pPr>
            <w:r>
              <w:rPr>
                <w:bCs/>
                <w:iCs/>
              </w:rPr>
              <w:t>Combined, and</w:t>
            </w:r>
          </w:p>
          <w:p w14:paraId="0F95324E" w14:textId="71880B92" w:rsidR="009E25D9" w:rsidRPr="004B1F65" w:rsidRDefault="003B5980" w:rsidP="003B5980">
            <w:pPr>
              <w:pStyle w:val="ListParagraph"/>
              <w:numPr>
                <w:ilvl w:val="0"/>
                <w:numId w:val="13"/>
              </w:numPr>
              <w:spacing w:after="0" w:line="240" w:lineRule="auto"/>
              <w:rPr>
                <w:bCs/>
                <w:iCs/>
              </w:rPr>
            </w:pPr>
            <w:r w:rsidRPr="00EE32F1">
              <w:rPr>
                <w:bCs/>
                <w:iCs/>
              </w:rPr>
              <w:t>Less-than-Well-Capitalized</w:t>
            </w:r>
            <w:r>
              <w:rPr>
                <w:bCs/>
                <w:iCs/>
              </w:rPr>
              <w:t xml:space="preserve"> </w:t>
            </w:r>
          </w:p>
        </w:tc>
      </w:tr>
      <w:tr w:rsidR="00384347" w:rsidRPr="00206D41" w14:paraId="5D48D699" w14:textId="77777777" w:rsidTr="00B3414B">
        <w:trPr>
          <w:trHeight w:val="462"/>
        </w:trPr>
        <w:tc>
          <w:tcPr>
            <w:tcW w:w="1728" w:type="dxa"/>
            <w:shd w:val="clear" w:color="auto" w:fill="auto"/>
          </w:tcPr>
          <w:p w14:paraId="44C4D3D5" w14:textId="77777777" w:rsidR="00384347" w:rsidRPr="00206D41" w:rsidRDefault="005A3957" w:rsidP="007E122B">
            <w:pPr>
              <w:rPr>
                <w:b/>
                <w:bCs/>
                <w:iCs/>
              </w:rPr>
            </w:pPr>
            <w:r>
              <w:rPr>
                <w:b/>
                <w:bCs/>
                <w:iCs/>
              </w:rPr>
              <w:t>RISK TYPE</w:t>
            </w:r>
          </w:p>
        </w:tc>
        <w:tc>
          <w:tcPr>
            <w:tcW w:w="7470" w:type="dxa"/>
            <w:shd w:val="clear" w:color="auto" w:fill="auto"/>
          </w:tcPr>
          <w:p w14:paraId="4DFF7C1A" w14:textId="77777777" w:rsidR="00384347" w:rsidRPr="00206D41" w:rsidRDefault="0094418D" w:rsidP="007E122B">
            <w:pPr>
              <w:spacing w:after="0" w:line="240" w:lineRule="auto"/>
              <w:rPr>
                <w:bCs/>
                <w:iCs/>
              </w:rPr>
            </w:pPr>
            <w:r>
              <w:rPr>
                <w:bCs/>
                <w:iCs/>
              </w:rPr>
              <w:t>Liquidity / Funding Risk</w:t>
            </w:r>
          </w:p>
        </w:tc>
      </w:tr>
      <w:tr w:rsidR="00E04287" w:rsidRPr="00206D41" w14:paraId="72988AA4" w14:textId="77777777" w:rsidTr="00B3414B">
        <w:trPr>
          <w:trHeight w:val="462"/>
        </w:trPr>
        <w:tc>
          <w:tcPr>
            <w:tcW w:w="1728" w:type="dxa"/>
            <w:shd w:val="clear" w:color="auto" w:fill="auto"/>
          </w:tcPr>
          <w:p w14:paraId="4E5D8DAA" w14:textId="77777777" w:rsidR="00E04287" w:rsidRDefault="00E04287" w:rsidP="007E122B">
            <w:pPr>
              <w:rPr>
                <w:b/>
                <w:bCs/>
                <w:iCs/>
              </w:rPr>
            </w:pPr>
            <w:r>
              <w:rPr>
                <w:b/>
                <w:bCs/>
                <w:iCs/>
              </w:rPr>
              <w:t>RATIONALE</w:t>
            </w:r>
          </w:p>
        </w:tc>
        <w:tc>
          <w:tcPr>
            <w:tcW w:w="7470" w:type="dxa"/>
            <w:shd w:val="clear" w:color="auto" w:fill="auto"/>
          </w:tcPr>
          <w:p w14:paraId="761083AD" w14:textId="77777777" w:rsidR="00E04287" w:rsidRDefault="00213EBA" w:rsidP="008E208E">
            <w:pPr>
              <w:spacing w:after="0" w:line="240" w:lineRule="auto"/>
              <w:rPr>
                <w:bCs/>
                <w:iCs/>
              </w:rPr>
            </w:pPr>
            <w:r>
              <w:rPr>
                <w:bCs/>
                <w:iCs/>
              </w:rPr>
              <w:t>D</w:t>
            </w:r>
            <w:r w:rsidRPr="00213EBA">
              <w:rPr>
                <w:bCs/>
                <w:iCs/>
              </w:rPr>
              <w:t>esigned to measure</w:t>
            </w:r>
            <w:r>
              <w:rPr>
                <w:bCs/>
                <w:iCs/>
              </w:rPr>
              <w:t xml:space="preserve"> longevity of</w:t>
            </w:r>
            <w:r w:rsidRPr="00213EBA">
              <w:rPr>
                <w:bCs/>
                <w:iCs/>
              </w:rPr>
              <w:t xml:space="preserve"> liquidity under short-term stress</w:t>
            </w:r>
          </w:p>
        </w:tc>
      </w:tr>
      <w:tr w:rsidR="005841D7" w:rsidRPr="00206D41" w14:paraId="3D8DD376" w14:textId="77777777" w:rsidTr="006B6E1C">
        <w:trPr>
          <w:trHeight w:val="270"/>
        </w:trPr>
        <w:tc>
          <w:tcPr>
            <w:tcW w:w="1728" w:type="dxa"/>
            <w:shd w:val="clear" w:color="auto" w:fill="auto"/>
          </w:tcPr>
          <w:p w14:paraId="610BAD16" w14:textId="77777777" w:rsidR="005841D7" w:rsidRPr="00206D41" w:rsidRDefault="005841D7" w:rsidP="007E122B">
            <w:pPr>
              <w:rPr>
                <w:b/>
                <w:bCs/>
                <w:iCs/>
              </w:rPr>
            </w:pPr>
            <w:r>
              <w:rPr>
                <w:b/>
                <w:bCs/>
                <w:iCs/>
              </w:rPr>
              <w:t>ENTITY</w:t>
            </w:r>
          </w:p>
        </w:tc>
        <w:tc>
          <w:tcPr>
            <w:tcW w:w="7470" w:type="dxa"/>
            <w:shd w:val="clear" w:color="auto" w:fill="auto"/>
          </w:tcPr>
          <w:p w14:paraId="17FC1A68" w14:textId="77777777" w:rsidR="005841D7" w:rsidRPr="005A3957" w:rsidRDefault="005841D7" w:rsidP="006D4A1A">
            <w:pPr>
              <w:spacing w:after="0" w:line="240" w:lineRule="auto"/>
              <w:rPr>
                <w:b/>
                <w:bCs/>
                <w:iCs/>
              </w:rPr>
            </w:pPr>
            <w:r w:rsidRPr="005A3957">
              <w:rPr>
                <w:b/>
                <w:bCs/>
                <w:iCs/>
              </w:rPr>
              <w:t>SHUSA</w:t>
            </w:r>
          </w:p>
        </w:tc>
      </w:tr>
      <w:tr w:rsidR="005841D7" w:rsidRPr="00206D41" w14:paraId="718ECD9E" w14:textId="77777777" w:rsidTr="006B6E1C">
        <w:trPr>
          <w:trHeight w:val="270"/>
        </w:trPr>
        <w:tc>
          <w:tcPr>
            <w:tcW w:w="1728" w:type="dxa"/>
            <w:shd w:val="clear" w:color="auto" w:fill="auto"/>
          </w:tcPr>
          <w:p w14:paraId="7D9179D6" w14:textId="42CC3F2A" w:rsidR="005841D7" w:rsidRPr="00206D41" w:rsidRDefault="00511F11" w:rsidP="00E04287">
            <w:pPr>
              <w:rPr>
                <w:b/>
                <w:bCs/>
                <w:iCs/>
              </w:rPr>
            </w:pPr>
            <w:r>
              <w:rPr>
                <w:rFonts w:asciiTheme="minorHAnsi" w:hAnsiTheme="minorHAnsi"/>
                <w:b/>
                <w:bCs/>
                <w:iCs/>
              </w:rPr>
              <w:t>METRIC PROVIDER</w:t>
            </w:r>
          </w:p>
        </w:tc>
        <w:tc>
          <w:tcPr>
            <w:tcW w:w="7470" w:type="dxa"/>
            <w:shd w:val="clear" w:color="auto" w:fill="auto"/>
          </w:tcPr>
          <w:p w14:paraId="50FC13C2" w14:textId="2533D908" w:rsidR="005841D7" w:rsidRPr="005A3957" w:rsidRDefault="005841D7" w:rsidP="00E04287">
            <w:pPr>
              <w:spacing w:after="0" w:line="240" w:lineRule="auto"/>
              <w:rPr>
                <w:b/>
                <w:bCs/>
                <w:iCs/>
              </w:rPr>
            </w:pPr>
            <w:r w:rsidRPr="005A3957">
              <w:rPr>
                <w:b/>
                <w:bCs/>
                <w:iCs/>
              </w:rPr>
              <w:t>SHUSA</w:t>
            </w:r>
            <w:r w:rsidR="00215BFE">
              <w:rPr>
                <w:b/>
                <w:bCs/>
                <w:iCs/>
              </w:rPr>
              <w:t xml:space="preserve"> Market and Liquidity Risk </w:t>
            </w:r>
          </w:p>
        </w:tc>
      </w:tr>
      <w:tr w:rsidR="00E04287" w:rsidRPr="00206D41" w14:paraId="2E1B521D" w14:textId="77777777" w:rsidTr="00B3414B">
        <w:trPr>
          <w:trHeight w:val="835"/>
        </w:trPr>
        <w:tc>
          <w:tcPr>
            <w:tcW w:w="1728" w:type="dxa"/>
            <w:shd w:val="clear" w:color="auto" w:fill="auto"/>
          </w:tcPr>
          <w:p w14:paraId="5C614EB6" w14:textId="77777777" w:rsidR="00E04287" w:rsidRPr="00206D41" w:rsidRDefault="00E04287" w:rsidP="00E04287">
            <w:pPr>
              <w:ind w:left="-60"/>
              <w:rPr>
                <w:b/>
                <w:bCs/>
                <w:iCs/>
              </w:rPr>
            </w:pPr>
            <w:r>
              <w:rPr>
                <w:b/>
                <w:bCs/>
                <w:iCs/>
              </w:rPr>
              <w:t>TRIGGER AND LIMIT SETTING</w:t>
            </w:r>
          </w:p>
        </w:tc>
        <w:tc>
          <w:tcPr>
            <w:tcW w:w="7470" w:type="dxa"/>
            <w:shd w:val="clear" w:color="auto" w:fill="auto"/>
          </w:tcPr>
          <w:p w14:paraId="0331F1F1" w14:textId="65F1886C" w:rsidR="00E04287" w:rsidRPr="00254F91" w:rsidRDefault="00AC755C" w:rsidP="00AC755C">
            <w:pPr>
              <w:spacing w:after="0" w:line="240" w:lineRule="auto"/>
              <w:rPr>
                <w:rFonts w:asciiTheme="minorHAnsi" w:eastAsiaTheme="minorHAnsi" w:hAnsiTheme="minorHAnsi" w:cstheme="minorBidi"/>
                <w:iCs/>
              </w:rPr>
            </w:pPr>
            <w:r>
              <w:rPr>
                <w:rFonts w:asciiTheme="minorHAnsi" w:eastAsiaTheme="minorHAnsi" w:hAnsiTheme="minorHAnsi" w:cstheme="minorBidi"/>
                <w:iCs/>
              </w:rPr>
              <w:t>The amber trigger (75 days) and red limit (45 days) are set because they represent a more conservative timeframe than the regulatory definition of 30 days.</w:t>
            </w:r>
          </w:p>
        </w:tc>
      </w:tr>
      <w:tr w:rsidR="00E04287" w:rsidRPr="00206D41" w14:paraId="68FD31CB" w14:textId="77777777" w:rsidTr="00B3414B">
        <w:trPr>
          <w:trHeight w:val="510"/>
        </w:trPr>
        <w:tc>
          <w:tcPr>
            <w:tcW w:w="1728" w:type="dxa"/>
            <w:shd w:val="clear" w:color="auto" w:fill="auto"/>
          </w:tcPr>
          <w:p w14:paraId="6929F8C7" w14:textId="77777777" w:rsidR="00E04287" w:rsidRPr="00206D41" w:rsidRDefault="00E04287" w:rsidP="00E04287">
            <w:pPr>
              <w:ind w:left="-60"/>
              <w:rPr>
                <w:b/>
                <w:bCs/>
                <w:iCs/>
              </w:rPr>
            </w:pPr>
            <w:r>
              <w:rPr>
                <w:b/>
                <w:bCs/>
                <w:iCs/>
              </w:rPr>
              <w:t xml:space="preserve">TESTING </w:t>
            </w:r>
            <w:r w:rsidRPr="00206D41">
              <w:rPr>
                <w:b/>
                <w:bCs/>
                <w:iCs/>
              </w:rPr>
              <w:t>FREQUENCY</w:t>
            </w:r>
          </w:p>
        </w:tc>
        <w:tc>
          <w:tcPr>
            <w:tcW w:w="7470" w:type="dxa"/>
            <w:shd w:val="clear" w:color="auto" w:fill="auto"/>
          </w:tcPr>
          <w:p w14:paraId="0A39DDC3" w14:textId="77777777" w:rsidR="00E04287" w:rsidRPr="00340596" w:rsidRDefault="00E04287" w:rsidP="00E04287">
            <w:pPr>
              <w:rPr>
                <w:rFonts w:asciiTheme="minorHAnsi" w:eastAsiaTheme="minorHAnsi" w:hAnsiTheme="minorHAnsi" w:cstheme="minorBidi"/>
                <w:iCs/>
              </w:rPr>
            </w:pPr>
            <w:r w:rsidRPr="00206D41">
              <w:rPr>
                <w:rFonts w:asciiTheme="minorHAnsi" w:eastAsiaTheme="minorHAnsi" w:hAnsiTheme="minorHAnsi" w:cstheme="minorBidi"/>
                <w:iCs/>
              </w:rPr>
              <w:t>Monthly</w:t>
            </w:r>
          </w:p>
        </w:tc>
      </w:tr>
      <w:tr w:rsidR="00E04287" w:rsidRPr="00206D41" w14:paraId="06358465" w14:textId="77777777" w:rsidTr="00B3414B">
        <w:trPr>
          <w:trHeight w:val="570"/>
        </w:trPr>
        <w:tc>
          <w:tcPr>
            <w:tcW w:w="1728" w:type="dxa"/>
            <w:shd w:val="clear" w:color="auto" w:fill="auto"/>
          </w:tcPr>
          <w:p w14:paraId="546C1C2D" w14:textId="77777777" w:rsidR="00E04287" w:rsidRPr="00206D41" w:rsidRDefault="00E04287" w:rsidP="00E04287">
            <w:pPr>
              <w:rPr>
                <w:b/>
                <w:bCs/>
                <w:iCs/>
              </w:rPr>
            </w:pPr>
            <w:r w:rsidRPr="00206D41">
              <w:rPr>
                <w:b/>
                <w:bCs/>
                <w:iCs/>
              </w:rPr>
              <w:t>SOURCE OF INFORMATION</w:t>
            </w:r>
          </w:p>
        </w:tc>
        <w:tc>
          <w:tcPr>
            <w:tcW w:w="7470" w:type="dxa"/>
            <w:shd w:val="clear" w:color="auto" w:fill="auto"/>
          </w:tcPr>
          <w:p w14:paraId="5281C59C" w14:textId="77777777" w:rsidR="00E04287" w:rsidRDefault="00E04287" w:rsidP="00E04287">
            <w:pPr>
              <w:spacing w:after="0" w:line="240" w:lineRule="auto"/>
              <w:rPr>
                <w:rFonts w:asciiTheme="minorHAnsi" w:eastAsiaTheme="minorHAnsi" w:hAnsiTheme="minorHAnsi" w:cstheme="minorBidi"/>
                <w:iCs/>
              </w:rPr>
            </w:pPr>
            <w:r>
              <w:rPr>
                <w:rFonts w:asciiTheme="minorHAnsi" w:eastAsiaTheme="minorHAnsi" w:hAnsiTheme="minorHAnsi" w:cstheme="minorBidi"/>
                <w:iCs/>
              </w:rPr>
              <w:t xml:space="preserve">Data comes from </w:t>
            </w:r>
            <w:r w:rsidRPr="004118AC">
              <w:rPr>
                <w:rFonts w:asciiTheme="minorHAnsi" w:eastAsiaTheme="minorHAnsi" w:hAnsiTheme="minorHAnsi" w:cstheme="minorBidi"/>
                <w:iCs/>
              </w:rPr>
              <w:t>Treasury. File name: “Management LST Results 2015 October”</w:t>
            </w:r>
          </w:p>
          <w:p w14:paraId="5786D4A7" w14:textId="77777777" w:rsidR="00E04287" w:rsidRDefault="00E04287" w:rsidP="00E04287">
            <w:pPr>
              <w:spacing w:after="0" w:line="240" w:lineRule="auto"/>
              <w:rPr>
                <w:rFonts w:asciiTheme="minorHAnsi" w:eastAsiaTheme="minorHAnsi" w:hAnsiTheme="minorHAnsi" w:cstheme="minorBidi"/>
                <w:iCs/>
              </w:rPr>
            </w:pPr>
          </w:p>
          <w:p w14:paraId="6A98E27B" w14:textId="77777777" w:rsidR="00E04287" w:rsidRPr="00206D41" w:rsidRDefault="00E04287" w:rsidP="00E04287">
            <w:pPr>
              <w:spacing w:after="0" w:line="240" w:lineRule="auto"/>
              <w:rPr>
                <w:bCs/>
                <w:iCs/>
              </w:rPr>
            </w:pPr>
            <w:r>
              <w:rPr>
                <w:rFonts w:asciiTheme="minorHAnsi" w:eastAsiaTheme="minorHAnsi" w:hAnsiTheme="minorHAnsi" w:cstheme="minorBidi"/>
                <w:iCs/>
              </w:rPr>
              <w:t>Note: Golden Sources for calculation of the metric are changing in Q1’16. A more detailed description of the source information and calculation will be provided in due course.</w:t>
            </w:r>
          </w:p>
        </w:tc>
      </w:tr>
    </w:tbl>
    <w:p w14:paraId="4E24C5E5" w14:textId="77777777" w:rsidR="00B8692E" w:rsidRDefault="00B8692E" w:rsidP="00B52E32"/>
    <w:p w14:paraId="73C8CCA9" w14:textId="77777777" w:rsidR="00384347" w:rsidRPr="005A3957" w:rsidRDefault="00784F28" w:rsidP="00FD1AD4">
      <w:pPr>
        <w:pStyle w:val="SANUS2"/>
        <w:numPr>
          <w:ilvl w:val="1"/>
          <w:numId w:val="1"/>
        </w:numPr>
      </w:pPr>
      <w:bookmarkStart w:id="865" w:name="_Toc439165544"/>
      <w:bookmarkStart w:id="866" w:name="_Toc439165825"/>
      <w:bookmarkStart w:id="867" w:name="_Toc439841760"/>
      <w:bookmarkStart w:id="868" w:name="_Toc439165545"/>
      <w:bookmarkStart w:id="869" w:name="_Toc439165826"/>
      <w:bookmarkStart w:id="870" w:name="_Toc439841761"/>
      <w:bookmarkStart w:id="871" w:name="_Toc439165546"/>
      <w:bookmarkStart w:id="872" w:name="_Toc439165827"/>
      <w:bookmarkStart w:id="873" w:name="_Toc439841762"/>
      <w:bookmarkStart w:id="874" w:name="_Toc439165547"/>
      <w:bookmarkStart w:id="875" w:name="_Toc439165828"/>
      <w:bookmarkStart w:id="876" w:name="_Toc439841763"/>
      <w:bookmarkStart w:id="877" w:name="_Toc439165548"/>
      <w:bookmarkStart w:id="878" w:name="_Toc439165829"/>
      <w:bookmarkStart w:id="879" w:name="_Toc439841764"/>
      <w:bookmarkStart w:id="880" w:name="_Toc439165549"/>
      <w:bookmarkStart w:id="881" w:name="_Toc439165830"/>
      <w:bookmarkStart w:id="882" w:name="_Toc439841765"/>
      <w:bookmarkStart w:id="883" w:name="_Toc439165550"/>
      <w:bookmarkStart w:id="884" w:name="_Toc439165831"/>
      <w:bookmarkStart w:id="885" w:name="_Toc439841766"/>
      <w:bookmarkStart w:id="886" w:name="_Toc452544181"/>
      <w:bookmarkStart w:id="887" w:name="_Toc453849299"/>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r>
        <w:t>Liquidity Coverage Ratio</w:t>
      </w:r>
      <w:r w:rsidR="00DF2661">
        <w:t xml:space="preserve"> (LCR)</w:t>
      </w:r>
      <w:bookmarkEnd w:id="886"/>
      <w:bookmarkEnd w:id="887"/>
    </w:p>
    <w:tbl>
      <w:tblPr>
        <w:tblpPr w:leftFromText="180" w:rightFromText="180" w:vertAnchor="text" w:tblpX="168" w:tblpY="1"/>
        <w:tblOverlap w:val="never"/>
        <w:tblW w:w="9198"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000" w:firstRow="0" w:lastRow="0" w:firstColumn="0" w:lastColumn="0" w:noHBand="0" w:noVBand="0"/>
      </w:tblPr>
      <w:tblGrid>
        <w:gridCol w:w="1728"/>
        <w:gridCol w:w="7470"/>
      </w:tblGrid>
      <w:tr w:rsidR="00384347" w:rsidRPr="00206D41" w14:paraId="62A6D798" w14:textId="77777777" w:rsidTr="00B3414B">
        <w:trPr>
          <w:trHeight w:val="462"/>
        </w:trPr>
        <w:tc>
          <w:tcPr>
            <w:tcW w:w="1728" w:type="dxa"/>
            <w:shd w:val="clear" w:color="auto" w:fill="auto"/>
          </w:tcPr>
          <w:p w14:paraId="796073DD" w14:textId="77777777" w:rsidR="00384347" w:rsidRPr="00206D41" w:rsidRDefault="005A3957" w:rsidP="007E122B">
            <w:pPr>
              <w:rPr>
                <w:b/>
                <w:bCs/>
                <w:iCs/>
              </w:rPr>
            </w:pPr>
            <w:r>
              <w:rPr>
                <w:b/>
                <w:bCs/>
                <w:iCs/>
              </w:rPr>
              <w:t>DEFINITION</w:t>
            </w:r>
          </w:p>
        </w:tc>
        <w:tc>
          <w:tcPr>
            <w:tcW w:w="7470" w:type="dxa"/>
            <w:shd w:val="clear" w:color="auto" w:fill="auto"/>
          </w:tcPr>
          <w:p w14:paraId="34FC67FF" w14:textId="77777777" w:rsidR="00AC755C" w:rsidRDefault="00AC755C" w:rsidP="00AC755C">
            <w:pPr>
              <w:spacing w:after="0" w:line="240" w:lineRule="auto"/>
              <w:rPr>
                <w:bCs/>
                <w:iCs/>
              </w:rPr>
            </w:pPr>
            <w:r>
              <w:rPr>
                <w:bCs/>
                <w:iCs/>
              </w:rPr>
              <w:t>A measurement of t</w:t>
            </w:r>
            <w:r w:rsidRPr="00384347">
              <w:rPr>
                <w:bCs/>
                <w:iCs/>
              </w:rPr>
              <w:t>he resilience of a firm to a short term (30 days) liquidity crisis, on the basis of its High Quality Liquid Assets.</w:t>
            </w:r>
          </w:p>
          <w:p w14:paraId="522E6C1D" w14:textId="77777777" w:rsidR="00AC755C" w:rsidRDefault="00AC755C" w:rsidP="00AC755C">
            <w:pPr>
              <w:spacing w:after="0" w:line="240" w:lineRule="auto"/>
              <w:rPr>
                <w:bCs/>
                <w:iCs/>
              </w:rPr>
            </w:pPr>
          </w:p>
          <w:p w14:paraId="59F68381" w14:textId="77777777" w:rsidR="00AC755C" w:rsidRDefault="00AC755C" w:rsidP="00AC755C">
            <w:pPr>
              <w:spacing w:after="0" w:line="240" w:lineRule="auto"/>
              <w:rPr>
                <w:bCs/>
                <w:iCs/>
              </w:rPr>
            </w:pPr>
            <w:r>
              <w:rPr>
                <w:bCs/>
                <w:iCs/>
              </w:rPr>
              <w:t>Two LCR metrics will be calculated – one under European regulatory guidelines and another under US guidelines.  Limits and triggers will be measured against the worst-case of the two metrics.</w:t>
            </w:r>
          </w:p>
          <w:p w14:paraId="04AC5789" w14:textId="77777777" w:rsidR="00DF2661" w:rsidRPr="00206D41" w:rsidRDefault="00DF2661" w:rsidP="0077660A">
            <w:pPr>
              <w:spacing w:after="0" w:line="240" w:lineRule="auto"/>
              <w:rPr>
                <w:bCs/>
                <w:iCs/>
              </w:rPr>
            </w:pPr>
          </w:p>
        </w:tc>
      </w:tr>
      <w:tr w:rsidR="00384347" w:rsidRPr="00206D41" w14:paraId="601B467B" w14:textId="77777777" w:rsidTr="00B3414B">
        <w:trPr>
          <w:trHeight w:val="462"/>
        </w:trPr>
        <w:tc>
          <w:tcPr>
            <w:tcW w:w="1728" w:type="dxa"/>
            <w:shd w:val="clear" w:color="auto" w:fill="auto"/>
          </w:tcPr>
          <w:p w14:paraId="35A9BE3B" w14:textId="77777777" w:rsidR="00384347" w:rsidRPr="00206D41" w:rsidRDefault="005A3957" w:rsidP="007E122B">
            <w:pPr>
              <w:rPr>
                <w:b/>
                <w:bCs/>
                <w:iCs/>
              </w:rPr>
            </w:pPr>
            <w:r>
              <w:rPr>
                <w:b/>
                <w:bCs/>
                <w:iCs/>
              </w:rPr>
              <w:t>RISK TYPE</w:t>
            </w:r>
          </w:p>
        </w:tc>
        <w:tc>
          <w:tcPr>
            <w:tcW w:w="7470" w:type="dxa"/>
            <w:shd w:val="clear" w:color="auto" w:fill="auto"/>
          </w:tcPr>
          <w:p w14:paraId="4BF3B95F" w14:textId="77777777" w:rsidR="00384347" w:rsidRPr="00206D41" w:rsidRDefault="0010609C" w:rsidP="007E122B">
            <w:pPr>
              <w:spacing w:after="0" w:line="240" w:lineRule="auto"/>
              <w:rPr>
                <w:bCs/>
                <w:iCs/>
              </w:rPr>
            </w:pPr>
            <w:r>
              <w:rPr>
                <w:bCs/>
                <w:iCs/>
              </w:rPr>
              <w:t>Liquidity / Funding Risk</w:t>
            </w:r>
          </w:p>
        </w:tc>
      </w:tr>
      <w:tr w:rsidR="008E208E" w:rsidRPr="00206D41" w14:paraId="0661A72F" w14:textId="77777777" w:rsidTr="00B3414B">
        <w:trPr>
          <w:trHeight w:val="462"/>
        </w:trPr>
        <w:tc>
          <w:tcPr>
            <w:tcW w:w="1728" w:type="dxa"/>
            <w:shd w:val="clear" w:color="auto" w:fill="auto"/>
          </w:tcPr>
          <w:p w14:paraId="116BB5C7" w14:textId="77777777" w:rsidR="008E208E" w:rsidRDefault="008E208E" w:rsidP="008E208E">
            <w:pPr>
              <w:rPr>
                <w:b/>
                <w:bCs/>
                <w:iCs/>
              </w:rPr>
            </w:pPr>
            <w:r>
              <w:rPr>
                <w:b/>
                <w:bCs/>
                <w:iCs/>
              </w:rPr>
              <w:t>RATIONALE</w:t>
            </w:r>
          </w:p>
        </w:tc>
        <w:tc>
          <w:tcPr>
            <w:tcW w:w="7470" w:type="dxa"/>
            <w:shd w:val="clear" w:color="auto" w:fill="auto"/>
          </w:tcPr>
          <w:p w14:paraId="6C2945A4" w14:textId="1B4D7B2F" w:rsidR="008E208E" w:rsidRDefault="00AC755C" w:rsidP="008E208E">
            <w:pPr>
              <w:spacing w:after="0" w:line="240" w:lineRule="auto"/>
              <w:rPr>
                <w:bCs/>
                <w:iCs/>
              </w:rPr>
            </w:pPr>
            <w:r>
              <w:rPr>
                <w:bCs/>
                <w:iCs/>
              </w:rPr>
              <w:t>D</w:t>
            </w:r>
            <w:r w:rsidRPr="008E208E">
              <w:rPr>
                <w:bCs/>
                <w:iCs/>
              </w:rPr>
              <w:t>efined by regulators and is designed to measure li</w:t>
            </w:r>
            <w:r>
              <w:rPr>
                <w:bCs/>
                <w:iCs/>
              </w:rPr>
              <w:t>quidity under short-term stress. S</w:t>
            </w:r>
            <w:r w:rsidRPr="008E208E">
              <w:rPr>
                <w:bCs/>
                <w:iCs/>
              </w:rPr>
              <w:t>HUSA must ensure its cash flow profile keeps</w:t>
            </w:r>
            <w:r>
              <w:rPr>
                <w:bCs/>
                <w:iCs/>
              </w:rPr>
              <w:t xml:space="preserve"> the</w:t>
            </w:r>
            <w:r w:rsidRPr="008E208E">
              <w:rPr>
                <w:bCs/>
                <w:iCs/>
              </w:rPr>
              <w:t xml:space="preserve"> Liquidity Coverage Ratio (LCR) at or above limits to remain compliant with </w:t>
            </w:r>
            <w:r>
              <w:rPr>
                <w:bCs/>
                <w:iCs/>
              </w:rPr>
              <w:t>European and US regulatory requirements.</w:t>
            </w:r>
          </w:p>
        </w:tc>
      </w:tr>
      <w:tr w:rsidR="005841D7" w:rsidRPr="00206D41" w14:paraId="477A2409" w14:textId="77777777" w:rsidTr="006B6E1C">
        <w:trPr>
          <w:cantSplit/>
          <w:trHeight w:val="270"/>
        </w:trPr>
        <w:tc>
          <w:tcPr>
            <w:tcW w:w="1728" w:type="dxa"/>
            <w:shd w:val="clear" w:color="auto" w:fill="auto"/>
          </w:tcPr>
          <w:p w14:paraId="6B575A43" w14:textId="77777777" w:rsidR="005841D7" w:rsidRPr="00206D41" w:rsidRDefault="005841D7" w:rsidP="008E208E">
            <w:pPr>
              <w:rPr>
                <w:b/>
                <w:bCs/>
                <w:iCs/>
              </w:rPr>
            </w:pPr>
            <w:r>
              <w:rPr>
                <w:b/>
                <w:bCs/>
                <w:iCs/>
              </w:rPr>
              <w:t>ENTITY</w:t>
            </w:r>
          </w:p>
        </w:tc>
        <w:tc>
          <w:tcPr>
            <w:tcW w:w="7470" w:type="dxa"/>
            <w:shd w:val="clear" w:color="auto" w:fill="auto"/>
          </w:tcPr>
          <w:p w14:paraId="112EB248" w14:textId="77777777" w:rsidR="005841D7" w:rsidRPr="005A3957" w:rsidRDefault="005841D7" w:rsidP="008E208E">
            <w:pPr>
              <w:spacing w:after="0" w:line="240" w:lineRule="auto"/>
              <w:rPr>
                <w:b/>
                <w:bCs/>
                <w:iCs/>
              </w:rPr>
            </w:pPr>
            <w:r w:rsidRPr="005A3957">
              <w:rPr>
                <w:b/>
                <w:bCs/>
                <w:iCs/>
              </w:rPr>
              <w:t xml:space="preserve">SHUSA </w:t>
            </w:r>
          </w:p>
        </w:tc>
      </w:tr>
      <w:tr w:rsidR="005841D7" w:rsidRPr="00206D41" w14:paraId="023A7FA8" w14:textId="77777777" w:rsidTr="006B6E1C">
        <w:trPr>
          <w:trHeight w:val="270"/>
        </w:trPr>
        <w:tc>
          <w:tcPr>
            <w:tcW w:w="1728" w:type="dxa"/>
            <w:shd w:val="clear" w:color="auto" w:fill="auto"/>
          </w:tcPr>
          <w:p w14:paraId="5818763E" w14:textId="0712D0DE" w:rsidR="005841D7" w:rsidRPr="00206D41" w:rsidRDefault="00511F11" w:rsidP="008E208E">
            <w:pPr>
              <w:rPr>
                <w:b/>
                <w:bCs/>
                <w:iCs/>
              </w:rPr>
            </w:pPr>
            <w:r>
              <w:rPr>
                <w:rFonts w:asciiTheme="minorHAnsi" w:hAnsiTheme="minorHAnsi"/>
                <w:b/>
                <w:bCs/>
                <w:iCs/>
              </w:rPr>
              <w:t>METRIC PROVIDER</w:t>
            </w:r>
          </w:p>
        </w:tc>
        <w:tc>
          <w:tcPr>
            <w:tcW w:w="7470" w:type="dxa"/>
            <w:shd w:val="clear" w:color="auto" w:fill="auto"/>
          </w:tcPr>
          <w:p w14:paraId="3D7D1279" w14:textId="7EA556F5" w:rsidR="005841D7" w:rsidRPr="005A3957" w:rsidRDefault="00902A19" w:rsidP="008E208E">
            <w:pPr>
              <w:spacing w:after="0" w:line="240" w:lineRule="auto"/>
              <w:rPr>
                <w:b/>
                <w:bCs/>
                <w:iCs/>
              </w:rPr>
            </w:pPr>
            <w:r w:rsidRPr="005A3957">
              <w:rPr>
                <w:b/>
                <w:bCs/>
                <w:iCs/>
              </w:rPr>
              <w:t>SHUSA</w:t>
            </w:r>
            <w:r>
              <w:rPr>
                <w:b/>
                <w:bCs/>
                <w:iCs/>
              </w:rPr>
              <w:t xml:space="preserve"> Market and Liquidity Risk</w:t>
            </w:r>
          </w:p>
        </w:tc>
      </w:tr>
      <w:tr w:rsidR="008E208E" w:rsidRPr="00206D41" w14:paraId="0E1EAC7A" w14:textId="77777777" w:rsidTr="00B3414B">
        <w:trPr>
          <w:trHeight w:val="360"/>
        </w:trPr>
        <w:tc>
          <w:tcPr>
            <w:tcW w:w="1728" w:type="dxa"/>
            <w:shd w:val="clear" w:color="auto" w:fill="auto"/>
          </w:tcPr>
          <w:p w14:paraId="215E1A49" w14:textId="77777777" w:rsidR="008E208E" w:rsidRPr="00206D41" w:rsidRDefault="008E208E" w:rsidP="008E208E">
            <w:pPr>
              <w:ind w:left="-60"/>
              <w:rPr>
                <w:b/>
                <w:bCs/>
                <w:iCs/>
              </w:rPr>
            </w:pPr>
            <w:r>
              <w:rPr>
                <w:b/>
                <w:bCs/>
                <w:iCs/>
              </w:rPr>
              <w:t>TRIGGER AND LIMIT SETTING</w:t>
            </w:r>
          </w:p>
        </w:tc>
        <w:tc>
          <w:tcPr>
            <w:tcW w:w="7470" w:type="dxa"/>
            <w:shd w:val="clear" w:color="auto" w:fill="auto"/>
          </w:tcPr>
          <w:p w14:paraId="2661B9B9" w14:textId="63C1B395" w:rsidR="009E3497" w:rsidRPr="009E3497" w:rsidRDefault="00902A19" w:rsidP="009E3497">
            <w:pPr>
              <w:spacing w:after="0" w:line="240" w:lineRule="auto"/>
              <w:rPr>
                <w:iCs/>
              </w:rPr>
            </w:pPr>
            <w:r w:rsidRPr="00902A19">
              <w:rPr>
                <w:rFonts w:asciiTheme="minorHAnsi" w:eastAsiaTheme="minorHAnsi" w:hAnsiTheme="minorHAnsi" w:cstheme="minorBidi"/>
                <w:iCs/>
              </w:rPr>
              <w:t>LCR limits are set using the regulatory minimum (100%) as an anchor point, then adding a buffer per management discretion, and verifying against historical trends</w:t>
            </w:r>
            <w:r>
              <w:rPr>
                <w:rFonts w:asciiTheme="minorHAnsi" w:eastAsiaTheme="minorHAnsi" w:hAnsiTheme="minorHAnsi" w:cstheme="minorBidi"/>
                <w:iCs/>
              </w:rPr>
              <w:t xml:space="preserve">. </w:t>
            </w:r>
            <w:r w:rsidRPr="00902A19">
              <w:rPr>
                <w:rFonts w:asciiTheme="minorHAnsi" w:eastAsiaTheme="minorHAnsi" w:hAnsiTheme="minorHAnsi" w:cstheme="minorBidi"/>
                <w:iCs/>
              </w:rPr>
              <w:t xml:space="preserve"> </w:t>
            </w:r>
          </w:p>
        </w:tc>
      </w:tr>
      <w:tr w:rsidR="008E208E" w:rsidRPr="00206D41" w14:paraId="63C319B3" w14:textId="77777777" w:rsidTr="00B3414B">
        <w:trPr>
          <w:trHeight w:val="360"/>
        </w:trPr>
        <w:tc>
          <w:tcPr>
            <w:tcW w:w="1728" w:type="dxa"/>
            <w:shd w:val="clear" w:color="auto" w:fill="auto"/>
          </w:tcPr>
          <w:p w14:paraId="49CB759F" w14:textId="77777777" w:rsidR="008E208E" w:rsidRPr="00206D41" w:rsidRDefault="008E208E" w:rsidP="008E208E">
            <w:pPr>
              <w:ind w:left="-60"/>
              <w:rPr>
                <w:b/>
                <w:bCs/>
                <w:iCs/>
              </w:rPr>
            </w:pPr>
            <w:r>
              <w:rPr>
                <w:b/>
                <w:bCs/>
                <w:iCs/>
              </w:rPr>
              <w:t>TESTING FREQUENCY</w:t>
            </w:r>
          </w:p>
        </w:tc>
        <w:tc>
          <w:tcPr>
            <w:tcW w:w="7470" w:type="dxa"/>
            <w:shd w:val="clear" w:color="auto" w:fill="auto"/>
          </w:tcPr>
          <w:p w14:paraId="1D6C4289" w14:textId="77777777" w:rsidR="008E208E" w:rsidRDefault="008E208E" w:rsidP="008E208E">
            <w:pPr>
              <w:spacing w:after="0" w:line="240" w:lineRule="auto"/>
              <w:rPr>
                <w:rFonts w:asciiTheme="minorHAnsi" w:eastAsiaTheme="minorHAnsi" w:hAnsiTheme="minorHAnsi" w:cstheme="minorBidi"/>
                <w:iCs/>
              </w:rPr>
            </w:pPr>
            <w:r>
              <w:rPr>
                <w:rFonts w:asciiTheme="minorHAnsi" w:eastAsiaTheme="minorHAnsi" w:hAnsiTheme="minorHAnsi" w:cstheme="minorBidi"/>
                <w:iCs/>
              </w:rPr>
              <w:t>Monthly.</w:t>
            </w:r>
          </w:p>
          <w:p w14:paraId="5D413937" w14:textId="77777777" w:rsidR="008E208E" w:rsidRDefault="008E208E" w:rsidP="008E208E">
            <w:pPr>
              <w:spacing w:after="0" w:line="240" w:lineRule="auto"/>
              <w:rPr>
                <w:rFonts w:asciiTheme="minorHAnsi" w:eastAsiaTheme="minorHAnsi" w:hAnsiTheme="minorHAnsi" w:cstheme="minorBidi"/>
                <w:iCs/>
              </w:rPr>
            </w:pPr>
            <w:r>
              <w:rPr>
                <w:rFonts w:asciiTheme="minorHAnsi" w:eastAsiaTheme="minorHAnsi" w:hAnsiTheme="minorHAnsi" w:cstheme="minorBidi"/>
                <w:iCs/>
              </w:rPr>
              <w:t>The proportion of High Quality Liquid assets to total net cash outflows:</w:t>
            </w:r>
          </w:p>
          <w:p w14:paraId="2A3CDCB5" w14:textId="77777777" w:rsidR="008E208E" w:rsidRDefault="008E208E" w:rsidP="008E208E">
            <w:pPr>
              <w:spacing w:after="0" w:line="240" w:lineRule="auto"/>
              <w:rPr>
                <w:rFonts w:asciiTheme="minorHAnsi" w:eastAsiaTheme="minorHAnsi" w:hAnsiTheme="minorHAnsi" w:cstheme="minorBidi"/>
                <w:iCs/>
              </w:rPr>
            </w:pPr>
          </w:p>
          <w:p w14:paraId="7BEBCA8A" w14:textId="77777777" w:rsidR="008E208E" w:rsidRPr="00340596" w:rsidRDefault="00DB2B0B" w:rsidP="008E208E">
            <w:pPr>
              <w:spacing w:after="0" w:line="240" w:lineRule="auto"/>
              <w:jc w:val="center"/>
              <w:rPr>
                <w:rFonts w:asciiTheme="minorHAnsi" w:eastAsiaTheme="minorHAnsi" w:hAnsiTheme="minorHAnsi" w:cstheme="minorBidi"/>
                <w:iCs/>
                <w:sz w:val="28"/>
                <w:szCs w:val="28"/>
              </w:rPr>
            </w:pPr>
            <m:oMath>
              <m:f>
                <m:fPr>
                  <m:ctrlPr>
                    <w:rPr>
                      <w:rFonts w:ascii="Cambria Math" w:eastAsiaTheme="minorHAnsi" w:hAnsi="Cambria Math" w:cstheme="minorBidi"/>
                      <w:i/>
                      <w:iCs/>
                      <w:sz w:val="28"/>
                      <w:szCs w:val="28"/>
                    </w:rPr>
                  </m:ctrlPr>
                </m:fPr>
                <m:num>
                  <m:r>
                    <w:rPr>
                      <w:rFonts w:ascii="Cambria Math" w:eastAsiaTheme="minorHAnsi" w:hAnsi="Cambria Math" w:cstheme="minorBidi"/>
                      <w:sz w:val="28"/>
                      <w:szCs w:val="28"/>
                    </w:rPr>
                    <m:t>High Quality Liquid Assets (HQLA)</m:t>
                  </m:r>
                </m:num>
                <m:den>
                  <m:r>
                    <w:rPr>
                      <w:rFonts w:ascii="Cambria Math" w:eastAsiaTheme="minorHAnsi" w:hAnsi="Cambria Math" w:cstheme="minorBidi"/>
                      <w:sz w:val="28"/>
                      <w:szCs w:val="28"/>
                    </w:rPr>
                    <m:t xml:space="preserve">Total net cash outflow </m:t>
                  </m:r>
                </m:den>
              </m:f>
            </m:oMath>
            <w:r w:rsidR="008E208E" w:rsidRPr="00340596">
              <w:rPr>
                <w:rFonts w:asciiTheme="minorHAnsi" w:eastAsiaTheme="minorHAnsi" w:hAnsiTheme="minorHAnsi" w:cstheme="minorBidi"/>
                <w:iCs/>
                <w:sz w:val="28"/>
                <w:szCs w:val="28"/>
              </w:rPr>
              <w:t xml:space="preserve"> </w:t>
            </w:r>
          </w:p>
          <w:p w14:paraId="1FC61894" w14:textId="77777777" w:rsidR="008E208E" w:rsidRDefault="008E208E" w:rsidP="008E208E">
            <w:pPr>
              <w:spacing w:after="0" w:line="240" w:lineRule="auto"/>
              <w:jc w:val="center"/>
              <w:rPr>
                <w:rFonts w:asciiTheme="minorHAnsi" w:eastAsiaTheme="minorHAnsi" w:hAnsiTheme="minorHAnsi" w:cstheme="minorBidi"/>
                <w:iCs/>
              </w:rPr>
            </w:pPr>
          </w:p>
          <w:p w14:paraId="105580C0" w14:textId="77777777" w:rsidR="00AC755C" w:rsidRDefault="00AC755C" w:rsidP="00AC755C">
            <w:pPr>
              <w:spacing w:after="0" w:line="240" w:lineRule="auto"/>
              <w:rPr>
                <w:rFonts w:asciiTheme="minorHAnsi" w:eastAsiaTheme="minorHAnsi" w:hAnsiTheme="minorHAnsi" w:cstheme="minorBidi"/>
                <w:iCs/>
              </w:rPr>
            </w:pPr>
            <w:r>
              <w:rPr>
                <w:rFonts w:asciiTheme="minorHAnsi" w:eastAsiaTheme="minorHAnsi" w:hAnsiTheme="minorHAnsi" w:cstheme="minorBidi"/>
                <w:iCs/>
              </w:rPr>
              <w:t>The calculation of the LCR follows the standard industry calculation:</w:t>
            </w:r>
          </w:p>
          <w:p w14:paraId="3B38ED17" w14:textId="77777777" w:rsidR="00AC755C" w:rsidRDefault="00AC755C" w:rsidP="00AC755C">
            <w:pPr>
              <w:pStyle w:val="ListParagraph"/>
              <w:numPr>
                <w:ilvl w:val="0"/>
                <w:numId w:val="14"/>
              </w:numPr>
              <w:spacing w:after="0" w:line="240" w:lineRule="auto"/>
              <w:rPr>
                <w:iCs/>
              </w:rPr>
            </w:pPr>
            <w:r w:rsidRPr="00950957">
              <w:rPr>
                <w:iCs/>
              </w:rPr>
              <w:t xml:space="preserve">HQLA are defined based on specific regulatory guidance; </w:t>
            </w:r>
          </w:p>
          <w:p w14:paraId="09C19D7A" w14:textId="11EC4CB2" w:rsidR="008E208E" w:rsidRPr="0010609C" w:rsidRDefault="00AC755C" w:rsidP="00AC755C">
            <w:pPr>
              <w:pStyle w:val="ListParagraph"/>
              <w:numPr>
                <w:ilvl w:val="0"/>
                <w:numId w:val="14"/>
              </w:numPr>
              <w:spacing w:after="0" w:line="240" w:lineRule="auto"/>
              <w:rPr>
                <w:iCs/>
              </w:rPr>
            </w:pPr>
            <w:r w:rsidRPr="001520DE">
              <w:rPr>
                <w:iCs/>
              </w:rPr>
              <w:t>Net Cash Outflows are defi</w:t>
            </w:r>
            <w:r>
              <w:rPr>
                <w:iCs/>
              </w:rPr>
              <w:t>ned as e</w:t>
            </w:r>
            <w:r w:rsidRPr="001520DE">
              <w:rPr>
                <w:iCs/>
              </w:rPr>
              <w:t xml:space="preserve">xpected cash </w:t>
            </w:r>
            <w:r>
              <w:rPr>
                <w:iCs/>
              </w:rPr>
              <w:t>outflows over the next 30 days less</w:t>
            </w:r>
            <w:r w:rsidRPr="001520DE">
              <w:rPr>
                <w:iCs/>
              </w:rPr>
              <w:t xml:space="preserve"> expected cash inflows over the next 30 days</w:t>
            </w:r>
            <w:r>
              <w:rPr>
                <w:iCs/>
              </w:rPr>
              <w:t>, based on the European method, and 21 days for both expected cash outflows and inflows using the U.S. method</w:t>
            </w:r>
            <w:r w:rsidRPr="001520DE">
              <w:rPr>
                <w:iCs/>
              </w:rPr>
              <w:t>.</w:t>
            </w:r>
            <w:r>
              <w:rPr>
                <w:iCs/>
              </w:rPr>
              <w:t xml:space="preserve"> </w:t>
            </w:r>
            <w:r w:rsidRPr="001520DE">
              <w:rPr>
                <w:iCs/>
              </w:rPr>
              <w:t>Specific cash outflows/inflows are defined according to the specific regulatory guidance</w:t>
            </w:r>
            <w:r>
              <w:rPr>
                <w:rStyle w:val="FootnoteReference"/>
                <w:iCs/>
              </w:rPr>
              <w:footnoteReference w:id="12"/>
            </w:r>
            <w:r w:rsidRPr="001520DE">
              <w:rPr>
                <w:iCs/>
              </w:rPr>
              <w:t>.</w:t>
            </w:r>
          </w:p>
        </w:tc>
      </w:tr>
      <w:tr w:rsidR="008E208E" w:rsidRPr="00206D41" w14:paraId="410B1C28" w14:textId="77777777" w:rsidTr="00B3414B">
        <w:trPr>
          <w:trHeight w:val="525"/>
        </w:trPr>
        <w:tc>
          <w:tcPr>
            <w:tcW w:w="1728" w:type="dxa"/>
            <w:shd w:val="clear" w:color="auto" w:fill="auto"/>
          </w:tcPr>
          <w:p w14:paraId="4EBDD3B3" w14:textId="77777777" w:rsidR="008E208E" w:rsidRPr="00206D41" w:rsidRDefault="008E208E" w:rsidP="008E208E">
            <w:pPr>
              <w:rPr>
                <w:b/>
                <w:bCs/>
                <w:iCs/>
              </w:rPr>
            </w:pPr>
            <w:r w:rsidRPr="00206D41">
              <w:rPr>
                <w:b/>
                <w:bCs/>
                <w:iCs/>
              </w:rPr>
              <w:t>SOURCE OF INFORMATION</w:t>
            </w:r>
          </w:p>
        </w:tc>
        <w:tc>
          <w:tcPr>
            <w:tcW w:w="7470" w:type="dxa"/>
            <w:shd w:val="clear" w:color="auto" w:fill="auto"/>
          </w:tcPr>
          <w:p w14:paraId="636F548A" w14:textId="319A179F" w:rsidR="008E208E" w:rsidRPr="00206D41" w:rsidRDefault="00AC755C" w:rsidP="008E208E">
            <w:pPr>
              <w:spacing w:after="0" w:line="240" w:lineRule="auto"/>
              <w:rPr>
                <w:bCs/>
                <w:iCs/>
              </w:rPr>
            </w:pPr>
            <w:r w:rsidRPr="00C05360">
              <w:rPr>
                <w:bCs/>
                <w:iCs/>
              </w:rPr>
              <w:t>QRM; Source and Use Report; Investment Portfolio Report; GL</w:t>
            </w:r>
            <w:r>
              <w:rPr>
                <w:bCs/>
                <w:iCs/>
              </w:rPr>
              <w:t xml:space="preserve"> - </w:t>
            </w:r>
            <w:r w:rsidRPr="000B3F8D">
              <w:rPr>
                <w:bCs/>
                <w:iCs/>
              </w:rPr>
              <w:tab/>
              <w:t>File name: “RL_LCR_019_</w:t>
            </w:r>
            <w:r>
              <w:rPr>
                <w:bCs/>
                <w:i/>
                <w:iCs/>
              </w:rPr>
              <w:t>yyyymm</w:t>
            </w:r>
            <w:r w:rsidRPr="000B3F8D">
              <w:rPr>
                <w:bCs/>
                <w:iCs/>
              </w:rPr>
              <w:t>”</w:t>
            </w:r>
          </w:p>
        </w:tc>
      </w:tr>
    </w:tbl>
    <w:p w14:paraId="62440531" w14:textId="77777777" w:rsidR="00A0462D" w:rsidRDefault="00A0462D" w:rsidP="00B52E32"/>
    <w:p w14:paraId="668820C2" w14:textId="77777777" w:rsidR="00BB4DCA" w:rsidRPr="00454B3A" w:rsidRDefault="00784F28" w:rsidP="00454B3A">
      <w:pPr>
        <w:pStyle w:val="SANUS2"/>
        <w:numPr>
          <w:ilvl w:val="1"/>
          <w:numId w:val="1"/>
        </w:numPr>
      </w:pPr>
      <w:bookmarkStart w:id="888" w:name="_Toc452544182"/>
      <w:bookmarkStart w:id="889" w:name="_Toc453849300"/>
      <w:r>
        <w:t>Structural Funding Ratio</w:t>
      </w:r>
      <w:r w:rsidR="0072224D">
        <w:t xml:space="preserve"> (SFR)</w:t>
      </w:r>
      <w:bookmarkEnd w:id="888"/>
      <w:bookmarkEnd w:id="889"/>
    </w:p>
    <w:tbl>
      <w:tblPr>
        <w:tblpPr w:leftFromText="180" w:rightFromText="180" w:vertAnchor="text" w:tblpX="168" w:tblpY="1"/>
        <w:tblOverlap w:val="never"/>
        <w:tblW w:w="9198"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000" w:firstRow="0" w:lastRow="0" w:firstColumn="0" w:lastColumn="0" w:noHBand="0" w:noVBand="0"/>
      </w:tblPr>
      <w:tblGrid>
        <w:gridCol w:w="1872"/>
        <w:gridCol w:w="7326"/>
      </w:tblGrid>
      <w:tr w:rsidR="00BB4DCA" w:rsidRPr="00206D41" w14:paraId="23E75A51" w14:textId="77777777" w:rsidTr="00B3414B">
        <w:trPr>
          <w:trHeight w:val="462"/>
        </w:trPr>
        <w:tc>
          <w:tcPr>
            <w:tcW w:w="1872" w:type="dxa"/>
            <w:shd w:val="clear" w:color="auto" w:fill="auto"/>
          </w:tcPr>
          <w:p w14:paraId="0F5DAB44" w14:textId="77777777" w:rsidR="00BB4DCA" w:rsidRPr="00206D41" w:rsidRDefault="00157B7A" w:rsidP="007E122B">
            <w:pPr>
              <w:rPr>
                <w:b/>
                <w:bCs/>
                <w:iCs/>
              </w:rPr>
            </w:pPr>
            <w:r>
              <w:rPr>
                <w:b/>
                <w:bCs/>
                <w:iCs/>
              </w:rPr>
              <w:t>DEFINITION</w:t>
            </w:r>
          </w:p>
        </w:tc>
        <w:tc>
          <w:tcPr>
            <w:tcW w:w="7326" w:type="dxa"/>
            <w:shd w:val="clear" w:color="auto" w:fill="auto"/>
          </w:tcPr>
          <w:p w14:paraId="177FFBB0" w14:textId="77777777" w:rsidR="00BB4DCA" w:rsidRPr="00206D41" w:rsidRDefault="00205458" w:rsidP="007E122B">
            <w:pPr>
              <w:spacing w:after="0" w:line="240" w:lineRule="auto"/>
              <w:rPr>
                <w:bCs/>
                <w:iCs/>
              </w:rPr>
            </w:pPr>
            <w:r>
              <w:rPr>
                <w:bCs/>
                <w:iCs/>
              </w:rPr>
              <w:t>T</w:t>
            </w:r>
            <w:r w:rsidR="005A3957">
              <w:rPr>
                <w:bCs/>
                <w:iCs/>
              </w:rPr>
              <w:t>he percentage of structural assets that are funded with medium and long term liabilities</w:t>
            </w:r>
          </w:p>
        </w:tc>
      </w:tr>
      <w:tr w:rsidR="00BB4DCA" w:rsidRPr="00206D41" w14:paraId="070A485B" w14:textId="77777777" w:rsidTr="00B3414B">
        <w:trPr>
          <w:cantSplit/>
          <w:trHeight w:val="429"/>
        </w:trPr>
        <w:tc>
          <w:tcPr>
            <w:tcW w:w="1872" w:type="dxa"/>
            <w:shd w:val="clear" w:color="auto" w:fill="auto"/>
          </w:tcPr>
          <w:p w14:paraId="7D80A4EC" w14:textId="77777777" w:rsidR="00BB4DCA" w:rsidRPr="00206D41" w:rsidRDefault="00157B7A" w:rsidP="007E122B">
            <w:pPr>
              <w:rPr>
                <w:b/>
                <w:bCs/>
                <w:iCs/>
              </w:rPr>
            </w:pPr>
            <w:r>
              <w:rPr>
                <w:b/>
                <w:bCs/>
                <w:iCs/>
              </w:rPr>
              <w:t>RISK TYPE</w:t>
            </w:r>
          </w:p>
        </w:tc>
        <w:tc>
          <w:tcPr>
            <w:tcW w:w="7326" w:type="dxa"/>
            <w:shd w:val="clear" w:color="auto" w:fill="auto"/>
          </w:tcPr>
          <w:p w14:paraId="4B43E739" w14:textId="77777777" w:rsidR="00BB4DCA" w:rsidRPr="00206D41" w:rsidRDefault="00157B7A" w:rsidP="00205458">
            <w:pPr>
              <w:tabs>
                <w:tab w:val="left" w:pos="2145"/>
              </w:tabs>
              <w:spacing w:after="0" w:line="240" w:lineRule="auto"/>
              <w:rPr>
                <w:bCs/>
                <w:iCs/>
              </w:rPr>
            </w:pPr>
            <w:r>
              <w:rPr>
                <w:bCs/>
                <w:iCs/>
              </w:rPr>
              <w:t>Liquidity</w:t>
            </w:r>
            <w:r w:rsidR="00205458">
              <w:rPr>
                <w:bCs/>
                <w:iCs/>
              </w:rPr>
              <w:t xml:space="preserve"> / Funding</w:t>
            </w:r>
            <w:r>
              <w:rPr>
                <w:bCs/>
                <w:iCs/>
              </w:rPr>
              <w:t xml:space="preserve"> Risk</w:t>
            </w:r>
            <w:r w:rsidR="00205458">
              <w:rPr>
                <w:bCs/>
                <w:iCs/>
              </w:rPr>
              <w:tab/>
            </w:r>
          </w:p>
        </w:tc>
      </w:tr>
      <w:tr w:rsidR="00E04287" w:rsidRPr="00206D41" w14:paraId="6B4C15DE" w14:textId="77777777" w:rsidTr="00B3414B">
        <w:trPr>
          <w:cantSplit/>
          <w:trHeight w:val="429"/>
        </w:trPr>
        <w:tc>
          <w:tcPr>
            <w:tcW w:w="1872" w:type="dxa"/>
            <w:shd w:val="clear" w:color="auto" w:fill="auto"/>
          </w:tcPr>
          <w:p w14:paraId="30868BF3" w14:textId="77777777" w:rsidR="00E04287" w:rsidRDefault="00E04287" w:rsidP="007E122B">
            <w:pPr>
              <w:rPr>
                <w:b/>
                <w:bCs/>
                <w:iCs/>
              </w:rPr>
            </w:pPr>
            <w:r>
              <w:rPr>
                <w:b/>
                <w:bCs/>
                <w:iCs/>
              </w:rPr>
              <w:t>RATIONALE</w:t>
            </w:r>
          </w:p>
        </w:tc>
        <w:tc>
          <w:tcPr>
            <w:tcW w:w="7326" w:type="dxa"/>
            <w:shd w:val="clear" w:color="auto" w:fill="auto"/>
          </w:tcPr>
          <w:p w14:paraId="34B3A84B" w14:textId="05946AD6" w:rsidR="00E04287" w:rsidRDefault="00AC755C" w:rsidP="00EF0941">
            <w:pPr>
              <w:tabs>
                <w:tab w:val="left" w:pos="2145"/>
              </w:tabs>
              <w:spacing w:after="0" w:line="240" w:lineRule="auto"/>
              <w:rPr>
                <w:bCs/>
                <w:iCs/>
              </w:rPr>
            </w:pPr>
            <w:r w:rsidRPr="008E208E">
              <w:rPr>
                <w:bCs/>
                <w:iCs/>
              </w:rPr>
              <w:t xml:space="preserve">SHUSA currently monitors the structural funding ratio which is a precursor to </w:t>
            </w:r>
            <w:r>
              <w:rPr>
                <w:bCs/>
                <w:iCs/>
              </w:rPr>
              <w:t>net stable funding ratio (NSFR), a monitoring standard specified by US and European regulators.</w:t>
            </w:r>
          </w:p>
        </w:tc>
      </w:tr>
      <w:tr w:rsidR="005841D7" w:rsidRPr="00206D41" w14:paraId="786D5DF5" w14:textId="77777777" w:rsidTr="006B6E1C">
        <w:trPr>
          <w:cantSplit/>
          <w:trHeight w:val="270"/>
        </w:trPr>
        <w:tc>
          <w:tcPr>
            <w:tcW w:w="1872" w:type="dxa"/>
            <w:shd w:val="clear" w:color="auto" w:fill="auto"/>
          </w:tcPr>
          <w:p w14:paraId="60EFD092" w14:textId="77777777" w:rsidR="005841D7" w:rsidRPr="00206D41" w:rsidRDefault="005841D7" w:rsidP="007E122B">
            <w:pPr>
              <w:rPr>
                <w:b/>
                <w:bCs/>
                <w:iCs/>
              </w:rPr>
            </w:pPr>
            <w:r>
              <w:rPr>
                <w:b/>
                <w:bCs/>
                <w:iCs/>
              </w:rPr>
              <w:t>ENTITY</w:t>
            </w:r>
          </w:p>
        </w:tc>
        <w:tc>
          <w:tcPr>
            <w:tcW w:w="7326" w:type="dxa"/>
            <w:shd w:val="clear" w:color="auto" w:fill="auto"/>
          </w:tcPr>
          <w:p w14:paraId="6B2152AB" w14:textId="77777777" w:rsidR="005841D7" w:rsidRPr="00157B7A" w:rsidRDefault="005841D7" w:rsidP="007E122B">
            <w:pPr>
              <w:spacing w:after="0" w:line="240" w:lineRule="auto"/>
              <w:rPr>
                <w:b/>
                <w:bCs/>
                <w:iCs/>
              </w:rPr>
            </w:pPr>
            <w:r w:rsidRPr="00157B7A">
              <w:rPr>
                <w:b/>
                <w:bCs/>
                <w:iCs/>
              </w:rPr>
              <w:t>SHUSA</w:t>
            </w:r>
          </w:p>
        </w:tc>
      </w:tr>
      <w:tr w:rsidR="005841D7" w:rsidRPr="00206D41" w14:paraId="79153DEA" w14:textId="77777777" w:rsidTr="006B6E1C">
        <w:trPr>
          <w:trHeight w:val="270"/>
        </w:trPr>
        <w:tc>
          <w:tcPr>
            <w:tcW w:w="1872" w:type="dxa"/>
            <w:shd w:val="clear" w:color="auto" w:fill="auto"/>
          </w:tcPr>
          <w:p w14:paraId="6283BBDF" w14:textId="716B0874" w:rsidR="005841D7" w:rsidRPr="00206D41" w:rsidRDefault="00511F11" w:rsidP="00E04287">
            <w:pPr>
              <w:rPr>
                <w:b/>
                <w:bCs/>
                <w:iCs/>
              </w:rPr>
            </w:pPr>
            <w:r>
              <w:rPr>
                <w:rFonts w:asciiTheme="minorHAnsi" w:hAnsiTheme="minorHAnsi"/>
                <w:b/>
                <w:bCs/>
                <w:iCs/>
              </w:rPr>
              <w:t>METRIC PROVIDER</w:t>
            </w:r>
          </w:p>
        </w:tc>
        <w:tc>
          <w:tcPr>
            <w:tcW w:w="7326" w:type="dxa"/>
            <w:shd w:val="clear" w:color="auto" w:fill="auto"/>
          </w:tcPr>
          <w:p w14:paraId="72CB374B" w14:textId="5CEACDCF" w:rsidR="005841D7" w:rsidRPr="00157B7A" w:rsidRDefault="004B7FDA" w:rsidP="00E04287">
            <w:pPr>
              <w:spacing w:after="0" w:line="240" w:lineRule="auto"/>
              <w:rPr>
                <w:b/>
                <w:bCs/>
                <w:iCs/>
              </w:rPr>
            </w:pPr>
            <w:r w:rsidRPr="005A3957">
              <w:rPr>
                <w:b/>
                <w:bCs/>
                <w:iCs/>
              </w:rPr>
              <w:t>SHUSA</w:t>
            </w:r>
            <w:r>
              <w:rPr>
                <w:b/>
                <w:bCs/>
                <w:iCs/>
              </w:rPr>
              <w:t xml:space="preserve"> Market and Liquidity Risk</w:t>
            </w:r>
          </w:p>
        </w:tc>
      </w:tr>
      <w:tr w:rsidR="00E04287" w:rsidRPr="00206D41" w14:paraId="7035919B" w14:textId="77777777" w:rsidTr="00B3414B">
        <w:trPr>
          <w:cantSplit/>
          <w:trHeight w:val="360"/>
        </w:trPr>
        <w:tc>
          <w:tcPr>
            <w:tcW w:w="1872" w:type="dxa"/>
            <w:shd w:val="clear" w:color="auto" w:fill="auto"/>
          </w:tcPr>
          <w:p w14:paraId="45150FD8" w14:textId="77777777" w:rsidR="00E04287" w:rsidRPr="00206D41" w:rsidRDefault="00E04287" w:rsidP="00E04287">
            <w:pPr>
              <w:ind w:left="-60"/>
              <w:rPr>
                <w:b/>
                <w:bCs/>
                <w:iCs/>
              </w:rPr>
            </w:pPr>
            <w:r>
              <w:rPr>
                <w:b/>
                <w:bCs/>
                <w:iCs/>
              </w:rPr>
              <w:t>TRIGGER AND LIMIT SETTING</w:t>
            </w:r>
          </w:p>
        </w:tc>
        <w:tc>
          <w:tcPr>
            <w:tcW w:w="7326" w:type="dxa"/>
            <w:shd w:val="clear" w:color="auto" w:fill="auto"/>
          </w:tcPr>
          <w:p w14:paraId="2A35E241" w14:textId="6C95C688" w:rsidR="00E04287" w:rsidRPr="00254F91" w:rsidRDefault="00AC755C" w:rsidP="00E04287">
            <w:pPr>
              <w:spacing w:after="0" w:line="240" w:lineRule="auto"/>
              <w:rPr>
                <w:rFonts w:asciiTheme="minorHAnsi" w:eastAsiaTheme="minorHAnsi" w:hAnsiTheme="minorHAnsi" w:cstheme="minorBidi"/>
                <w:iCs/>
              </w:rPr>
            </w:pPr>
            <w:r w:rsidRPr="003B5229">
              <w:rPr>
                <w:rFonts w:asciiTheme="minorHAnsi" w:eastAsiaTheme="minorHAnsi" w:hAnsiTheme="minorHAnsi" w:cstheme="minorBidi"/>
                <w:iCs/>
              </w:rPr>
              <w:t>SFR</w:t>
            </w:r>
            <w:r>
              <w:rPr>
                <w:rFonts w:asciiTheme="minorHAnsi" w:eastAsiaTheme="minorHAnsi" w:hAnsiTheme="minorHAnsi" w:cstheme="minorBidi"/>
                <w:iCs/>
              </w:rPr>
              <w:t xml:space="preserve"> trigger and</w:t>
            </w:r>
            <w:r w:rsidRPr="003B5229">
              <w:rPr>
                <w:rFonts w:asciiTheme="minorHAnsi" w:eastAsiaTheme="minorHAnsi" w:hAnsiTheme="minorHAnsi" w:cstheme="minorBidi"/>
                <w:iCs/>
              </w:rPr>
              <w:t xml:space="preserve"> limit are set keeping in mind the future regulatory minimum (100%) for the Net Stable Funding Ratio, adding a buffer per management discretion, and verifying against historical trends</w:t>
            </w:r>
            <w:r>
              <w:rPr>
                <w:rFonts w:asciiTheme="minorHAnsi" w:eastAsiaTheme="minorHAnsi" w:hAnsiTheme="minorHAnsi" w:cstheme="minorBidi"/>
                <w:iCs/>
              </w:rPr>
              <w:t>.</w:t>
            </w:r>
          </w:p>
        </w:tc>
      </w:tr>
      <w:tr w:rsidR="00E04287" w:rsidRPr="00206D41" w14:paraId="13B1724D" w14:textId="77777777" w:rsidTr="00B3414B">
        <w:trPr>
          <w:cantSplit/>
          <w:trHeight w:val="360"/>
        </w:trPr>
        <w:tc>
          <w:tcPr>
            <w:tcW w:w="1872" w:type="dxa"/>
            <w:shd w:val="clear" w:color="auto" w:fill="auto"/>
          </w:tcPr>
          <w:p w14:paraId="521FD7C6" w14:textId="77777777" w:rsidR="00E04287" w:rsidRPr="00206D41" w:rsidRDefault="00E04287" w:rsidP="00E04287">
            <w:pPr>
              <w:ind w:left="-60"/>
              <w:rPr>
                <w:b/>
                <w:bCs/>
                <w:iCs/>
              </w:rPr>
            </w:pPr>
            <w:r>
              <w:rPr>
                <w:b/>
                <w:bCs/>
                <w:iCs/>
              </w:rPr>
              <w:t>TESTING FREQUENCY</w:t>
            </w:r>
          </w:p>
        </w:tc>
        <w:tc>
          <w:tcPr>
            <w:tcW w:w="7326" w:type="dxa"/>
            <w:shd w:val="clear" w:color="auto" w:fill="auto"/>
          </w:tcPr>
          <w:p w14:paraId="2AA5B97F" w14:textId="77777777" w:rsidR="00E04287" w:rsidRPr="001B002E" w:rsidRDefault="00E04287" w:rsidP="00E04287">
            <w:pPr>
              <w:spacing w:after="0" w:line="240" w:lineRule="auto"/>
              <w:rPr>
                <w:iCs/>
              </w:rPr>
            </w:pPr>
            <w:r w:rsidRPr="001B002E">
              <w:rPr>
                <w:iCs/>
              </w:rPr>
              <w:t>Monthly.</w:t>
            </w:r>
          </w:p>
          <w:p w14:paraId="32CA0C90" w14:textId="77777777" w:rsidR="00E04287" w:rsidRDefault="00E04287" w:rsidP="00E04287">
            <w:pPr>
              <w:spacing w:after="0" w:line="240" w:lineRule="auto"/>
              <w:rPr>
                <w:bCs/>
                <w:iCs/>
              </w:rPr>
            </w:pPr>
            <w:r w:rsidRPr="001B002E">
              <w:rPr>
                <w:iCs/>
              </w:rPr>
              <w:t xml:space="preserve">The </w:t>
            </w:r>
            <w:r w:rsidRPr="001B002E">
              <w:rPr>
                <w:bCs/>
                <w:iCs/>
              </w:rPr>
              <w:t>ratio of total structural funding to total structural needs</w:t>
            </w:r>
            <w:r>
              <w:rPr>
                <w:rStyle w:val="FootnoteReference"/>
                <w:bCs/>
                <w:iCs/>
              </w:rPr>
              <w:footnoteReference w:id="13"/>
            </w:r>
            <w:r w:rsidRPr="001B002E">
              <w:rPr>
                <w:bCs/>
                <w:iCs/>
              </w:rPr>
              <w:t>:</w:t>
            </w:r>
          </w:p>
          <w:p w14:paraId="0C50B879" w14:textId="77777777" w:rsidR="00E04287" w:rsidRDefault="00DB2B0B" w:rsidP="00E04287">
            <w:pPr>
              <w:spacing w:after="0" w:line="240" w:lineRule="auto"/>
              <w:jc w:val="center"/>
              <w:rPr>
                <w:bCs/>
                <w:iCs/>
                <w:sz w:val="28"/>
                <w:szCs w:val="28"/>
              </w:rPr>
            </w:pPr>
            <m:oMath>
              <m:f>
                <m:fPr>
                  <m:ctrlPr>
                    <w:rPr>
                      <w:rFonts w:ascii="Cambria Math" w:hAnsi="Cambria Math"/>
                      <w:bCs/>
                      <w:iCs/>
                      <w:sz w:val="28"/>
                      <w:szCs w:val="28"/>
                    </w:rPr>
                  </m:ctrlPr>
                </m:fPr>
                <m:num>
                  <m:r>
                    <m:rPr>
                      <m:sty m:val="p"/>
                    </m:rPr>
                    <w:rPr>
                      <w:rFonts w:ascii="Cambria Math" w:hAnsi="Cambria Math"/>
                      <w:sz w:val="28"/>
                      <w:szCs w:val="28"/>
                    </w:rPr>
                    <m:t>Structural funding</m:t>
                  </m:r>
                </m:num>
                <m:den>
                  <m:r>
                    <m:rPr>
                      <m:sty m:val="p"/>
                    </m:rPr>
                    <w:rPr>
                      <w:rFonts w:ascii="Cambria Math" w:hAnsi="Cambria Math"/>
                      <w:sz w:val="28"/>
                      <w:szCs w:val="28"/>
                    </w:rPr>
                    <m:t>Structural needs</m:t>
                  </m:r>
                </m:den>
              </m:f>
            </m:oMath>
            <w:r w:rsidR="00E04287">
              <w:rPr>
                <w:bCs/>
                <w:iCs/>
                <w:sz w:val="28"/>
                <w:szCs w:val="28"/>
              </w:rPr>
              <w:t xml:space="preserve"> </w:t>
            </w:r>
          </w:p>
          <w:p w14:paraId="0FC1AA5D" w14:textId="77777777" w:rsidR="00E04287" w:rsidRPr="002E30C5" w:rsidRDefault="00E04287" w:rsidP="00E04287">
            <w:pPr>
              <w:spacing w:after="0" w:line="240" w:lineRule="auto"/>
              <w:jc w:val="center"/>
              <w:rPr>
                <w:bCs/>
                <w:iCs/>
                <w:sz w:val="28"/>
                <w:szCs w:val="28"/>
              </w:rPr>
            </w:pPr>
          </w:p>
        </w:tc>
      </w:tr>
      <w:tr w:rsidR="00E04287" w:rsidRPr="00206D41" w14:paraId="27D81131" w14:textId="77777777" w:rsidTr="00B3414B">
        <w:trPr>
          <w:trHeight w:val="525"/>
        </w:trPr>
        <w:tc>
          <w:tcPr>
            <w:tcW w:w="1872" w:type="dxa"/>
            <w:shd w:val="clear" w:color="auto" w:fill="auto"/>
          </w:tcPr>
          <w:p w14:paraId="197AB683" w14:textId="77777777" w:rsidR="00E04287" w:rsidRPr="00206D41" w:rsidRDefault="00E04287" w:rsidP="00E04287">
            <w:pPr>
              <w:rPr>
                <w:b/>
                <w:bCs/>
                <w:iCs/>
              </w:rPr>
            </w:pPr>
            <w:r w:rsidRPr="00206D41">
              <w:rPr>
                <w:b/>
                <w:bCs/>
                <w:iCs/>
              </w:rPr>
              <w:t>SOURCE OF INFORMATION</w:t>
            </w:r>
          </w:p>
        </w:tc>
        <w:tc>
          <w:tcPr>
            <w:tcW w:w="7326" w:type="dxa"/>
            <w:shd w:val="clear" w:color="auto" w:fill="auto"/>
          </w:tcPr>
          <w:p w14:paraId="13B87E75" w14:textId="77777777" w:rsidR="00E04287" w:rsidRPr="005841D7" w:rsidRDefault="00E04287" w:rsidP="005841D7">
            <w:pPr>
              <w:spacing w:after="0" w:line="240" w:lineRule="auto"/>
              <w:rPr>
                <w:bCs/>
                <w:iCs/>
              </w:rPr>
            </w:pPr>
            <w:r>
              <w:rPr>
                <w:bCs/>
                <w:iCs/>
              </w:rPr>
              <w:t xml:space="preserve">SHUSA - Liquidity risk  - </w:t>
            </w:r>
            <w:r w:rsidRPr="000B3F8D">
              <w:rPr>
                <w:bCs/>
                <w:iCs/>
              </w:rPr>
              <w:t>File name: “201511_O_SFR_Detail”</w:t>
            </w:r>
          </w:p>
        </w:tc>
      </w:tr>
    </w:tbl>
    <w:p w14:paraId="2718519B" w14:textId="77777777" w:rsidR="000076CD" w:rsidRDefault="000076CD" w:rsidP="000076CD">
      <w:pPr>
        <w:pStyle w:val="SANUS2"/>
        <w:keepNext/>
        <w:ind w:left="680"/>
      </w:pPr>
    </w:p>
    <w:p w14:paraId="6EE63DB4" w14:textId="329DC73E" w:rsidR="004B7FDA" w:rsidRDefault="004B7FDA" w:rsidP="004B7FDA">
      <w:pPr>
        <w:pStyle w:val="SANUS2"/>
        <w:numPr>
          <w:ilvl w:val="1"/>
          <w:numId w:val="1"/>
        </w:numPr>
      </w:pPr>
      <w:bookmarkStart w:id="890" w:name="_Toc453849301"/>
      <w:r>
        <w:t>Liquidity Horizon – Wholesale Scenario</w:t>
      </w:r>
      <w:bookmarkEnd w:id="890"/>
      <w:r>
        <w:t xml:space="preserve"> </w:t>
      </w:r>
    </w:p>
    <w:tbl>
      <w:tblPr>
        <w:tblpPr w:leftFromText="180" w:rightFromText="180" w:vertAnchor="text" w:tblpX="168" w:tblpY="1"/>
        <w:tblOverlap w:val="never"/>
        <w:tblW w:w="9198"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000" w:firstRow="0" w:lastRow="0" w:firstColumn="0" w:lastColumn="0" w:noHBand="0" w:noVBand="0"/>
      </w:tblPr>
      <w:tblGrid>
        <w:gridCol w:w="1872"/>
        <w:gridCol w:w="7326"/>
      </w:tblGrid>
      <w:tr w:rsidR="004B7FDA" w:rsidRPr="00206D41" w14:paraId="7CEF2F3B" w14:textId="77777777" w:rsidTr="00564499">
        <w:trPr>
          <w:trHeight w:val="462"/>
        </w:trPr>
        <w:tc>
          <w:tcPr>
            <w:tcW w:w="1872" w:type="dxa"/>
            <w:shd w:val="clear" w:color="auto" w:fill="auto"/>
          </w:tcPr>
          <w:p w14:paraId="1CC6438F" w14:textId="77777777" w:rsidR="004B7FDA" w:rsidRPr="00206D41" w:rsidRDefault="004B7FDA" w:rsidP="00564499">
            <w:pPr>
              <w:rPr>
                <w:b/>
                <w:bCs/>
                <w:iCs/>
              </w:rPr>
            </w:pPr>
            <w:r>
              <w:rPr>
                <w:b/>
                <w:bCs/>
                <w:iCs/>
              </w:rPr>
              <w:t>DEFINITION</w:t>
            </w:r>
          </w:p>
        </w:tc>
        <w:tc>
          <w:tcPr>
            <w:tcW w:w="7326" w:type="dxa"/>
            <w:shd w:val="clear" w:color="auto" w:fill="auto"/>
          </w:tcPr>
          <w:p w14:paraId="7D1A81B6" w14:textId="7B63E7B3" w:rsidR="004B7FDA" w:rsidRPr="00206D41" w:rsidRDefault="00AC755C" w:rsidP="00564499">
            <w:pPr>
              <w:spacing w:after="0" w:line="240" w:lineRule="auto"/>
              <w:rPr>
                <w:bCs/>
                <w:iCs/>
              </w:rPr>
            </w:pPr>
            <w:r>
              <w:rPr>
                <w:bCs/>
                <w:iCs/>
              </w:rPr>
              <w:t>The metric is designed</w:t>
            </w:r>
            <w:r w:rsidRPr="00EE32F1">
              <w:rPr>
                <w:bCs/>
                <w:iCs/>
              </w:rPr>
              <w:t xml:space="preserve"> to measure the amount of days remaining until the bank will have a cash shortfall and only considers wholesale term funding, cash, and unencumbered securities. The metric does not consider Core Deposits/Loans.</w:t>
            </w:r>
          </w:p>
        </w:tc>
      </w:tr>
      <w:tr w:rsidR="004B7FDA" w:rsidRPr="00206D41" w14:paraId="77FC802A" w14:textId="77777777" w:rsidTr="00564499">
        <w:trPr>
          <w:cantSplit/>
          <w:trHeight w:val="429"/>
        </w:trPr>
        <w:tc>
          <w:tcPr>
            <w:tcW w:w="1872" w:type="dxa"/>
            <w:shd w:val="clear" w:color="auto" w:fill="auto"/>
          </w:tcPr>
          <w:p w14:paraId="7EF3DE0B" w14:textId="77777777" w:rsidR="004B7FDA" w:rsidRPr="00206D41" w:rsidRDefault="004B7FDA" w:rsidP="00564499">
            <w:pPr>
              <w:rPr>
                <w:b/>
                <w:bCs/>
                <w:iCs/>
              </w:rPr>
            </w:pPr>
            <w:r>
              <w:rPr>
                <w:b/>
                <w:bCs/>
                <w:iCs/>
              </w:rPr>
              <w:t>RISK TYPE</w:t>
            </w:r>
          </w:p>
        </w:tc>
        <w:tc>
          <w:tcPr>
            <w:tcW w:w="7326" w:type="dxa"/>
            <w:shd w:val="clear" w:color="auto" w:fill="auto"/>
          </w:tcPr>
          <w:p w14:paraId="6C9A56B0" w14:textId="77777777" w:rsidR="004B7FDA" w:rsidRPr="00206D41" w:rsidRDefault="004B7FDA" w:rsidP="00564499">
            <w:pPr>
              <w:tabs>
                <w:tab w:val="left" w:pos="2145"/>
              </w:tabs>
              <w:spacing w:after="0" w:line="240" w:lineRule="auto"/>
              <w:rPr>
                <w:bCs/>
                <w:iCs/>
              </w:rPr>
            </w:pPr>
            <w:r>
              <w:rPr>
                <w:bCs/>
                <w:iCs/>
              </w:rPr>
              <w:t>Liquidity / Funding Risk</w:t>
            </w:r>
            <w:r>
              <w:rPr>
                <w:bCs/>
                <w:iCs/>
              </w:rPr>
              <w:tab/>
            </w:r>
          </w:p>
        </w:tc>
      </w:tr>
      <w:tr w:rsidR="004B7FDA" w:rsidRPr="00206D41" w14:paraId="58606AF5" w14:textId="77777777" w:rsidTr="00564499">
        <w:trPr>
          <w:cantSplit/>
          <w:trHeight w:val="429"/>
        </w:trPr>
        <w:tc>
          <w:tcPr>
            <w:tcW w:w="1872" w:type="dxa"/>
            <w:shd w:val="clear" w:color="auto" w:fill="auto"/>
          </w:tcPr>
          <w:p w14:paraId="2CCDD08F" w14:textId="77777777" w:rsidR="004B7FDA" w:rsidRDefault="004B7FDA" w:rsidP="00564499">
            <w:pPr>
              <w:rPr>
                <w:b/>
                <w:bCs/>
                <w:iCs/>
              </w:rPr>
            </w:pPr>
            <w:r>
              <w:rPr>
                <w:b/>
                <w:bCs/>
                <w:iCs/>
              </w:rPr>
              <w:t>RATIONALE</w:t>
            </w:r>
          </w:p>
        </w:tc>
        <w:tc>
          <w:tcPr>
            <w:tcW w:w="7326" w:type="dxa"/>
            <w:shd w:val="clear" w:color="auto" w:fill="auto"/>
          </w:tcPr>
          <w:p w14:paraId="6EC6B6D1" w14:textId="58C8CBE6" w:rsidR="004B7FDA" w:rsidRDefault="00AC755C" w:rsidP="00564499">
            <w:pPr>
              <w:tabs>
                <w:tab w:val="left" w:pos="2145"/>
              </w:tabs>
              <w:spacing w:after="0" w:line="240" w:lineRule="auto"/>
              <w:rPr>
                <w:bCs/>
                <w:iCs/>
              </w:rPr>
            </w:pPr>
            <w:r>
              <w:rPr>
                <w:bCs/>
                <w:iCs/>
              </w:rPr>
              <w:t>Measures</w:t>
            </w:r>
            <w:r w:rsidRPr="00EE32F1">
              <w:rPr>
                <w:bCs/>
                <w:iCs/>
              </w:rPr>
              <w:t xml:space="preserve"> the amount of liquidity that would ensure survival horizon equal to a minimum number of days in a wholesale scenario with no funding renewal and no additional sources of funding.  The RAS metric only considers SHUSA (Parent Only).</w:t>
            </w:r>
          </w:p>
        </w:tc>
      </w:tr>
      <w:tr w:rsidR="004B7FDA" w:rsidRPr="00206D41" w14:paraId="57D76A09" w14:textId="77777777" w:rsidTr="00564499">
        <w:trPr>
          <w:cantSplit/>
          <w:trHeight w:val="270"/>
        </w:trPr>
        <w:tc>
          <w:tcPr>
            <w:tcW w:w="1872" w:type="dxa"/>
            <w:shd w:val="clear" w:color="auto" w:fill="auto"/>
          </w:tcPr>
          <w:p w14:paraId="05F41CBD" w14:textId="77777777" w:rsidR="004B7FDA" w:rsidRPr="00206D41" w:rsidRDefault="004B7FDA" w:rsidP="00564499">
            <w:pPr>
              <w:rPr>
                <w:b/>
                <w:bCs/>
                <w:iCs/>
              </w:rPr>
            </w:pPr>
            <w:r>
              <w:rPr>
                <w:b/>
                <w:bCs/>
                <w:iCs/>
              </w:rPr>
              <w:t>ENTITY</w:t>
            </w:r>
          </w:p>
        </w:tc>
        <w:tc>
          <w:tcPr>
            <w:tcW w:w="7326" w:type="dxa"/>
            <w:shd w:val="clear" w:color="auto" w:fill="auto"/>
          </w:tcPr>
          <w:p w14:paraId="00FF2913" w14:textId="77777777" w:rsidR="004B7FDA" w:rsidRPr="00157B7A" w:rsidRDefault="004B7FDA" w:rsidP="00564499">
            <w:pPr>
              <w:spacing w:after="0" w:line="240" w:lineRule="auto"/>
              <w:rPr>
                <w:b/>
                <w:bCs/>
                <w:iCs/>
              </w:rPr>
            </w:pPr>
            <w:r w:rsidRPr="00157B7A">
              <w:rPr>
                <w:b/>
                <w:bCs/>
                <w:iCs/>
              </w:rPr>
              <w:t>SHUSA</w:t>
            </w:r>
          </w:p>
        </w:tc>
      </w:tr>
      <w:tr w:rsidR="004B7FDA" w:rsidRPr="00206D41" w14:paraId="57901309" w14:textId="77777777" w:rsidTr="00564499">
        <w:trPr>
          <w:trHeight w:val="270"/>
        </w:trPr>
        <w:tc>
          <w:tcPr>
            <w:tcW w:w="1872" w:type="dxa"/>
            <w:shd w:val="clear" w:color="auto" w:fill="auto"/>
          </w:tcPr>
          <w:p w14:paraId="58F8BCFF" w14:textId="01D4A164" w:rsidR="004B7FDA" w:rsidRPr="00206D41" w:rsidRDefault="00511F11" w:rsidP="00564499">
            <w:pPr>
              <w:rPr>
                <w:b/>
                <w:bCs/>
                <w:iCs/>
              </w:rPr>
            </w:pPr>
            <w:r>
              <w:rPr>
                <w:rFonts w:asciiTheme="minorHAnsi" w:hAnsiTheme="minorHAnsi"/>
                <w:b/>
                <w:bCs/>
                <w:iCs/>
              </w:rPr>
              <w:t>METRIC PROVIDER</w:t>
            </w:r>
          </w:p>
        </w:tc>
        <w:tc>
          <w:tcPr>
            <w:tcW w:w="7326" w:type="dxa"/>
            <w:shd w:val="clear" w:color="auto" w:fill="auto"/>
          </w:tcPr>
          <w:p w14:paraId="597779FF" w14:textId="3E05C6B8" w:rsidR="004B7FDA" w:rsidRPr="00157B7A" w:rsidRDefault="004B7FDA" w:rsidP="00564499">
            <w:pPr>
              <w:spacing w:after="0" w:line="240" w:lineRule="auto"/>
              <w:rPr>
                <w:b/>
                <w:bCs/>
                <w:iCs/>
              </w:rPr>
            </w:pPr>
            <w:r w:rsidRPr="005A3957">
              <w:rPr>
                <w:b/>
                <w:bCs/>
                <w:iCs/>
              </w:rPr>
              <w:t>SHUSA</w:t>
            </w:r>
            <w:r>
              <w:rPr>
                <w:b/>
                <w:bCs/>
                <w:iCs/>
              </w:rPr>
              <w:t xml:space="preserve"> Market and Liquidity Risk</w:t>
            </w:r>
          </w:p>
        </w:tc>
      </w:tr>
      <w:tr w:rsidR="004B7FDA" w:rsidRPr="00206D41" w14:paraId="5386897F" w14:textId="77777777" w:rsidTr="00564499">
        <w:trPr>
          <w:cantSplit/>
          <w:trHeight w:val="360"/>
        </w:trPr>
        <w:tc>
          <w:tcPr>
            <w:tcW w:w="1872" w:type="dxa"/>
            <w:shd w:val="clear" w:color="auto" w:fill="auto"/>
          </w:tcPr>
          <w:p w14:paraId="14EFED05" w14:textId="77777777" w:rsidR="004B7FDA" w:rsidRPr="00206D41" w:rsidRDefault="004B7FDA" w:rsidP="00564499">
            <w:pPr>
              <w:ind w:left="-60"/>
              <w:rPr>
                <w:b/>
                <w:bCs/>
                <w:iCs/>
              </w:rPr>
            </w:pPr>
            <w:r>
              <w:rPr>
                <w:b/>
                <w:bCs/>
                <w:iCs/>
              </w:rPr>
              <w:t>TRIGGER AND LIMIT SETTING</w:t>
            </w:r>
          </w:p>
        </w:tc>
        <w:tc>
          <w:tcPr>
            <w:tcW w:w="7326" w:type="dxa"/>
            <w:shd w:val="clear" w:color="auto" w:fill="auto"/>
          </w:tcPr>
          <w:p w14:paraId="2F93A8E7" w14:textId="77777777" w:rsidR="00AC755C" w:rsidRDefault="00AC755C" w:rsidP="00AC755C">
            <w:pPr>
              <w:spacing w:after="0" w:line="240" w:lineRule="auto"/>
              <w:rPr>
                <w:rFonts w:asciiTheme="minorHAnsi" w:eastAsiaTheme="minorHAnsi" w:hAnsiTheme="minorHAnsi" w:cstheme="minorBidi"/>
                <w:iCs/>
              </w:rPr>
            </w:pPr>
            <w:r>
              <w:rPr>
                <w:rFonts w:asciiTheme="minorHAnsi" w:eastAsiaTheme="minorHAnsi" w:hAnsiTheme="minorHAnsi" w:cstheme="minorBidi"/>
                <w:iCs/>
              </w:rPr>
              <w:t xml:space="preserve">The </w:t>
            </w:r>
            <w:r w:rsidRPr="00D67210">
              <w:rPr>
                <w:rFonts w:asciiTheme="minorHAnsi" w:eastAsiaTheme="minorHAnsi" w:hAnsiTheme="minorHAnsi" w:cstheme="minorBidi"/>
                <w:iCs/>
              </w:rPr>
              <w:t>Liquidity Horizon in a Wholesale Scenario (Parent-Only)</w:t>
            </w:r>
            <w:r>
              <w:rPr>
                <w:rFonts w:asciiTheme="minorHAnsi" w:eastAsiaTheme="minorHAnsi" w:hAnsiTheme="minorHAnsi" w:cstheme="minorBidi"/>
                <w:iCs/>
              </w:rPr>
              <w:t xml:space="preserve"> limit and trigger are set as follows:</w:t>
            </w:r>
          </w:p>
          <w:p w14:paraId="4EC365E8" w14:textId="77777777" w:rsidR="00AC755C" w:rsidRDefault="00AC755C" w:rsidP="00AC755C">
            <w:pPr>
              <w:pStyle w:val="ListParagraph"/>
              <w:numPr>
                <w:ilvl w:val="0"/>
                <w:numId w:val="63"/>
              </w:numPr>
              <w:spacing w:after="0" w:line="240" w:lineRule="auto"/>
              <w:rPr>
                <w:iCs/>
              </w:rPr>
            </w:pPr>
            <w:r>
              <w:rPr>
                <w:iCs/>
              </w:rPr>
              <w:t>Amber trigger: &lt;=12 Months</w:t>
            </w:r>
          </w:p>
          <w:p w14:paraId="392953C4" w14:textId="77777777" w:rsidR="00AC755C" w:rsidRDefault="00AC755C" w:rsidP="00AC755C">
            <w:pPr>
              <w:pStyle w:val="ListParagraph"/>
              <w:numPr>
                <w:ilvl w:val="0"/>
                <w:numId w:val="63"/>
              </w:numPr>
              <w:spacing w:after="0" w:line="240" w:lineRule="auto"/>
              <w:rPr>
                <w:iCs/>
              </w:rPr>
            </w:pPr>
            <w:r>
              <w:rPr>
                <w:iCs/>
              </w:rPr>
              <w:t xml:space="preserve">Red limit: </w:t>
            </w:r>
            <w:r>
              <w:t xml:space="preserve"> </w:t>
            </w:r>
            <w:r>
              <w:rPr>
                <w:iCs/>
              </w:rPr>
              <w:t>&lt;=6 Months</w:t>
            </w:r>
          </w:p>
          <w:p w14:paraId="53648D1E" w14:textId="482ADE01" w:rsidR="004B7FDA" w:rsidRPr="00254F91" w:rsidRDefault="004B7FDA" w:rsidP="00564499">
            <w:pPr>
              <w:spacing w:after="0" w:line="240" w:lineRule="auto"/>
              <w:rPr>
                <w:rFonts w:asciiTheme="minorHAnsi" w:eastAsiaTheme="minorHAnsi" w:hAnsiTheme="minorHAnsi" w:cstheme="minorBidi"/>
                <w:iCs/>
              </w:rPr>
            </w:pPr>
          </w:p>
        </w:tc>
      </w:tr>
      <w:tr w:rsidR="004B7FDA" w:rsidRPr="00206D41" w14:paraId="1DF392FE" w14:textId="77777777" w:rsidTr="00564499">
        <w:trPr>
          <w:cantSplit/>
          <w:trHeight w:val="360"/>
        </w:trPr>
        <w:tc>
          <w:tcPr>
            <w:tcW w:w="1872" w:type="dxa"/>
            <w:shd w:val="clear" w:color="auto" w:fill="auto"/>
          </w:tcPr>
          <w:p w14:paraId="6B559F8E" w14:textId="77777777" w:rsidR="004B7FDA" w:rsidRPr="00206D41" w:rsidRDefault="004B7FDA" w:rsidP="00564499">
            <w:pPr>
              <w:ind w:left="-60"/>
              <w:rPr>
                <w:b/>
                <w:bCs/>
                <w:iCs/>
              </w:rPr>
            </w:pPr>
            <w:r>
              <w:rPr>
                <w:b/>
                <w:bCs/>
                <w:iCs/>
              </w:rPr>
              <w:t>TESTING FREQUENCY</w:t>
            </w:r>
          </w:p>
        </w:tc>
        <w:tc>
          <w:tcPr>
            <w:tcW w:w="7326" w:type="dxa"/>
            <w:shd w:val="clear" w:color="auto" w:fill="auto"/>
          </w:tcPr>
          <w:p w14:paraId="30D46BC8" w14:textId="77777777" w:rsidR="00AC755C" w:rsidRDefault="00AC755C" w:rsidP="00AC755C">
            <w:pPr>
              <w:spacing w:after="0" w:line="240" w:lineRule="auto"/>
              <w:rPr>
                <w:rFonts w:asciiTheme="minorHAnsi" w:eastAsiaTheme="minorHAnsi" w:hAnsiTheme="minorHAnsi" w:cstheme="minorBidi"/>
                <w:iCs/>
              </w:rPr>
            </w:pPr>
            <w:r>
              <w:rPr>
                <w:rFonts w:asciiTheme="minorHAnsi" w:eastAsiaTheme="minorHAnsi" w:hAnsiTheme="minorHAnsi" w:cstheme="minorBidi"/>
                <w:iCs/>
              </w:rPr>
              <w:t>Monthly.</w:t>
            </w:r>
          </w:p>
          <w:p w14:paraId="61C35728" w14:textId="60379462" w:rsidR="004B7FDA" w:rsidRPr="002E30C5" w:rsidRDefault="00AC755C" w:rsidP="00AC755C">
            <w:pPr>
              <w:spacing w:after="0" w:line="240" w:lineRule="auto"/>
              <w:rPr>
                <w:bCs/>
                <w:iCs/>
                <w:sz w:val="28"/>
                <w:szCs w:val="28"/>
              </w:rPr>
            </w:pPr>
            <w:r>
              <w:rPr>
                <w:rFonts w:asciiTheme="minorHAnsi" w:eastAsiaTheme="minorHAnsi" w:hAnsiTheme="minorHAnsi" w:cstheme="minorBidi"/>
                <w:iCs/>
              </w:rPr>
              <w:t>T</w:t>
            </w:r>
            <w:r w:rsidRPr="008913F6">
              <w:rPr>
                <w:iCs/>
              </w:rPr>
              <w:t xml:space="preserve">he only items considered </w:t>
            </w:r>
            <w:r>
              <w:rPr>
                <w:iCs/>
              </w:rPr>
              <w:t>in the calculation of the metric</w:t>
            </w:r>
            <w:r w:rsidRPr="008913F6">
              <w:rPr>
                <w:iCs/>
              </w:rPr>
              <w:t xml:space="preserve"> are wholesale term funding, cash, and unencumbered securities. Only contractual outflows are included and debt is by maturity, rather than by call date</w:t>
            </w:r>
            <w:r w:rsidRPr="00C11C6A">
              <w:rPr>
                <w:iCs/>
              </w:rPr>
              <w:t xml:space="preserve">. </w:t>
            </w:r>
            <w:r>
              <w:rPr>
                <w:iCs/>
              </w:rPr>
              <w:t xml:space="preserve"> The Liquidity Horizon equals the point at which cash and unencumbered securities are not sufficient to meet the cumulative outflows of the wholesale term funding.</w:t>
            </w:r>
          </w:p>
        </w:tc>
      </w:tr>
      <w:tr w:rsidR="004B7FDA" w:rsidRPr="00206D41" w14:paraId="1929EA07" w14:textId="77777777" w:rsidTr="00564499">
        <w:trPr>
          <w:trHeight w:val="525"/>
        </w:trPr>
        <w:tc>
          <w:tcPr>
            <w:tcW w:w="1872" w:type="dxa"/>
            <w:shd w:val="clear" w:color="auto" w:fill="auto"/>
          </w:tcPr>
          <w:p w14:paraId="245ADE9C" w14:textId="77777777" w:rsidR="004B7FDA" w:rsidRPr="00206D41" w:rsidRDefault="004B7FDA" w:rsidP="00564499">
            <w:pPr>
              <w:rPr>
                <w:b/>
                <w:bCs/>
                <w:iCs/>
              </w:rPr>
            </w:pPr>
            <w:r w:rsidRPr="00206D41">
              <w:rPr>
                <w:b/>
                <w:bCs/>
                <w:iCs/>
              </w:rPr>
              <w:t>SOURCE OF INFORMATION</w:t>
            </w:r>
          </w:p>
        </w:tc>
        <w:tc>
          <w:tcPr>
            <w:tcW w:w="7326" w:type="dxa"/>
            <w:shd w:val="clear" w:color="auto" w:fill="auto"/>
          </w:tcPr>
          <w:p w14:paraId="4D1AD353" w14:textId="275C4495" w:rsidR="004B7FDA" w:rsidRPr="005841D7" w:rsidRDefault="00AC755C" w:rsidP="00564499">
            <w:pPr>
              <w:spacing w:after="0" w:line="240" w:lineRule="auto"/>
              <w:rPr>
                <w:bCs/>
                <w:iCs/>
              </w:rPr>
            </w:pPr>
            <w:r w:rsidRPr="00C05360">
              <w:rPr>
                <w:bCs/>
                <w:iCs/>
              </w:rPr>
              <w:t>QRM; Source and Use Report; Investment Portfolio Report; GL</w:t>
            </w:r>
            <w:r>
              <w:rPr>
                <w:bCs/>
                <w:iCs/>
              </w:rPr>
              <w:t xml:space="preserve"> - </w:t>
            </w:r>
            <w:r w:rsidRPr="000B3F8D">
              <w:rPr>
                <w:bCs/>
                <w:iCs/>
              </w:rPr>
              <w:tab/>
              <w:t>File name: “</w:t>
            </w:r>
            <w:r>
              <w:rPr>
                <w:bCs/>
                <w:iCs/>
              </w:rPr>
              <w:t>Liquidity_Limit_SHUSA_</w:t>
            </w:r>
            <w:r>
              <w:rPr>
                <w:bCs/>
                <w:i/>
                <w:iCs/>
              </w:rPr>
              <w:t>mmyyyy</w:t>
            </w:r>
            <w:r>
              <w:rPr>
                <w:bCs/>
                <w:iCs/>
              </w:rPr>
              <w:t>.xls</w:t>
            </w:r>
            <w:r w:rsidRPr="000B3F8D">
              <w:rPr>
                <w:bCs/>
                <w:iCs/>
              </w:rPr>
              <w:t>”</w:t>
            </w:r>
          </w:p>
        </w:tc>
      </w:tr>
    </w:tbl>
    <w:p w14:paraId="76B870A4" w14:textId="77777777" w:rsidR="004B7FDA" w:rsidRDefault="004B7FDA" w:rsidP="000076CD">
      <w:pPr>
        <w:pStyle w:val="SANUS2"/>
        <w:keepNext/>
        <w:ind w:left="680"/>
      </w:pPr>
    </w:p>
    <w:p w14:paraId="6AFF61C0" w14:textId="77777777" w:rsidR="00863562" w:rsidRPr="00090B3E" w:rsidRDefault="00863562" w:rsidP="00863562">
      <w:pPr>
        <w:pStyle w:val="SANUS2"/>
        <w:numPr>
          <w:ilvl w:val="1"/>
          <w:numId w:val="1"/>
        </w:numPr>
        <w:tabs>
          <w:tab w:val="num" w:pos="540"/>
        </w:tabs>
        <w:ind w:left="567" w:hanging="567"/>
        <w:rPr>
          <w:color w:val="000000" w:themeColor="text1"/>
        </w:rPr>
      </w:pPr>
      <w:bookmarkStart w:id="891" w:name="_Toc452544183"/>
      <w:bookmarkStart w:id="892" w:name="_Toc453849302"/>
      <w:r>
        <w:rPr>
          <w:color w:val="000000" w:themeColor="text1"/>
        </w:rPr>
        <w:t>Asset encumbrance</w:t>
      </w:r>
      <w:bookmarkEnd w:id="891"/>
      <w:bookmarkEnd w:id="892"/>
    </w:p>
    <w:tbl>
      <w:tblPr>
        <w:tblpPr w:leftFromText="180" w:rightFromText="180" w:vertAnchor="text" w:tblpX="168" w:tblpY="1"/>
        <w:tblOverlap w:val="never"/>
        <w:tblW w:w="9198"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000" w:firstRow="0" w:lastRow="0" w:firstColumn="0" w:lastColumn="0" w:noHBand="0" w:noVBand="0"/>
      </w:tblPr>
      <w:tblGrid>
        <w:gridCol w:w="1728"/>
        <w:gridCol w:w="7470"/>
      </w:tblGrid>
      <w:tr w:rsidR="00863562" w:rsidRPr="00206D41" w14:paraId="24A8F301" w14:textId="77777777" w:rsidTr="00BB7C56">
        <w:trPr>
          <w:trHeight w:val="462"/>
        </w:trPr>
        <w:tc>
          <w:tcPr>
            <w:tcW w:w="1728" w:type="dxa"/>
            <w:shd w:val="clear" w:color="auto" w:fill="auto"/>
          </w:tcPr>
          <w:p w14:paraId="6255F6AA" w14:textId="77777777" w:rsidR="00863562" w:rsidRPr="00206D41" w:rsidRDefault="00863562" w:rsidP="00BB7C56">
            <w:pPr>
              <w:rPr>
                <w:b/>
                <w:bCs/>
                <w:iCs/>
              </w:rPr>
            </w:pPr>
            <w:r>
              <w:rPr>
                <w:b/>
                <w:bCs/>
                <w:iCs/>
              </w:rPr>
              <w:t>DEFINITION</w:t>
            </w:r>
          </w:p>
        </w:tc>
        <w:tc>
          <w:tcPr>
            <w:tcW w:w="7470" w:type="dxa"/>
            <w:shd w:val="clear" w:color="auto" w:fill="auto"/>
          </w:tcPr>
          <w:p w14:paraId="5E7E0C41" w14:textId="4E7670D6" w:rsidR="00AD2CAD" w:rsidRPr="00426737" w:rsidRDefault="00AC755C" w:rsidP="00AC755C">
            <w:pPr>
              <w:spacing w:after="0"/>
            </w:pPr>
            <w:r>
              <w:t>A</w:t>
            </w:r>
            <w:r w:rsidRPr="006A327B">
              <w:t>ssets encumbered by guarantees contributed in mid</w:t>
            </w:r>
            <w:r>
              <w:t>-</w:t>
            </w:r>
            <w:r w:rsidRPr="006A327B">
              <w:t xml:space="preserve"> and long</w:t>
            </w:r>
            <w:r>
              <w:t>-</w:t>
            </w:r>
            <w:r w:rsidRPr="006A327B">
              <w:t>term financing op</w:t>
            </w:r>
            <w:r>
              <w:t>erations in order to finance</w:t>
            </w:r>
            <w:r w:rsidRPr="006A327B">
              <w:t xml:space="preserve"> balance sheet commercial ac</w:t>
            </w:r>
            <w:r>
              <w:t>tivity (covered bonds, securitiz</w:t>
            </w:r>
            <w:r w:rsidRPr="006A327B">
              <w:t>ations</w:t>
            </w:r>
            <w:r>
              <w:t xml:space="preserve"> and TLTRO) as a percentage of total assets.</w:t>
            </w:r>
          </w:p>
        </w:tc>
      </w:tr>
      <w:tr w:rsidR="00863562" w:rsidRPr="00206D41" w14:paraId="107EBBA7" w14:textId="77777777" w:rsidTr="00BB7C56">
        <w:trPr>
          <w:trHeight w:val="462"/>
        </w:trPr>
        <w:tc>
          <w:tcPr>
            <w:tcW w:w="1728" w:type="dxa"/>
            <w:shd w:val="clear" w:color="auto" w:fill="auto"/>
          </w:tcPr>
          <w:p w14:paraId="007F3B98" w14:textId="77777777" w:rsidR="00863562" w:rsidRPr="00206D41" w:rsidRDefault="00863562" w:rsidP="00BB7C56">
            <w:pPr>
              <w:rPr>
                <w:b/>
                <w:bCs/>
                <w:iCs/>
              </w:rPr>
            </w:pPr>
            <w:r>
              <w:rPr>
                <w:b/>
                <w:bCs/>
                <w:iCs/>
              </w:rPr>
              <w:t>RISK TYPE</w:t>
            </w:r>
          </w:p>
        </w:tc>
        <w:tc>
          <w:tcPr>
            <w:tcW w:w="7470" w:type="dxa"/>
            <w:shd w:val="clear" w:color="auto" w:fill="auto"/>
          </w:tcPr>
          <w:p w14:paraId="2C1DDB9C" w14:textId="77777777" w:rsidR="00863562" w:rsidRPr="00206D41" w:rsidRDefault="00863562" w:rsidP="00BB7C56">
            <w:pPr>
              <w:spacing w:after="0" w:line="240" w:lineRule="auto"/>
              <w:rPr>
                <w:bCs/>
                <w:iCs/>
              </w:rPr>
            </w:pPr>
            <w:r>
              <w:rPr>
                <w:bCs/>
                <w:iCs/>
              </w:rPr>
              <w:t>Liquidity/Funding Risk</w:t>
            </w:r>
          </w:p>
        </w:tc>
      </w:tr>
      <w:tr w:rsidR="00863562" w:rsidRPr="00206D41" w14:paraId="2E210BD4" w14:textId="77777777" w:rsidTr="00BB7C56">
        <w:trPr>
          <w:trHeight w:val="462"/>
        </w:trPr>
        <w:tc>
          <w:tcPr>
            <w:tcW w:w="1728" w:type="dxa"/>
            <w:shd w:val="clear" w:color="auto" w:fill="auto"/>
          </w:tcPr>
          <w:p w14:paraId="68F1BBB0" w14:textId="77777777" w:rsidR="00863562" w:rsidRDefault="00863562" w:rsidP="00BB7C56">
            <w:pPr>
              <w:rPr>
                <w:b/>
                <w:bCs/>
                <w:iCs/>
              </w:rPr>
            </w:pPr>
            <w:r>
              <w:rPr>
                <w:b/>
                <w:bCs/>
                <w:iCs/>
              </w:rPr>
              <w:t>RATIONALE</w:t>
            </w:r>
          </w:p>
        </w:tc>
        <w:tc>
          <w:tcPr>
            <w:tcW w:w="7470" w:type="dxa"/>
            <w:shd w:val="clear" w:color="auto" w:fill="auto"/>
          </w:tcPr>
          <w:p w14:paraId="1CBA321C" w14:textId="30FBD4EC" w:rsidR="00863562" w:rsidRDefault="00AC755C" w:rsidP="005657CD">
            <w:pPr>
              <w:spacing w:after="0" w:line="240" w:lineRule="auto"/>
              <w:rPr>
                <w:bCs/>
                <w:iCs/>
              </w:rPr>
            </w:pPr>
            <w:r>
              <w:rPr>
                <w:bCs/>
                <w:iCs/>
              </w:rPr>
              <w:t>Tracks the level of assets which are encumbered and might not be readily accessible should the Bank need emergency liquidity, thus, it allows for monitoring of mid- and long-term liquidity</w:t>
            </w:r>
          </w:p>
        </w:tc>
      </w:tr>
      <w:tr w:rsidR="005841D7" w:rsidRPr="00206D41" w14:paraId="16AA3F81" w14:textId="77777777" w:rsidTr="006B6E1C">
        <w:trPr>
          <w:trHeight w:val="270"/>
        </w:trPr>
        <w:tc>
          <w:tcPr>
            <w:tcW w:w="1728" w:type="dxa"/>
            <w:shd w:val="clear" w:color="auto" w:fill="auto"/>
          </w:tcPr>
          <w:p w14:paraId="44CF8B92" w14:textId="77777777" w:rsidR="005841D7" w:rsidRPr="00206D41" w:rsidRDefault="005841D7" w:rsidP="00BB7C56">
            <w:pPr>
              <w:rPr>
                <w:b/>
                <w:bCs/>
                <w:iCs/>
              </w:rPr>
            </w:pPr>
            <w:r>
              <w:rPr>
                <w:b/>
                <w:bCs/>
                <w:iCs/>
              </w:rPr>
              <w:t>ENTITY</w:t>
            </w:r>
          </w:p>
        </w:tc>
        <w:tc>
          <w:tcPr>
            <w:tcW w:w="7470" w:type="dxa"/>
            <w:shd w:val="clear" w:color="auto" w:fill="auto"/>
          </w:tcPr>
          <w:p w14:paraId="692A4BC9" w14:textId="77777777" w:rsidR="005841D7" w:rsidRPr="007973F5" w:rsidRDefault="005841D7" w:rsidP="00BB7C56">
            <w:pPr>
              <w:spacing w:after="0" w:line="240" w:lineRule="auto"/>
              <w:rPr>
                <w:b/>
                <w:bCs/>
                <w:iCs/>
              </w:rPr>
            </w:pPr>
            <w:r w:rsidRPr="007973F5">
              <w:rPr>
                <w:b/>
                <w:bCs/>
                <w:iCs/>
              </w:rPr>
              <w:t>SHUSA</w:t>
            </w:r>
          </w:p>
        </w:tc>
      </w:tr>
      <w:tr w:rsidR="005841D7" w:rsidRPr="00206D41" w14:paraId="0F68AC5C" w14:textId="77777777" w:rsidTr="006B6E1C">
        <w:trPr>
          <w:trHeight w:val="245"/>
        </w:trPr>
        <w:tc>
          <w:tcPr>
            <w:tcW w:w="1728" w:type="dxa"/>
            <w:shd w:val="clear" w:color="auto" w:fill="auto"/>
          </w:tcPr>
          <w:p w14:paraId="4B5B3CF2" w14:textId="1B5F7CDD" w:rsidR="005841D7" w:rsidRDefault="00511F11" w:rsidP="00BB7C56">
            <w:pPr>
              <w:rPr>
                <w:b/>
                <w:bCs/>
                <w:iCs/>
              </w:rPr>
            </w:pPr>
            <w:r>
              <w:rPr>
                <w:rFonts w:asciiTheme="minorHAnsi" w:hAnsiTheme="minorHAnsi"/>
                <w:b/>
                <w:bCs/>
                <w:iCs/>
              </w:rPr>
              <w:t>METRIC PROVIDER</w:t>
            </w:r>
          </w:p>
        </w:tc>
        <w:tc>
          <w:tcPr>
            <w:tcW w:w="7470" w:type="dxa"/>
            <w:shd w:val="clear" w:color="auto" w:fill="auto"/>
          </w:tcPr>
          <w:p w14:paraId="063DE436" w14:textId="5AB6CDDA" w:rsidR="005841D7" w:rsidRPr="005A6F8C" w:rsidRDefault="00F00376" w:rsidP="00BB7C56">
            <w:pPr>
              <w:spacing w:after="0" w:line="240" w:lineRule="auto"/>
              <w:rPr>
                <w:b/>
                <w:bCs/>
                <w:iCs/>
              </w:rPr>
            </w:pPr>
            <w:r w:rsidRPr="005A3957">
              <w:rPr>
                <w:b/>
                <w:bCs/>
                <w:iCs/>
              </w:rPr>
              <w:t>SHUSA</w:t>
            </w:r>
            <w:r>
              <w:rPr>
                <w:b/>
                <w:bCs/>
                <w:iCs/>
              </w:rPr>
              <w:t xml:space="preserve"> Market and Liquidity Risk</w:t>
            </w:r>
          </w:p>
        </w:tc>
      </w:tr>
      <w:tr w:rsidR="00863562" w:rsidRPr="00206D41" w14:paraId="3650DDD8" w14:textId="77777777" w:rsidTr="00BB7C56">
        <w:trPr>
          <w:trHeight w:val="439"/>
        </w:trPr>
        <w:tc>
          <w:tcPr>
            <w:tcW w:w="1728" w:type="dxa"/>
            <w:shd w:val="clear" w:color="auto" w:fill="auto"/>
          </w:tcPr>
          <w:p w14:paraId="10F5C19B" w14:textId="77777777" w:rsidR="00863562" w:rsidRPr="00206D41" w:rsidRDefault="00863562" w:rsidP="00BB7C56">
            <w:pPr>
              <w:rPr>
                <w:b/>
                <w:bCs/>
                <w:iCs/>
              </w:rPr>
            </w:pPr>
            <w:r w:rsidRPr="005B0BAF">
              <w:rPr>
                <w:rFonts w:asciiTheme="minorHAnsi" w:hAnsiTheme="minorHAnsi"/>
                <w:b/>
                <w:bCs/>
                <w:iCs/>
              </w:rPr>
              <w:t>TRIGGER AND LIMIT SETTING</w:t>
            </w:r>
          </w:p>
        </w:tc>
        <w:tc>
          <w:tcPr>
            <w:tcW w:w="7470" w:type="dxa"/>
            <w:shd w:val="clear" w:color="auto" w:fill="auto"/>
          </w:tcPr>
          <w:p w14:paraId="74A5F4BB" w14:textId="498611E3" w:rsidR="00863562" w:rsidRPr="004B7FDA" w:rsidRDefault="004B7FDA" w:rsidP="004B7FDA">
            <w:pPr>
              <w:spacing w:after="0" w:line="240" w:lineRule="auto"/>
              <w:rPr>
                <w:bCs/>
                <w:iCs/>
              </w:rPr>
            </w:pPr>
            <w:r>
              <w:rPr>
                <w:bCs/>
                <w:iCs/>
              </w:rPr>
              <w:t xml:space="preserve">Levels are set per group guidance. </w:t>
            </w:r>
          </w:p>
          <w:p w14:paraId="1DAAA38B" w14:textId="77777777" w:rsidR="005841D7" w:rsidRPr="005841D7" w:rsidRDefault="005841D7" w:rsidP="005841D7">
            <w:pPr>
              <w:pStyle w:val="ListParagraph"/>
              <w:spacing w:after="0" w:line="240" w:lineRule="auto"/>
              <w:ind w:left="360"/>
              <w:rPr>
                <w:bCs/>
                <w:iCs/>
              </w:rPr>
            </w:pPr>
          </w:p>
        </w:tc>
      </w:tr>
      <w:tr w:rsidR="00863562" w:rsidRPr="00206D41" w14:paraId="5CFF9200" w14:textId="77777777" w:rsidTr="00BB7C56">
        <w:trPr>
          <w:trHeight w:val="303"/>
        </w:trPr>
        <w:tc>
          <w:tcPr>
            <w:tcW w:w="1728" w:type="dxa"/>
            <w:shd w:val="clear" w:color="auto" w:fill="auto"/>
          </w:tcPr>
          <w:p w14:paraId="575B72D8" w14:textId="77777777" w:rsidR="00863562" w:rsidRPr="00DF3739" w:rsidRDefault="00863562" w:rsidP="00BB7C56">
            <w:pPr>
              <w:rPr>
                <w:b/>
                <w:bCs/>
                <w:iCs/>
              </w:rPr>
            </w:pPr>
            <w:r>
              <w:rPr>
                <w:rFonts w:asciiTheme="minorHAnsi" w:hAnsiTheme="minorHAnsi"/>
                <w:b/>
                <w:bCs/>
                <w:iCs/>
              </w:rPr>
              <w:t>T</w:t>
            </w:r>
            <w:r w:rsidRPr="00DF3739">
              <w:rPr>
                <w:rFonts w:asciiTheme="minorHAnsi" w:hAnsiTheme="minorHAnsi"/>
                <w:b/>
                <w:bCs/>
                <w:iCs/>
              </w:rPr>
              <w:t>ESTING FREQUENCY</w:t>
            </w:r>
          </w:p>
        </w:tc>
        <w:tc>
          <w:tcPr>
            <w:tcW w:w="7470" w:type="dxa"/>
            <w:shd w:val="clear" w:color="auto" w:fill="auto"/>
          </w:tcPr>
          <w:p w14:paraId="6A51BE54" w14:textId="77777777" w:rsidR="00863562" w:rsidRPr="00DF3739" w:rsidRDefault="009E3497" w:rsidP="00BB7C56">
            <w:pPr>
              <w:spacing w:after="0" w:line="240" w:lineRule="auto"/>
            </w:pPr>
            <w:r>
              <w:rPr>
                <w:bCs/>
                <w:iCs/>
              </w:rPr>
              <w:t>Monthly</w:t>
            </w:r>
          </w:p>
        </w:tc>
      </w:tr>
      <w:tr w:rsidR="00863562" w:rsidRPr="00206D41" w14:paraId="4DA23E33" w14:textId="77777777" w:rsidTr="00BB7C56">
        <w:trPr>
          <w:trHeight w:val="978"/>
        </w:trPr>
        <w:tc>
          <w:tcPr>
            <w:tcW w:w="1728" w:type="dxa"/>
            <w:shd w:val="clear" w:color="auto" w:fill="auto"/>
          </w:tcPr>
          <w:p w14:paraId="53910302" w14:textId="77777777" w:rsidR="00863562" w:rsidRPr="00DF3739" w:rsidRDefault="00863562" w:rsidP="00BB7C56">
            <w:pPr>
              <w:rPr>
                <w:b/>
                <w:bCs/>
                <w:iCs/>
              </w:rPr>
            </w:pPr>
            <w:r w:rsidRPr="00DF3739">
              <w:rPr>
                <w:b/>
                <w:bCs/>
                <w:iCs/>
              </w:rPr>
              <w:t>SOURCE OF INFORMATION</w:t>
            </w:r>
          </w:p>
        </w:tc>
        <w:tc>
          <w:tcPr>
            <w:tcW w:w="7470" w:type="dxa"/>
            <w:shd w:val="clear" w:color="auto" w:fill="auto"/>
          </w:tcPr>
          <w:p w14:paraId="7D2D4AF9" w14:textId="77777777" w:rsidR="00863562" w:rsidRPr="000E4C0C" w:rsidRDefault="009E3497" w:rsidP="00AC755C">
            <w:pPr>
              <w:spacing w:after="0" w:line="240" w:lineRule="auto"/>
              <w:rPr>
                <w:bCs/>
                <w:iCs/>
              </w:rPr>
            </w:pPr>
            <w:r>
              <w:rPr>
                <w:bCs/>
                <w:iCs/>
              </w:rPr>
              <w:t xml:space="preserve">SHUSA Liquidity risk </w:t>
            </w:r>
          </w:p>
        </w:tc>
      </w:tr>
    </w:tbl>
    <w:p w14:paraId="790AAB98" w14:textId="77777777" w:rsidR="006F175D" w:rsidRDefault="006F175D" w:rsidP="006F175D">
      <w:pPr>
        <w:pStyle w:val="SANUS1"/>
      </w:pPr>
      <w:bookmarkStart w:id="893" w:name="_Toc425172209"/>
      <w:bookmarkStart w:id="894" w:name="_Toc425172328"/>
      <w:bookmarkStart w:id="895" w:name="_Toc425172448"/>
      <w:bookmarkStart w:id="896" w:name="_Toc425172567"/>
      <w:bookmarkStart w:id="897" w:name="_Toc425172685"/>
      <w:bookmarkStart w:id="898" w:name="_Toc425172804"/>
      <w:bookmarkStart w:id="899" w:name="_Toc425172921"/>
      <w:bookmarkStart w:id="900" w:name="_Toc425173039"/>
      <w:bookmarkStart w:id="901" w:name="_Toc425173155"/>
      <w:bookmarkStart w:id="902" w:name="_Toc425173272"/>
      <w:bookmarkStart w:id="903" w:name="_Toc425173425"/>
      <w:bookmarkStart w:id="904" w:name="_Toc425173576"/>
      <w:bookmarkStart w:id="905" w:name="_Toc425173727"/>
      <w:bookmarkStart w:id="906" w:name="_Toc425173878"/>
      <w:bookmarkStart w:id="907" w:name="_Toc425174025"/>
      <w:bookmarkStart w:id="908" w:name="_Toc425174168"/>
      <w:bookmarkStart w:id="909" w:name="_Toc425174311"/>
      <w:bookmarkStart w:id="910" w:name="_Toc425174454"/>
      <w:bookmarkStart w:id="911" w:name="_Toc425174595"/>
      <w:bookmarkStart w:id="912" w:name="_Toc425172210"/>
      <w:bookmarkStart w:id="913" w:name="_Toc425172329"/>
      <w:bookmarkStart w:id="914" w:name="_Toc425172449"/>
      <w:bookmarkStart w:id="915" w:name="_Toc425172568"/>
      <w:bookmarkStart w:id="916" w:name="_Toc425172686"/>
      <w:bookmarkStart w:id="917" w:name="_Toc425172805"/>
      <w:bookmarkStart w:id="918" w:name="_Toc425172922"/>
      <w:bookmarkStart w:id="919" w:name="_Toc425173040"/>
      <w:bookmarkStart w:id="920" w:name="_Toc425173156"/>
      <w:bookmarkStart w:id="921" w:name="_Toc425173273"/>
      <w:bookmarkStart w:id="922" w:name="_Toc425173426"/>
      <w:bookmarkStart w:id="923" w:name="_Toc425173577"/>
      <w:bookmarkStart w:id="924" w:name="_Toc425173728"/>
      <w:bookmarkStart w:id="925" w:name="_Toc425173879"/>
      <w:bookmarkStart w:id="926" w:name="_Toc425174026"/>
      <w:bookmarkStart w:id="927" w:name="_Toc425174169"/>
      <w:bookmarkStart w:id="928" w:name="_Toc425174312"/>
      <w:bookmarkStart w:id="929" w:name="_Toc425174455"/>
      <w:bookmarkStart w:id="930" w:name="_Toc425174596"/>
      <w:bookmarkStart w:id="931" w:name="OLE_LINK1"/>
      <w:bookmarkStart w:id="932" w:name="OLE_LINK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p>
    <w:p w14:paraId="409F7AB1" w14:textId="77777777" w:rsidR="004B7FDA" w:rsidRDefault="004B7FDA" w:rsidP="006F175D">
      <w:pPr>
        <w:pStyle w:val="SANUS1"/>
      </w:pPr>
    </w:p>
    <w:p w14:paraId="2965EA05" w14:textId="77777777" w:rsidR="00784F28" w:rsidRDefault="00784F28" w:rsidP="00FC2445">
      <w:pPr>
        <w:pStyle w:val="SANUS1"/>
        <w:numPr>
          <w:ilvl w:val="0"/>
          <w:numId w:val="1"/>
        </w:numPr>
      </w:pPr>
      <w:r w:rsidRPr="00371B1C">
        <w:rPr>
          <w:lang w:val="it-IT"/>
        </w:rPr>
        <w:t xml:space="preserve"> </w:t>
      </w:r>
      <w:bookmarkStart w:id="933" w:name="_Toc452544184"/>
      <w:bookmarkStart w:id="934" w:name="_Toc453849303"/>
      <w:r>
        <w:t>Interest rate risk metrics</w:t>
      </w:r>
      <w:bookmarkEnd w:id="933"/>
      <w:bookmarkEnd w:id="934"/>
    </w:p>
    <w:p w14:paraId="45CF88C6" w14:textId="77777777" w:rsidR="00BB4DCA" w:rsidRPr="00981DFF" w:rsidRDefault="00784F28" w:rsidP="00981DFF">
      <w:pPr>
        <w:pStyle w:val="SANUS2"/>
        <w:numPr>
          <w:ilvl w:val="1"/>
          <w:numId w:val="1"/>
        </w:numPr>
        <w:rPr>
          <w:color w:val="000000" w:themeColor="text1"/>
        </w:rPr>
      </w:pPr>
      <w:bookmarkStart w:id="935" w:name="_Toc452544185"/>
      <w:bookmarkStart w:id="936" w:name="_Toc453849304"/>
      <w:r>
        <w:rPr>
          <w:color w:val="000000" w:themeColor="text1"/>
        </w:rPr>
        <w:t>Net interest income</w:t>
      </w:r>
      <w:r w:rsidR="00981DFF">
        <w:rPr>
          <w:color w:val="000000" w:themeColor="text1"/>
        </w:rPr>
        <w:t xml:space="preserve"> (NII)</w:t>
      </w:r>
      <w:r>
        <w:rPr>
          <w:color w:val="000000" w:themeColor="text1"/>
        </w:rPr>
        <w:t xml:space="preserve"> sensitivity (+/- 100 bps shock)</w:t>
      </w:r>
      <w:bookmarkEnd w:id="935"/>
      <w:bookmarkEnd w:id="936"/>
    </w:p>
    <w:tbl>
      <w:tblPr>
        <w:tblpPr w:leftFromText="180" w:rightFromText="180" w:vertAnchor="text" w:tblpX="168" w:tblpY="1"/>
        <w:tblOverlap w:val="never"/>
        <w:tblW w:w="9198"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000" w:firstRow="0" w:lastRow="0" w:firstColumn="0" w:lastColumn="0" w:noHBand="0" w:noVBand="0"/>
      </w:tblPr>
      <w:tblGrid>
        <w:gridCol w:w="1728"/>
        <w:gridCol w:w="7470"/>
      </w:tblGrid>
      <w:tr w:rsidR="00BB4DCA" w:rsidRPr="00206D41" w14:paraId="512F92C9" w14:textId="77777777" w:rsidTr="00B3414B">
        <w:trPr>
          <w:cantSplit/>
          <w:trHeight w:val="462"/>
        </w:trPr>
        <w:tc>
          <w:tcPr>
            <w:tcW w:w="1728" w:type="dxa"/>
            <w:shd w:val="clear" w:color="auto" w:fill="auto"/>
          </w:tcPr>
          <w:p w14:paraId="45BEEE4B" w14:textId="77777777" w:rsidR="00BB4DCA" w:rsidRPr="00206D41" w:rsidRDefault="00E057DD" w:rsidP="00E057DD">
            <w:pPr>
              <w:rPr>
                <w:b/>
                <w:bCs/>
                <w:iCs/>
              </w:rPr>
            </w:pPr>
            <w:r>
              <w:rPr>
                <w:b/>
                <w:bCs/>
                <w:iCs/>
              </w:rPr>
              <w:t>DEFINITION</w:t>
            </w:r>
          </w:p>
        </w:tc>
        <w:tc>
          <w:tcPr>
            <w:tcW w:w="7470" w:type="dxa"/>
            <w:shd w:val="clear" w:color="auto" w:fill="auto"/>
          </w:tcPr>
          <w:p w14:paraId="48C88F55" w14:textId="77777777" w:rsidR="00981DFF" w:rsidRPr="00874DA1" w:rsidRDefault="00874DA1" w:rsidP="007E122B">
            <w:pPr>
              <w:spacing w:after="0" w:line="240" w:lineRule="auto"/>
              <w:rPr>
                <w:rFonts w:asciiTheme="minorHAnsi" w:eastAsiaTheme="minorHAnsi" w:hAnsiTheme="minorHAnsi" w:cstheme="minorBidi"/>
                <w:iCs/>
              </w:rPr>
            </w:pPr>
            <w:r>
              <w:rPr>
                <w:rFonts w:asciiTheme="minorHAnsi" w:eastAsiaTheme="minorHAnsi" w:hAnsiTheme="minorHAnsi" w:cstheme="minorBidi"/>
                <w:iCs/>
              </w:rPr>
              <w:t>A measurement of t</w:t>
            </w:r>
            <w:r w:rsidR="00E057DD" w:rsidRPr="00E057DD">
              <w:rPr>
                <w:rFonts w:asciiTheme="minorHAnsi" w:eastAsiaTheme="minorHAnsi" w:hAnsiTheme="minorHAnsi" w:cstheme="minorBidi"/>
                <w:iCs/>
              </w:rPr>
              <w:t xml:space="preserve">he directional sensitivity of earnings at </w:t>
            </w:r>
            <w:r w:rsidR="00602C3A">
              <w:rPr>
                <w:rFonts w:asciiTheme="minorHAnsi" w:eastAsiaTheme="minorHAnsi" w:hAnsiTheme="minorHAnsi" w:cstheme="minorBidi"/>
                <w:iCs/>
              </w:rPr>
              <w:t>risk (NII) due to the re</w:t>
            </w:r>
            <w:r w:rsidR="001618A5">
              <w:rPr>
                <w:rFonts w:asciiTheme="minorHAnsi" w:eastAsiaTheme="minorHAnsi" w:hAnsiTheme="minorHAnsi" w:cstheme="minorBidi"/>
                <w:iCs/>
              </w:rPr>
              <w:t>-</w:t>
            </w:r>
            <w:r w:rsidR="00602C3A">
              <w:rPr>
                <w:rFonts w:asciiTheme="minorHAnsi" w:eastAsiaTheme="minorHAnsi" w:hAnsiTheme="minorHAnsi" w:cstheme="minorBidi"/>
                <w:iCs/>
              </w:rPr>
              <w:t xml:space="preserve">pricing </w:t>
            </w:r>
            <w:r w:rsidR="00E057DD" w:rsidRPr="00E057DD">
              <w:rPr>
                <w:rFonts w:asciiTheme="minorHAnsi" w:eastAsiaTheme="minorHAnsi" w:hAnsiTheme="minorHAnsi" w:cstheme="minorBidi"/>
                <w:iCs/>
              </w:rPr>
              <w:t>interaction of the existing assets and liabilities over time resulting from a particular yield curve shift</w:t>
            </w:r>
            <w:r w:rsidR="0075325F">
              <w:rPr>
                <w:rFonts w:asciiTheme="minorHAnsi" w:eastAsiaTheme="minorHAnsi" w:hAnsiTheme="minorHAnsi" w:cstheme="minorBidi"/>
                <w:iCs/>
              </w:rPr>
              <w:t>.</w:t>
            </w:r>
          </w:p>
        </w:tc>
      </w:tr>
      <w:tr w:rsidR="00BB4DCA" w:rsidRPr="00206D41" w14:paraId="416C94BB" w14:textId="77777777" w:rsidTr="00B3414B">
        <w:trPr>
          <w:trHeight w:val="462"/>
        </w:trPr>
        <w:tc>
          <w:tcPr>
            <w:tcW w:w="1728" w:type="dxa"/>
            <w:shd w:val="clear" w:color="auto" w:fill="auto"/>
          </w:tcPr>
          <w:p w14:paraId="291EF9DE" w14:textId="77777777" w:rsidR="00BB4DCA" w:rsidRPr="00206D41" w:rsidRDefault="00981DFF" w:rsidP="007E122B">
            <w:pPr>
              <w:rPr>
                <w:b/>
                <w:bCs/>
                <w:iCs/>
              </w:rPr>
            </w:pPr>
            <w:r>
              <w:rPr>
                <w:b/>
                <w:bCs/>
                <w:iCs/>
              </w:rPr>
              <w:t>RISK TYPE</w:t>
            </w:r>
          </w:p>
        </w:tc>
        <w:tc>
          <w:tcPr>
            <w:tcW w:w="7470" w:type="dxa"/>
            <w:shd w:val="clear" w:color="auto" w:fill="auto"/>
          </w:tcPr>
          <w:p w14:paraId="2464931D" w14:textId="77777777" w:rsidR="00BB4DCA" w:rsidRPr="00206D41" w:rsidRDefault="00981DFF" w:rsidP="007E122B">
            <w:pPr>
              <w:spacing w:after="0" w:line="240" w:lineRule="auto"/>
              <w:rPr>
                <w:bCs/>
                <w:iCs/>
              </w:rPr>
            </w:pPr>
            <w:r>
              <w:rPr>
                <w:bCs/>
                <w:iCs/>
              </w:rPr>
              <w:t>Interest Rate Risk</w:t>
            </w:r>
          </w:p>
        </w:tc>
      </w:tr>
      <w:tr w:rsidR="002D0E55" w:rsidRPr="00206D41" w14:paraId="7CC1DD23" w14:textId="77777777" w:rsidTr="00B3414B">
        <w:trPr>
          <w:trHeight w:val="462"/>
        </w:trPr>
        <w:tc>
          <w:tcPr>
            <w:tcW w:w="1728" w:type="dxa"/>
            <w:shd w:val="clear" w:color="auto" w:fill="auto"/>
          </w:tcPr>
          <w:p w14:paraId="7D929190" w14:textId="77777777" w:rsidR="002D0E55" w:rsidRDefault="002D0E55" w:rsidP="007E122B">
            <w:pPr>
              <w:rPr>
                <w:b/>
                <w:bCs/>
                <w:iCs/>
              </w:rPr>
            </w:pPr>
            <w:r>
              <w:rPr>
                <w:b/>
                <w:bCs/>
                <w:iCs/>
              </w:rPr>
              <w:t>RATIONALE</w:t>
            </w:r>
          </w:p>
        </w:tc>
        <w:tc>
          <w:tcPr>
            <w:tcW w:w="7470" w:type="dxa"/>
            <w:shd w:val="clear" w:color="auto" w:fill="auto"/>
          </w:tcPr>
          <w:p w14:paraId="7AE73406" w14:textId="77777777" w:rsidR="00EF0941" w:rsidRPr="00EF0941" w:rsidRDefault="00EF0941" w:rsidP="00EF0941">
            <w:pPr>
              <w:spacing w:after="0" w:line="240" w:lineRule="auto"/>
              <w:rPr>
                <w:bCs/>
                <w:iCs/>
              </w:rPr>
            </w:pPr>
            <w:r>
              <w:rPr>
                <w:bCs/>
                <w:iCs/>
              </w:rPr>
              <w:t>E</w:t>
            </w:r>
            <w:r w:rsidRPr="00EF0941">
              <w:rPr>
                <w:bCs/>
                <w:iCs/>
              </w:rPr>
              <w:t>stimates the directional sensitivity of earnings at risk (NII) due to the re</w:t>
            </w:r>
            <w:r>
              <w:rPr>
                <w:bCs/>
                <w:iCs/>
              </w:rPr>
              <w:t>-</w:t>
            </w:r>
            <w:r w:rsidRPr="00EF0941">
              <w:rPr>
                <w:bCs/>
                <w:iCs/>
              </w:rPr>
              <w:t>pricing interaction of the existing assets and liabilities over time resulting from a particular yield curve shift</w:t>
            </w:r>
            <w:r w:rsidR="00213EBA">
              <w:rPr>
                <w:bCs/>
                <w:iCs/>
              </w:rPr>
              <w:t>.</w:t>
            </w:r>
          </w:p>
          <w:p w14:paraId="12C3CDFB" w14:textId="77777777" w:rsidR="002D0E55" w:rsidRDefault="00EF0941" w:rsidP="00EF0941">
            <w:pPr>
              <w:spacing w:after="0" w:line="240" w:lineRule="auto"/>
              <w:rPr>
                <w:bCs/>
                <w:iCs/>
              </w:rPr>
            </w:pPr>
            <w:r>
              <w:rPr>
                <w:bCs/>
                <w:iCs/>
              </w:rPr>
              <w:t xml:space="preserve">NII shocks provide a short- to </w:t>
            </w:r>
            <w:r w:rsidRPr="00EF0941">
              <w:rPr>
                <w:bCs/>
                <w:iCs/>
              </w:rPr>
              <w:t>mid</w:t>
            </w:r>
            <w:r>
              <w:rPr>
                <w:bCs/>
                <w:iCs/>
              </w:rPr>
              <w:t>-</w:t>
            </w:r>
            <w:r w:rsidRPr="00EF0941">
              <w:rPr>
                <w:bCs/>
                <w:iCs/>
              </w:rPr>
              <w:t>term view of the impact on earnings and capital due to various changes in interest rates</w:t>
            </w:r>
            <w:r w:rsidR="00213EBA">
              <w:rPr>
                <w:bCs/>
                <w:iCs/>
              </w:rPr>
              <w:t>.</w:t>
            </w:r>
          </w:p>
        </w:tc>
      </w:tr>
      <w:tr w:rsidR="00AD2CAD" w:rsidRPr="00206D41" w14:paraId="2754685D" w14:textId="77777777" w:rsidTr="006B6E1C">
        <w:trPr>
          <w:trHeight w:val="270"/>
        </w:trPr>
        <w:tc>
          <w:tcPr>
            <w:tcW w:w="1728" w:type="dxa"/>
            <w:shd w:val="clear" w:color="auto" w:fill="auto"/>
          </w:tcPr>
          <w:p w14:paraId="344D8871" w14:textId="77777777" w:rsidR="00AD2CAD" w:rsidRPr="00206D41" w:rsidRDefault="00AD2CAD" w:rsidP="007E122B">
            <w:pPr>
              <w:rPr>
                <w:b/>
                <w:bCs/>
                <w:iCs/>
              </w:rPr>
            </w:pPr>
            <w:r>
              <w:rPr>
                <w:b/>
                <w:bCs/>
                <w:iCs/>
              </w:rPr>
              <w:t>ENTITY</w:t>
            </w:r>
          </w:p>
        </w:tc>
        <w:tc>
          <w:tcPr>
            <w:tcW w:w="7470" w:type="dxa"/>
            <w:shd w:val="clear" w:color="auto" w:fill="auto"/>
          </w:tcPr>
          <w:p w14:paraId="1D78334A" w14:textId="77777777" w:rsidR="00AD2CAD" w:rsidRPr="00981DFF" w:rsidRDefault="00AD2CAD" w:rsidP="0096752A">
            <w:pPr>
              <w:spacing w:after="0" w:line="240" w:lineRule="auto"/>
              <w:rPr>
                <w:b/>
                <w:bCs/>
                <w:iCs/>
              </w:rPr>
            </w:pPr>
            <w:r w:rsidRPr="00981DFF">
              <w:rPr>
                <w:b/>
                <w:bCs/>
                <w:iCs/>
              </w:rPr>
              <w:t>SHUSA</w:t>
            </w:r>
          </w:p>
        </w:tc>
      </w:tr>
      <w:tr w:rsidR="00AD2CAD" w:rsidRPr="00206D41" w14:paraId="33D829A6" w14:textId="77777777" w:rsidTr="006B6E1C">
        <w:trPr>
          <w:trHeight w:val="270"/>
        </w:trPr>
        <w:tc>
          <w:tcPr>
            <w:tcW w:w="1728" w:type="dxa"/>
            <w:shd w:val="clear" w:color="auto" w:fill="auto"/>
          </w:tcPr>
          <w:p w14:paraId="15490517" w14:textId="4BBD6C74" w:rsidR="00AD2CAD" w:rsidRPr="00206D41" w:rsidRDefault="00511F11" w:rsidP="002D0E55">
            <w:pPr>
              <w:rPr>
                <w:b/>
                <w:bCs/>
                <w:iCs/>
              </w:rPr>
            </w:pPr>
            <w:r>
              <w:rPr>
                <w:rFonts w:asciiTheme="minorHAnsi" w:hAnsiTheme="minorHAnsi"/>
                <w:b/>
                <w:bCs/>
                <w:iCs/>
              </w:rPr>
              <w:t>METRIC PROVIDER</w:t>
            </w:r>
          </w:p>
        </w:tc>
        <w:tc>
          <w:tcPr>
            <w:tcW w:w="7470" w:type="dxa"/>
            <w:shd w:val="clear" w:color="auto" w:fill="auto"/>
          </w:tcPr>
          <w:p w14:paraId="2D551375" w14:textId="3BEF2F8B" w:rsidR="00AD2CAD" w:rsidRPr="00981DFF" w:rsidRDefault="00F00376" w:rsidP="002D0E55">
            <w:pPr>
              <w:spacing w:after="0" w:line="240" w:lineRule="auto"/>
              <w:rPr>
                <w:b/>
                <w:bCs/>
                <w:iCs/>
              </w:rPr>
            </w:pPr>
            <w:r w:rsidRPr="005A3957">
              <w:rPr>
                <w:b/>
                <w:bCs/>
                <w:iCs/>
              </w:rPr>
              <w:t>SHUSA</w:t>
            </w:r>
            <w:r>
              <w:rPr>
                <w:b/>
                <w:bCs/>
                <w:iCs/>
              </w:rPr>
              <w:t xml:space="preserve"> Market and Liquidity Risk</w:t>
            </w:r>
          </w:p>
        </w:tc>
      </w:tr>
      <w:tr w:rsidR="002D0E55" w:rsidRPr="00206D41" w14:paraId="76F897DB" w14:textId="77777777" w:rsidTr="00B3414B">
        <w:trPr>
          <w:trHeight w:val="360"/>
        </w:trPr>
        <w:tc>
          <w:tcPr>
            <w:tcW w:w="1728" w:type="dxa"/>
            <w:shd w:val="clear" w:color="auto" w:fill="auto"/>
          </w:tcPr>
          <w:p w14:paraId="1CA6BA89" w14:textId="77777777" w:rsidR="002D0E55" w:rsidRPr="00206D41" w:rsidRDefault="002D0E55" w:rsidP="002D0E55">
            <w:pPr>
              <w:ind w:left="-60"/>
              <w:rPr>
                <w:b/>
                <w:bCs/>
                <w:iCs/>
              </w:rPr>
            </w:pPr>
            <w:r>
              <w:rPr>
                <w:b/>
                <w:bCs/>
                <w:iCs/>
              </w:rPr>
              <w:t>TRIGGER AND LIMIT SETTING</w:t>
            </w:r>
          </w:p>
        </w:tc>
        <w:tc>
          <w:tcPr>
            <w:tcW w:w="7470" w:type="dxa"/>
            <w:shd w:val="clear" w:color="auto" w:fill="auto"/>
          </w:tcPr>
          <w:p w14:paraId="434ECDFF" w14:textId="77777777" w:rsidR="002D0E55" w:rsidRDefault="002D0E55" w:rsidP="002D0E55">
            <w:pPr>
              <w:spacing w:after="0" w:line="240" w:lineRule="auto"/>
              <w:rPr>
                <w:rFonts w:asciiTheme="minorHAnsi" w:eastAsiaTheme="minorHAnsi" w:hAnsiTheme="minorHAnsi" w:cstheme="minorBidi"/>
                <w:iCs/>
              </w:rPr>
            </w:pPr>
            <w:r w:rsidRPr="0075325F">
              <w:rPr>
                <w:rFonts w:asciiTheme="minorHAnsi" w:eastAsiaTheme="minorHAnsi" w:hAnsiTheme="minorHAnsi" w:cstheme="minorBidi"/>
                <w:iCs/>
              </w:rPr>
              <w:t>NII shocks provide a short-to-mid-term view of the impact on earnings and capital due to various changes in interest rates</w:t>
            </w:r>
            <w:r>
              <w:rPr>
                <w:rFonts w:asciiTheme="minorHAnsi" w:eastAsiaTheme="minorHAnsi" w:hAnsiTheme="minorHAnsi" w:cstheme="minorBidi"/>
                <w:iCs/>
              </w:rPr>
              <w:t>. The</w:t>
            </w:r>
            <w:r w:rsidRPr="0075325F">
              <w:rPr>
                <w:rFonts w:asciiTheme="minorHAnsi" w:eastAsiaTheme="minorHAnsi" w:hAnsiTheme="minorHAnsi" w:cstheme="minorBidi"/>
                <w:iCs/>
              </w:rPr>
              <w:t xml:space="preserve"> configuration of the metric is an industry standard</w:t>
            </w:r>
            <w:r>
              <w:rPr>
                <w:rFonts w:asciiTheme="minorHAnsi" w:eastAsiaTheme="minorHAnsi" w:hAnsiTheme="minorHAnsi" w:cstheme="minorBidi"/>
                <w:iCs/>
              </w:rPr>
              <w:t>.</w:t>
            </w:r>
            <w:r w:rsidRPr="00206D41">
              <w:rPr>
                <w:rFonts w:asciiTheme="minorHAnsi" w:eastAsiaTheme="minorHAnsi" w:hAnsiTheme="minorHAnsi" w:cstheme="minorBidi"/>
                <w:iCs/>
              </w:rPr>
              <w:t xml:space="preserve"> The metric is computed through the full measurement of interest income and expense of all compo</w:t>
            </w:r>
            <w:r>
              <w:rPr>
                <w:rFonts w:asciiTheme="minorHAnsi" w:eastAsiaTheme="minorHAnsi" w:hAnsiTheme="minorHAnsi" w:cstheme="minorBidi"/>
                <w:iCs/>
              </w:rPr>
              <w:t>nents of the Balance Sheet</w:t>
            </w:r>
            <w:r w:rsidRPr="00206D41">
              <w:rPr>
                <w:rFonts w:asciiTheme="minorHAnsi" w:eastAsiaTheme="minorHAnsi" w:hAnsiTheme="minorHAnsi" w:cstheme="minorBidi"/>
                <w:iCs/>
              </w:rPr>
              <w:t xml:space="preserve"> (On-B/S and Off-</w:t>
            </w:r>
            <w:r>
              <w:rPr>
                <w:rFonts w:asciiTheme="minorHAnsi" w:eastAsiaTheme="minorHAnsi" w:hAnsiTheme="minorHAnsi" w:cstheme="minorBidi"/>
                <w:iCs/>
              </w:rPr>
              <w:t>B/S</w:t>
            </w:r>
            <w:r w:rsidRPr="00206D41">
              <w:rPr>
                <w:rFonts w:asciiTheme="minorHAnsi" w:eastAsiaTheme="minorHAnsi" w:hAnsiTheme="minorHAnsi" w:cstheme="minorBidi"/>
                <w:iCs/>
              </w:rPr>
              <w:t xml:space="preserve">), selecting the biggest loss </w:t>
            </w:r>
            <w:r>
              <w:rPr>
                <w:rFonts w:asciiTheme="minorHAnsi" w:eastAsiaTheme="minorHAnsi" w:hAnsiTheme="minorHAnsi" w:cstheme="minorBidi"/>
                <w:iCs/>
              </w:rPr>
              <w:t xml:space="preserve">generated between </w:t>
            </w:r>
            <w:r w:rsidRPr="00206D41">
              <w:rPr>
                <w:rFonts w:asciiTheme="minorHAnsi" w:eastAsiaTheme="minorHAnsi" w:hAnsiTheme="minorHAnsi" w:cstheme="minorBidi"/>
                <w:iCs/>
              </w:rPr>
              <w:t xml:space="preserve">relevant parallel shocks computed from minus </w:t>
            </w:r>
            <w:r>
              <w:rPr>
                <w:rFonts w:asciiTheme="minorHAnsi" w:eastAsiaTheme="minorHAnsi" w:hAnsiTheme="minorHAnsi" w:cstheme="minorBidi"/>
                <w:iCs/>
              </w:rPr>
              <w:t xml:space="preserve">100 bps </w:t>
            </w:r>
            <w:r w:rsidRPr="00206D41">
              <w:rPr>
                <w:rFonts w:asciiTheme="minorHAnsi" w:eastAsiaTheme="minorHAnsi" w:hAnsiTheme="minorHAnsi" w:cstheme="minorBidi"/>
                <w:iCs/>
              </w:rPr>
              <w:t xml:space="preserve">up to plus </w:t>
            </w:r>
            <w:r>
              <w:rPr>
                <w:rFonts w:asciiTheme="minorHAnsi" w:eastAsiaTheme="minorHAnsi" w:hAnsiTheme="minorHAnsi" w:cstheme="minorBidi"/>
                <w:iCs/>
              </w:rPr>
              <w:t>1</w:t>
            </w:r>
            <w:r w:rsidRPr="00206D41">
              <w:rPr>
                <w:rFonts w:asciiTheme="minorHAnsi" w:eastAsiaTheme="minorHAnsi" w:hAnsiTheme="minorHAnsi" w:cstheme="minorBidi"/>
                <w:iCs/>
              </w:rPr>
              <w:t>00</w:t>
            </w:r>
            <w:r>
              <w:rPr>
                <w:rFonts w:asciiTheme="minorHAnsi" w:eastAsiaTheme="minorHAnsi" w:hAnsiTheme="minorHAnsi" w:cstheme="minorBidi"/>
                <w:iCs/>
              </w:rPr>
              <w:t xml:space="preserve"> bps, compared to the base case scenario.</w:t>
            </w:r>
          </w:p>
          <w:p w14:paraId="41417A44" w14:textId="77777777" w:rsidR="002D0E55" w:rsidRDefault="002D0E55" w:rsidP="002D0E55">
            <w:pPr>
              <w:pStyle w:val="ListParagraph"/>
              <w:numPr>
                <w:ilvl w:val="0"/>
                <w:numId w:val="18"/>
              </w:numPr>
              <w:spacing w:after="0" w:line="240" w:lineRule="auto"/>
              <w:rPr>
                <w:iCs/>
              </w:rPr>
            </w:pPr>
            <w:r w:rsidRPr="001B002E">
              <w:rPr>
                <w:rFonts w:ascii="Calibri" w:hAnsi="Calibri"/>
                <w:iCs/>
              </w:rPr>
              <w:t xml:space="preserve">The amber trigger is established by </w:t>
            </w:r>
            <w:r>
              <w:rPr>
                <w:rFonts w:ascii="Calibri" w:hAnsi="Calibri"/>
                <w:iCs/>
              </w:rPr>
              <w:t>the business line (Treasury)</w:t>
            </w:r>
          </w:p>
          <w:p w14:paraId="07FC5940" w14:textId="77777777" w:rsidR="002D0E55" w:rsidRPr="006F175D" w:rsidRDefault="002D0E55" w:rsidP="002D0E55">
            <w:pPr>
              <w:pStyle w:val="ListParagraph"/>
              <w:numPr>
                <w:ilvl w:val="0"/>
                <w:numId w:val="18"/>
              </w:numPr>
              <w:spacing w:after="0" w:line="240" w:lineRule="auto"/>
              <w:rPr>
                <w:iCs/>
              </w:rPr>
            </w:pPr>
            <w:r w:rsidRPr="00C05360">
              <w:rPr>
                <w:rFonts w:ascii="Calibri" w:hAnsi="Calibri"/>
                <w:iCs/>
              </w:rPr>
              <w:t>The red limit is proposed by Treasury, review</w:t>
            </w:r>
            <w:r w:rsidR="001618A5">
              <w:rPr>
                <w:rFonts w:ascii="Calibri" w:hAnsi="Calibri"/>
                <w:iCs/>
              </w:rPr>
              <w:t>ed</w:t>
            </w:r>
            <w:r w:rsidRPr="00C05360">
              <w:rPr>
                <w:rFonts w:ascii="Calibri" w:hAnsi="Calibri"/>
                <w:iCs/>
              </w:rPr>
              <w:t xml:space="preserve"> and challenged by Market Risk and approved by ERM.</w:t>
            </w:r>
          </w:p>
        </w:tc>
      </w:tr>
      <w:tr w:rsidR="002D0E55" w:rsidRPr="00206D41" w14:paraId="44209FB2" w14:textId="77777777" w:rsidTr="00B3414B">
        <w:trPr>
          <w:trHeight w:val="360"/>
        </w:trPr>
        <w:tc>
          <w:tcPr>
            <w:tcW w:w="1728" w:type="dxa"/>
            <w:shd w:val="clear" w:color="auto" w:fill="auto"/>
          </w:tcPr>
          <w:p w14:paraId="39E6A1D2" w14:textId="77777777" w:rsidR="002D0E55" w:rsidRPr="00206D41" w:rsidRDefault="002D0E55" w:rsidP="002D0E55">
            <w:pPr>
              <w:ind w:left="-60"/>
              <w:rPr>
                <w:b/>
                <w:bCs/>
                <w:iCs/>
              </w:rPr>
            </w:pPr>
            <w:r>
              <w:rPr>
                <w:b/>
                <w:bCs/>
                <w:iCs/>
              </w:rPr>
              <w:t>TESTING FREQUENCY</w:t>
            </w:r>
          </w:p>
        </w:tc>
        <w:tc>
          <w:tcPr>
            <w:tcW w:w="7470" w:type="dxa"/>
            <w:shd w:val="clear" w:color="auto" w:fill="auto"/>
          </w:tcPr>
          <w:p w14:paraId="5FDAD977" w14:textId="77777777" w:rsidR="002D0E55" w:rsidRPr="0099481D" w:rsidRDefault="002D0E55" w:rsidP="002D0E55">
            <w:pPr>
              <w:spacing w:after="0" w:line="240" w:lineRule="auto"/>
              <w:rPr>
                <w:rFonts w:asciiTheme="minorHAnsi" w:eastAsiaTheme="minorHAnsi" w:hAnsiTheme="minorHAnsi" w:cstheme="minorBidi"/>
                <w:iCs/>
              </w:rPr>
            </w:pPr>
            <w:r w:rsidRPr="0099481D">
              <w:rPr>
                <w:rFonts w:asciiTheme="minorHAnsi" w:eastAsiaTheme="minorHAnsi" w:hAnsiTheme="minorHAnsi" w:cstheme="minorBidi"/>
                <w:iCs/>
              </w:rPr>
              <w:t xml:space="preserve">Monthly </w:t>
            </w:r>
          </w:p>
          <w:p w14:paraId="69D5A4D0" w14:textId="77777777" w:rsidR="002D0E55" w:rsidRPr="006F175D" w:rsidRDefault="002D0E55" w:rsidP="002D0E55">
            <w:pPr>
              <w:spacing w:after="0" w:line="240" w:lineRule="auto"/>
              <w:rPr>
                <w:rFonts w:eastAsiaTheme="minorHAnsi" w:cstheme="minorBidi"/>
                <w:iCs/>
              </w:rPr>
            </w:pPr>
            <w:r w:rsidRPr="00C05360">
              <w:t>The NII shock and its base Net Interest Income projection are subject to a complex set of assumptions and models.  These models and assumptions are subject to SHUSA’s Model Risk Governance.</w:t>
            </w:r>
          </w:p>
        </w:tc>
      </w:tr>
      <w:tr w:rsidR="002D0E55" w:rsidRPr="00206D41" w14:paraId="11D0A7C9" w14:textId="77777777" w:rsidTr="00B3414B">
        <w:trPr>
          <w:trHeight w:val="525"/>
        </w:trPr>
        <w:tc>
          <w:tcPr>
            <w:tcW w:w="1728" w:type="dxa"/>
            <w:shd w:val="clear" w:color="auto" w:fill="auto"/>
          </w:tcPr>
          <w:p w14:paraId="329B4B3A" w14:textId="77777777" w:rsidR="002D0E55" w:rsidRPr="00206D41" w:rsidRDefault="002D0E55" w:rsidP="002D0E55">
            <w:pPr>
              <w:rPr>
                <w:b/>
                <w:bCs/>
                <w:iCs/>
              </w:rPr>
            </w:pPr>
            <w:r w:rsidRPr="00206D41">
              <w:rPr>
                <w:b/>
                <w:bCs/>
                <w:iCs/>
              </w:rPr>
              <w:t>SOURCE OF INFORMATION</w:t>
            </w:r>
          </w:p>
        </w:tc>
        <w:tc>
          <w:tcPr>
            <w:tcW w:w="7470" w:type="dxa"/>
            <w:shd w:val="clear" w:color="auto" w:fill="auto"/>
          </w:tcPr>
          <w:p w14:paraId="0AA1C890" w14:textId="77777777" w:rsidR="002D0E55" w:rsidRDefault="002D0E55" w:rsidP="002D0E55">
            <w:pPr>
              <w:spacing w:after="0" w:line="240" w:lineRule="auto"/>
              <w:rPr>
                <w:bCs/>
                <w:iCs/>
                <w:lang w:val="it-IT"/>
              </w:rPr>
            </w:pPr>
            <w:r w:rsidRPr="00C05360">
              <w:rPr>
                <w:bCs/>
                <w:iCs/>
                <w:lang w:val="it-IT"/>
              </w:rPr>
              <w:t>QRM</w:t>
            </w:r>
            <w:r>
              <w:rPr>
                <w:bCs/>
                <w:iCs/>
                <w:lang w:val="it-IT"/>
              </w:rPr>
              <w:t xml:space="preserve"> - </w:t>
            </w:r>
            <w:r w:rsidRPr="000E4C0C">
              <w:rPr>
                <w:bCs/>
                <w:iCs/>
                <w:lang w:val="it-IT"/>
              </w:rPr>
              <w:t>File name: “GAP Int Driver”</w:t>
            </w:r>
          </w:p>
          <w:p w14:paraId="7B9803A4" w14:textId="77777777" w:rsidR="002D0E55" w:rsidRPr="00371B1C" w:rsidRDefault="002D0E55" w:rsidP="002D0E55">
            <w:pPr>
              <w:spacing w:after="0" w:line="240" w:lineRule="auto"/>
              <w:rPr>
                <w:bCs/>
                <w:iCs/>
                <w:lang w:val="it-IT"/>
              </w:rPr>
            </w:pPr>
            <w:r>
              <w:rPr>
                <w:iCs/>
              </w:rPr>
              <w:t xml:space="preserve">SHUSA QRM supplies Market Risk with finalized values. </w:t>
            </w:r>
          </w:p>
        </w:tc>
      </w:tr>
    </w:tbl>
    <w:p w14:paraId="0F849D72" w14:textId="77777777" w:rsidR="00954954" w:rsidRDefault="00954954" w:rsidP="001E3641">
      <w:pPr>
        <w:pStyle w:val="SANUS2"/>
        <w:rPr>
          <w:color w:val="000000" w:themeColor="text1"/>
        </w:rPr>
      </w:pPr>
    </w:p>
    <w:p w14:paraId="319CCDB8" w14:textId="77777777" w:rsidR="00DB2B0B" w:rsidRDefault="00DB2B0B" w:rsidP="001E3641">
      <w:pPr>
        <w:pStyle w:val="SANUS2"/>
        <w:rPr>
          <w:color w:val="000000" w:themeColor="text1"/>
        </w:rPr>
      </w:pPr>
    </w:p>
    <w:p w14:paraId="678CEB27" w14:textId="77777777" w:rsidR="00DB2B0B" w:rsidRDefault="00DB2B0B" w:rsidP="001E3641">
      <w:pPr>
        <w:pStyle w:val="SANUS2"/>
        <w:rPr>
          <w:color w:val="000000" w:themeColor="text1"/>
        </w:rPr>
      </w:pPr>
    </w:p>
    <w:p w14:paraId="242612CF" w14:textId="77777777" w:rsidR="00DB2B0B" w:rsidRDefault="00DB2B0B" w:rsidP="001E3641">
      <w:pPr>
        <w:pStyle w:val="SANUS2"/>
        <w:rPr>
          <w:color w:val="000000" w:themeColor="text1"/>
        </w:rPr>
      </w:pPr>
    </w:p>
    <w:p w14:paraId="63AC484B" w14:textId="77777777" w:rsidR="00DB2B0B" w:rsidRDefault="00DB2B0B" w:rsidP="001E3641">
      <w:pPr>
        <w:pStyle w:val="SANUS2"/>
        <w:rPr>
          <w:color w:val="000000" w:themeColor="text1"/>
        </w:rPr>
      </w:pPr>
    </w:p>
    <w:p w14:paraId="635E4ED1" w14:textId="77777777" w:rsidR="00DB2B0B" w:rsidRDefault="00DB2B0B" w:rsidP="001E3641">
      <w:pPr>
        <w:pStyle w:val="SANUS2"/>
        <w:rPr>
          <w:color w:val="000000" w:themeColor="text1"/>
        </w:rPr>
      </w:pPr>
      <w:bookmarkStart w:id="937" w:name="_GoBack"/>
      <w:bookmarkEnd w:id="937"/>
    </w:p>
    <w:p w14:paraId="41DEB349" w14:textId="77777777" w:rsidR="00BB4DCA" w:rsidRPr="007A48DD" w:rsidRDefault="00784F28" w:rsidP="007A48DD">
      <w:pPr>
        <w:pStyle w:val="SANUS2"/>
        <w:numPr>
          <w:ilvl w:val="1"/>
          <w:numId w:val="1"/>
        </w:numPr>
        <w:rPr>
          <w:color w:val="000000" w:themeColor="text1"/>
        </w:rPr>
      </w:pPr>
      <w:bookmarkStart w:id="938" w:name="_Toc452544186"/>
      <w:bookmarkStart w:id="939" w:name="_Toc453849305"/>
      <w:r>
        <w:rPr>
          <w:color w:val="000000" w:themeColor="text1"/>
        </w:rPr>
        <w:t>Market value of equity</w:t>
      </w:r>
      <w:r w:rsidR="00981DFF">
        <w:rPr>
          <w:color w:val="000000" w:themeColor="text1"/>
        </w:rPr>
        <w:t xml:space="preserve"> (MVE)</w:t>
      </w:r>
      <w:r>
        <w:rPr>
          <w:color w:val="000000" w:themeColor="text1"/>
        </w:rPr>
        <w:t xml:space="preserve"> sensitivity (+/- </w:t>
      </w:r>
      <w:r w:rsidR="005657CD">
        <w:rPr>
          <w:color w:val="000000" w:themeColor="text1"/>
        </w:rPr>
        <w:t xml:space="preserve">100 </w:t>
      </w:r>
      <w:r>
        <w:rPr>
          <w:color w:val="000000" w:themeColor="text1"/>
        </w:rPr>
        <w:t>bps shock)</w:t>
      </w:r>
      <w:bookmarkEnd w:id="938"/>
      <w:bookmarkEnd w:id="939"/>
    </w:p>
    <w:tbl>
      <w:tblPr>
        <w:tblpPr w:leftFromText="180" w:rightFromText="180" w:vertAnchor="text" w:tblpX="168" w:tblpY="1"/>
        <w:tblOverlap w:val="never"/>
        <w:tblW w:w="9198"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000" w:firstRow="0" w:lastRow="0" w:firstColumn="0" w:lastColumn="0" w:noHBand="0" w:noVBand="0"/>
      </w:tblPr>
      <w:tblGrid>
        <w:gridCol w:w="1728"/>
        <w:gridCol w:w="7470"/>
      </w:tblGrid>
      <w:tr w:rsidR="00BB4DCA" w:rsidRPr="00206D41" w14:paraId="4D138896" w14:textId="77777777" w:rsidTr="0075325F">
        <w:trPr>
          <w:cantSplit/>
          <w:trHeight w:val="462"/>
        </w:trPr>
        <w:tc>
          <w:tcPr>
            <w:tcW w:w="1728" w:type="dxa"/>
            <w:shd w:val="clear" w:color="auto" w:fill="auto"/>
          </w:tcPr>
          <w:p w14:paraId="1790DD80" w14:textId="77777777" w:rsidR="00BB4DCA" w:rsidRPr="00206D41" w:rsidRDefault="00981DFF" w:rsidP="007E122B">
            <w:pPr>
              <w:rPr>
                <w:b/>
                <w:bCs/>
                <w:iCs/>
              </w:rPr>
            </w:pPr>
            <w:r>
              <w:rPr>
                <w:b/>
                <w:bCs/>
                <w:iCs/>
              </w:rPr>
              <w:t>DEFINITION</w:t>
            </w:r>
          </w:p>
        </w:tc>
        <w:tc>
          <w:tcPr>
            <w:tcW w:w="7470" w:type="dxa"/>
            <w:shd w:val="clear" w:color="auto" w:fill="auto"/>
          </w:tcPr>
          <w:p w14:paraId="2B8E3325" w14:textId="77777777" w:rsidR="00BB4DCA" w:rsidRDefault="007A48DD" w:rsidP="00981DFF">
            <w:pPr>
              <w:spacing w:after="0" w:line="240" w:lineRule="auto"/>
              <w:rPr>
                <w:bCs/>
                <w:iCs/>
              </w:rPr>
            </w:pPr>
            <w:r>
              <w:rPr>
                <w:bCs/>
                <w:iCs/>
              </w:rPr>
              <w:t>A measurement of</w:t>
            </w:r>
            <w:r w:rsidR="00981DFF" w:rsidRPr="00981DFF">
              <w:rPr>
                <w:bCs/>
                <w:iCs/>
              </w:rPr>
              <w:t xml:space="preserve"> the directional sensitivity of</w:t>
            </w:r>
            <w:r>
              <w:rPr>
                <w:bCs/>
                <w:iCs/>
              </w:rPr>
              <w:t xml:space="preserve"> the</w:t>
            </w:r>
            <w:r w:rsidR="00981DFF" w:rsidRPr="00981DFF">
              <w:rPr>
                <w:bCs/>
                <w:iCs/>
              </w:rPr>
              <w:t xml:space="preserve"> market value of equity</w:t>
            </w:r>
            <w:r>
              <w:rPr>
                <w:bCs/>
                <w:iCs/>
              </w:rPr>
              <w:t xml:space="preserve"> (MVE)</w:t>
            </w:r>
            <w:r w:rsidR="00981DFF" w:rsidRPr="00981DFF">
              <w:rPr>
                <w:bCs/>
                <w:iCs/>
              </w:rPr>
              <w:t xml:space="preserve"> due to the re</w:t>
            </w:r>
            <w:r w:rsidR="001618A5">
              <w:rPr>
                <w:bCs/>
                <w:iCs/>
              </w:rPr>
              <w:t>-</w:t>
            </w:r>
            <w:r w:rsidR="00981DFF" w:rsidRPr="00981DFF">
              <w:rPr>
                <w:bCs/>
                <w:iCs/>
              </w:rPr>
              <w:t>pricing interaction of the existing assets and liabilities over time resulting from a particular yield curve shift</w:t>
            </w:r>
            <w:r w:rsidR="003510A0">
              <w:rPr>
                <w:bCs/>
                <w:iCs/>
              </w:rPr>
              <w:t xml:space="preserve">. </w:t>
            </w:r>
          </w:p>
          <w:p w14:paraId="094CDC66" w14:textId="77777777" w:rsidR="003510A0" w:rsidRDefault="003510A0" w:rsidP="00981DFF">
            <w:pPr>
              <w:spacing w:after="0" w:line="240" w:lineRule="auto"/>
              <w:rPr>
                <w:bCs/>
                <w:iCs/>
              </w:rPr>
            </w:pPr>
          </w:p>
          <w:p w14:paraId="64AFF33E" w14:textId="77777777" w:rsidR="003510A0" w:rsidRPr="003510A0" w:rsidRDefault="003510A0" w:rsidP="003510A0">
            <w:pPr>
              <w:spacing w:after="0" w:line="240" w:lineRule="auto"/>
              <w:rPr>
                <w:rFonts w:asciiTheme="minorHAnsi" w:eastAsiaTheme="minorHAnsi" w:hAnsiTheme="minorHAnsi" w:cstheme="minorBidi"/>
                <w:iCs/>
              </w:rPr>
            </w:pPr>
            <w:r w:rsidRPr="003510A0">
              <w:rPr>
                <w:rFonts w:asciiTheme="minorHAnsi" w:eastAsiaTheme="minorHAnsi" w:hAnsiTheme="minorHAnsi" w:cstheme="minorBidi"/>
                <w:iCs/>
              </w:rPr>
              <w:t>MVE measures the difference between the current fair value of an asset and the current fair value of liabilities; it serves as a proxy to the market</w:t>
            </w:r>
            <w:r>
              <w:rPr>
                <w:rFonts w:asciiTheme="minorHAnsi" w:eastAsiaTheme="minorHAnsi" w:hAnsiTheme="minorHAnsi" w:cstheme="minorBidi"/>
                <w:iCs/>
              </w:rPr>
              <w:t xml:space="preserve"> value of SHUSA’s balance sheet.</w:t>
            </w:r>
          </w:p>
        </w:tc>
      </w:tr>
      <w:tr w:rsidR="00BB4DCA" w:rsidRPr="00206D41" w14:paraId="63582B7F" w14:textId="77777777" w:rsidTr="0075325F">
        <w:trPr>
          <w:trHeight w:val="462"/>
        </w:trPr>
        <w:tc>
          <w:tcPr>
            <w:tcW w:w="1728" w:type="dxa"/>
            <w:shd w:val="clear" w:color="auto" w:fill="auto"/>
          </w:tcPr>
          <w:p w14:paraId="016BAE06" w14:textId="77777777" w:rsidR="00BB4DCA" w:rsidRPr="00206D41" w:rsidRDefault="00CE7334" w:rsidP="007E122B">
            <w:pPr>
              <w:rPr>
                <w:b/>
                <w:bCs/>
                <w:iCs/>
              </w:rPr>
            </w:pPr>
            <w:r>
              <w:rPr>
                <w:b/>
                <w:bCs/>
                <w:iCs/>
              </w:rPr>
              <w:t>RISK TYPE</w:t>
            </w:r>
          </w:p>
        </w:tc>
        <w:tc>
          <w:tcPr>
            <w:tcW w:w="7470" w:type="dxa"/>
            <w:shd w:val="clear" w:color="auto" w:fill="auto"/>
          </w:tcPr>
          <w:p w14:paraId="1AFFD341" w14:textId="77777777" w:rsidR="00BB4DCA" w:rsidRPr="00206D41" w:rsidRDefault="007A48DD" w:rsidP="007E122B">
            <w:pPr>
              <w:spacing w:after="0" w:line="240" w:lineRule="auto"/>
              <w:rPr>
                <w:bCs/>
                <w:iCs/>
              </w:rPr>
            </w:pPr>
            <w:r>
              <w:rPr>
                <w:bCs/>
                <w:iCs/>
              </w:rPr>
              <w:t>Interest Rate Risk</w:t>
            </w:r>
          </w:p>
        </w:tc>
      </w:tr>
      <w:tr w:rsidR="002D0E55" w:rsidRPr="00206D41" w14:paraId="09706B1E" w14:textId="77777777" w:rsidTr="0075325F">
        <w:trPr>
          <w:trHeight w:val="462"/>
        </w:trPr>
        <w:tc>
          <w:tcPr>
            <w:tcW w:w="1728" w:type="dxa"/>
            <w:shd w:val="clear" w:color="auto" w:fill="auto"/>
          </w:tcPr>
          <w:p w14:paraId="48898609" w14:textId="77777777" w:rsidR="002D0E55" w:rsidRDefault="002D0E55" w:rsidP="007E122B">
            <w:pPr>
              <w:rPr>
                <w:b/>
                <w:bCs/>
                <w:iCs/>
              </w:rPr>
            </w:pPr>
            <w:r>
              <w:rPr>
                <w:b/>
                <w:bCs/>
                <w:iCs/>
              </w:rPr>
              <w:t>RATIONALE</w:t>
            </w:r>
          </w:p>
        </w:tc>
        <w:tc>
          <w:tcPr>
            <w:tcW w:w="7470" w:type="dxa"/>
            <w:shd w:val="clear" w:color="auto" w:fill="auto"/>
          </w:tcPr>
          <w:p w14:paraId="5EE7CFCC" w14:textId="77777777" w:rsidR="00EF0941" w:rsidRPr="00EF0941" w:rsidRDefault="00EF0941" w:rsidP="00EF0941">
            <w:pPr>
              <w:spacing w:after="0" w:line="240" w:lineRule="auto"/>
              <w:rPr>
                <w:bCs/>
                <w:iCs/>
              </w:rPr>
            </w:pPr>
            <w:r>
              <w:rPr>
                <w:bCs/>
                <w:iCs/>
              </w:rPr>
              <w:t>E</w:t>
            </w:r>
            <w:r w:rsidRPr="00EF0941">
              <w:rPr>
                <w:bCs/>
                <w:iCs/>
              </w:rPr>
              <w:t xml:space="preserve">stimates the directional sensitivity of </w:t>
            </w:r>
            <w:r>
              <w:rPr>
                <w:bCs/>
                <w:iCs/>
              </w:rPr>
              <w:t>MVE</w:t>
            </w:r>
            <w:r w:rsidRPr="00EF0941">
              <w:rPr>
                <w:bCs/>
                <w:iCs/>
              </w:rPr>
              <w:t xml:space="preserve"> due to the re</w:t>
            </w:r>
            <w:r>
              <w:rPr>
                <w:bCs/>
                <w:iCs/>
              </w:rPr>
              <w:t>-</w:t>
            </w:r>
            <w:r w:rsidRPr="00EF0941">
              <w:rPr>
                <w:bCs/>
                <w:iCs/>
              </w:rPr>
              <w:t>pricing interaction of the existing assets and liabilities over time resulting from a particular yield curve shift</w:t>
            </w:r>
            <w:r w:rsidR="00213EBA">
              <w:rPr>
                <w:bCs/>
                <w:iCs/>
              </w:rPr>
              <w:t>.</w:t>
            </w:r>
          </w:p>
          <w:p w14:paraId="7E1BBEB7" w14:textId="77777777" w:rsidR="002D0E55" w:rsidRDefault="00EF0941" w:rsidP="00EF0941">
            <w:pPr>
              <w:spacing w:after="0" w:line="240" w:lineRule="auto"/>
              <w:rPr>
                <w:bCs/>
                <w:iCs/>
              </w:rPr>
            </w:pPr>
            <w:r w:rsidRPr="00EF0941">
              <w:rPr>
                <w:bCs/>
                <w:iCs/>
              </w:rPr>
              <w:t>MVE shocks provide a longer</w:t>
            </w:r>
            <w:r>
              <w:rPr>
                <w:bCs/>
                <w:iCs/>
              </w:rPr>
              <w:t>-</w:t>
            </w:r>
            <w:r w:rsidRPr="00EF0941">
              <w:rPr>
                <w:bCs/>
                <w:iCs/>
              </w:rPr>
              <w:t>term economic view of SHUSA’s IRR exposure that incorporates all future cash flows from existing asset/liability and off-balance sheet exposures</w:t>
            </w:r>
            <w:r w:rsidR="00213EBA">
              <w:rPr>
                <w:bCs/>
                <w:iCs/>
              </w:rPr>
              <w:t>.</w:t>
            </w:r>
          </w:p>
        </w:tc>
      </w:tr>
      <w:tr w:rsidR="00AD2CAD" w:rsidRPr="00206D41" w14:paraId="28A66052" w14:textId="77777777" w:rsidTr="006B6E1C">
        <w:trPr>
          <w:trHeight w:val="270"/>
        </w:trPr>
        <w:tc>
          <w:tcPr>
            <w:tcW w:w="1728" w:type="dxa"/>
            <w:shd w:val="clear" w:color="auto" w:fill="auto"/>
          </w:tcPr>
          <w:p w14:paraId="38CA2275" w14:textId="77777777" w:rsidR="00AD2CAD" w:rsidRPr="00206D41" w:rsidRDefault="00AD2CAD" w:rsidP="007E122B">
            <w:pPr>
              <w:rPr>
                <w:b/>
                <w:bCs/>
                <w:iCs/>
              </w:rPr>
            </w:pPr>
            <w:r>
              <w:rPr>
                <w:b/>
                <w:bCs/>
                <w:iCs/>
              </w:rPr>
              <w:t>ENTITY</w:t>
            </w:r>
          </w:p>
        </w:tc>
        <w:tc>
          <w:tcPr>
            <w:tcW w:w="7470" w:type="dxa"/>
            <w:shd w:val="clear" w:color="auto" w:fill="auto"/>
          </w:tcPr>
          <w:p w14:paraId="3D98C410" w14:textId="77777777" w:rsidR="00AD2CAD" w:rsidRPr="00981DFF" w:rsidRDefault="00AD2CAD" w:rsidP="007E122B">
            <w:pPr>
              <w:spacing w:after="0" w:line="240" w:lineRule="auto"/>
              <w:rPr>
                <w:b/>
                <w:bCs/>
                <w:iCs/>
              </w:rPr>
            </w:pPr>
            <w:r w:rsidRPr="00981DFF">
              <w:rPr>
                <w:b/>
                <w:bCs/>
                <w:iCs/>
              </w:rPr>
              <w:t>SHUSA</w:t>
            </w:r>
          </w:p>
        </w:tc>
      </w:tr>
      <w:tr w:rsidR="00AD2CAD" w:rsidRPr="00206D41" w14:paraId="00E83B94" w14:textId="77777777" w:rsidTr="006B6E1C">
        <w:trPr>
          <w:trHeight w:val="270"/>
        </w:trPr>
        <w:tc>
          <w:tcPr>
            <w:tcW w:w="1728" w:type="dxa"/>
            <w:shd w:val="clear" w:color="auto" w:fill="auto"/>
          </w:tcPr>
          <w:p w14:paraId="0B07DDD7" w14:textId="598A85A5" w:rsidR="00AD2CAD" w:rsidRPr="00206D41" w:rsidRDefault="00511F11" w:rsidP="002D0E55">
            <w:pPr>
              <w:rPr>
                <w:b/>
                <w:bCs/>
                <w:iCs/>
              </w:rPr>
            </w:pPr>
            <w:r>
              <w:rPr>
                <w:rFonts w:asciiTheme="minorHAnsi" w:hAnsiTheme="minorHAnsi"/>
                <w:b/>
                <w:bCs/>
                <w:iCs/>
              </w:rPr>
              <w:t>METRIC PROVIDER</w:t>
            </w:r>
          </w:p>
        </w:tc>
        <w:tc>
          <w:tcPr>
            <w:tcW w:w="7470" w:type="dxa"/>
            <w:shd w:val="clear" w:color="auto" w:fill="auto"/>
          </w:tcPr>
          <w:p w14:paraId="47D63CD3" w14:textId="09F6FEE2" w:rsidR="00AD2CAD" w:rsidRPr="00981DFF" w:rsidRDefault="009F6CFA" w:rsidP="002D0E55">
            <w:pPr>
              <w:spacing w:after="0" w:line="240" w:lineRule="auto"/>
              <w:rPr>
                <w:b/>
                <w:bCs/>
                <w:iCs/>
              </w:rPr>
            </w:pPr>
            <w:r w:rsidRPr="005A3957">
              <w:rPr>
                <w:b/>
                <w:bCs/>
                <w:iCs/>
              </w:rPr>
              <w:t>SHUSA</w:t>
            </w:r>
            <w:r>
              <w:rPr>
                <w:b/>
                <w:bCs/>
                <w:iCs/>
              </w:rPr>
              <w:t xml:space="preserve"> Market and Liquidity Risk</w:t>
            </w:r>
          </w:p>
        </w:tc>
      </w:tr>
      <w:tr w:rsidR="002D0E55" w:rsidRPr="00206D41" w14:paraId="153AF606" w14:textId="77777777" w:rsidTr="0075325F">
        <w:trPr>
          <w:trHeight w:val="360"/>
        </w:trPr>
        <w:tc>
          <w:tcPr>
            <w:tcW w:w="1728" w:type="dxa"/>
            <w:shd w:val="clear" w:color="auto" w:fill="auto"/>
          </w:tcPr>
          <w:p w14:paraId="5D369ADE" w14:textId="77777777" w:rsidR="002D0E55" w:rsidRPr="00206D41" w:rsidRDefault="002D0E55" w:rsidP="002D0E55">
            <w:pPr>
              <w:ind w:left="-60"/>
              <w:rPr>
                <w:b/>
                <w:bCs/>
                <w:iCs/>
              </w:rPr>
            </w:pPr>
            <w:r>
              <w:rPr>
                <w:b/>
                <w:bCs/>
                <w:iCs/>
              </w:rPr>
              <w:t>TRIGGER AND LIMIT SETTING</w:t>
            </w:r>
          </w:p>
        </w:tc>
        <w:tc>
          <w:tcPr>
            <w:tcW w:w="7470" w:type="dxa"/>
            <w:shd w:val="clear" w:color="auto" w:fill="auto"/>
          </w:tcPr>
          <w:p w14:paraId="12E01510" w14:textId="77777777" w:rsidR="002D0E55" w:rsidRDefault="002D0E55" w:rsidP="002D0E55">
            <w:pPr>
              <w:spacing w:after="0" w:line="240" w:lineRule="auto"/>
              <w:rPr>
                <w:rFonts w:asciiTheme="minorHAnsi" w:eastAsiaTheme="minorHAnsi" w:hAnsiTheme="minorHAnsi" w:cstheme="minorBidi"/>
                <w:iCs/>
              </w:rPr>
            </w:pPr>
            <w:r w:rsidRPr="00206D41">
              <w:rPr>
                <w:rFonts w:asciiTheme="minorHAnsi" w:eastAsiaTheme="minorHAnsi" w:hAnsiTheme="minorHAnsi" w:cstheme="minorBidi"/>
                <w:iCs/>
              </w:rPr>
              <w:t>The metric is computed through the full revaluation of all interest rate sensitivity compon</w:t>
            </w:r>
            <w:r>
              <w:rPr>
                <w:rFonts w:asciiTheme="minorHAnsi" w:eastAsiaTheme="minorHAnsi" w:hAnsiTheme="minorHAnsi" w:cstheme="minorBidi"/>
                <w:iCs/>
              </w:rPr>
              <w:t xml:space="preserve">ents of the Balance Sheet </w:t>
            </w:r>
            <w:r w:rsidRPr="00206D41">
              <w:rPr>
                <w:rFonts w:asciiTheme="minorHAnsi" w:eastAsiaTheme="minorHAnsi" w:hAnsiTheme="minorHAnsi" w:cstheme="minorBidi"/>
                <w:iCs/>
              </w:rPr>
              <w:t xml:space="preserve">(On-B/S and Off-), selecting the biggest loss </w:t>
            </w:r>
            <w:r>
              <w:rPr>
                <w:rFonts w:asciiTheme="minorHAnsi" w:eastAsiaTheme="minorHAnsi" w:hAnsiTheme="minorHAnsi" w:cstheme="minorBidi"/>
                <w:iCs/>
              </w:rPr>
              <w:t xml:space="preserve">generated </w:t>
            </w:r>
            <w:r w:rsidRPr="00206D41">
              <w:rPr>
                <w:rFonts w:asciiTheme="minorHAnsi" w:eastAsiaTheme="minorHAnsi" w:hAnsiTheme="minorHAnsi" w:cstheme="minorBidi"/>
                <w:iCs/>
              </w:rPr>
              <w:t>between</w:t>
            </w:r>
            <w:r>
              <w:rPr>
                <w:rFonts w:asciiTheme="minorHAnsi" w:eastAsiaTheme="minorHAnsi" w:hAnsiTheme="minorHAnsi" w:cstheme="minorBidi"/>
                <w:iCs/>
              </w:rPr>
              <w:t xml:space="preserve"> a</w:t>
            </w:r>
            <w:r w:rsidRPr="00206D41">
              <w:rPr>
                <w:rFonts w:asciiTheme="minorHAnsi" w:eastAsiaTheme="minorHAnsi" w:hAnsiTheme="minorHAnsi" w:cstheme="minorBidi"/>
                <w:iCs/>
              </w:rPr>
              <w:t xml:space="preserve"> relevant parallel shocks computed from minus </w:t>
            </w:r>
            <w:r>
              <w:rPr>
                <w:rFonts w:asciiTheme="minorHAnsi" w:eastAsiaTheme="minorHAnsi" w:hAnsiTheme="minorHAnsi" w:cstheme="minorBidi"/>
                <w:iCs/>
              </w:rPr>
              <w:t>200 bps up to plus 200 bps compared to</w:t>
            </w:r>
            <w:r w:rsidRPr="00206D41">
              <w:rPr>
                <w:rFonts w:asciiTheme="minorHAnsi" w:eastAsiaTheme="minorHAnsi" w:hAnsiTheme="minorHAnsi" w:cstheme="minorBidi"/>
                <w:iCs/>
              </w:rPr>
              <w:t xml:space="preserve"> the base case scenario</w:t>
            </w:r>
            <w:r>
              <w:rPr>
                <w:rFonts w:asciiTheme="minorHAnsi" w:eastAsiaTheme="minorHAnsi" w:hAnsiTheme="minorHAnsi" w:cstheme="minorBidi"/>
                <w:iCs/>
              </w:rPr>
              <w:t>.</w:t>
            </w:r>
          </w:p>
          <w:p w14:paraId="18F8035A" w14:textId="1DE38508" w:rsidR="002D0E55" w:rsidRPr="003510A0" w:rsidRDefault="002D0E55" w:rsidP="002D0E55">
            <w:pPr>
              <w:spacing w:after="0" w:line="240" w:lineRule="auto"/>
              <w:rPr>
                <w:rFonts w:asciiTheme="minorHAnsi" w:eastAsiaTheme="minorHAnsi" w:hAnsiTheme="minorHAnsi" w:cstheme="minorBidi"/>
                <w:iCs/>
              </w:rPr>
            </w:pPr>
            <w:r w:rsidRPr="003510A0">
              <w:rPr>
                <w:rFonts w:asciiTheme="minorHAnsi" w:eastAsiaTheme="minorHAnsi" w:hAnsiTheme="minorHAnsi" w:cstheme="minorBidi"/>
                <w:iCs/>
              </w:rPr>
              <w:t>This configuration of the metric is an industry standard</w:t>
            </w:r>
            <w:r w:rsidR="00954954">
              <w:rPr>
                <w:rFonts w:asciiTheme="minorHAnsi" w:eastAsiaTheme="minorHAnsi" w:hAnsiTheme="minorHAnsi" w:cstheme="minorBidi"/>
                <w:iCs/>
              </w:rPr>
              <w:t>.</w:t>
            </w:r>
          </w:p>
          <w:p w14:paraId="7DA55268" w14:textId="77777777" w:rsidR="002D0E55" w:rsidRPr="0075325F" w:rsidRDefault="002D0E55" w:rsidP="002D0E55">
            <w:pPr>
              <w:pStyle w:val="ListParagraph"/>
              <w:numPr>
                <w:ilvl w:val="0"/>
                <w:numId w:val="18"/>
              </w:numPr>
              <w:spacing w:after="0" w:line="240" w:lineRule="auto"/>
              <w:rPr>
                <w:iCs/>
              </w:rPr>
            </w:pPr>
            <w:r w:rsidRPr="0075325F">
              <w:rPr>
                <w:iCs/>
              </w:rPr>
              <w:t xml:space="preserve">The amber trigger </w:t>
            </w:r>
            <w:r>
              <w:rPr>
                <w:iCs/>
              </w:rPr>
              <w:t xml:space="preserve">is </w:t>
            </w:r>
            <w:r w:rsidRPr="0075325F">
              <w:rPr>
                <w:iCs/>
              </w:rPr>
              <w:t xml:space="preserve">established </w:t>
            </w:r>
            <w:r>
              <w:rPr>
                <w:iCs/>
              </w:rPr>
              <w:t>by the business line (Treasury)</w:t>
            </w:r>
          </w:p>
          <w:p w14:paraId="4A576142" w14:textId="77777777" w:rsidR="002D0E55" w:rsidRPr="00B75C61" w:rsidRDefault="002D0E55" w:rsidP="002D0E55">
            <w:pPr>
              <w:pStyle w:val="ListParagraph"/>
              <w:numPr>
                <w:ilvl w:val="0"/>
                <w:numId w:val="17"/>
              </w:numPr>
              <w:spacing w:after="0" w:line="240" w:lineRule="auto"/>
              <w:rPr>
                <w:iCs/>
              </w:rPr>
            </w:pPr>
            <w:r w:rsidRPr="00B75C61">
              <w:rPr>
                <w:iCs/>
              </w:rPr>
              <w:t xml:space="preserve">The red limit </w:t>
            </w:r>
            <w:r>
              <w:rPr>
                <w:iCs/>
              </w:rPr>
              <w:t xml:space="preserve">is proposed by Treasury, reviewed and challenged by Market Risk and approved by ERM </w:t>
            </w:r>
          </w:p>
        </w:tc>
      </w:tr>
      <w:tr w:rsidR="002D0E55" w:rsidRPr="00206D41" w14:paraId="62CF52B6" w14:textId="77777777" w:rsidTr="0075325F">
        <w:trPr>
          <w:trHeight w:val="510"/>
        </w:trPr>
        <w:tc>
          <w:tcPr>
            <w:tcW w:w="1728" w:type="dxa"/>
            <w:shd w:val="clear" w:color="auto" w:fill="auto"/>
          </w:tcPr>
          <w:p w14:paraId="11FCFDE1" w14:textId="77777777" w:rsidR="002D0E55" w:rsidRPr="00206D41" w:rsidRDefault="002D0E55" w:rsidP="002D0E55">
            <w:pPr>
              <w:ind w:left="-60"/>
              <w:rPr>
                <w:b/>
                <w:bCs/>
                <w:iCs/>
              </w:rPr>
            </w:pPr>
            <w:r>
              <w:rPr>
                <w:b/>
                <w:bCs/>
                <w:iCs/>
              </w:rPr>
              <w:t xml:space="preserve">TESTING </w:t>
            </w:r>
            <w:r w:rsidRPr="00206D41">
              <w:rPr>
                <w:b/>
                <w:bCs/>
                <w:iCs/>
              </w:rPr>
              <w:t>FREQUENCY</w:t>
            </w:r>
          </w:p>
        </w:tc>
        <w:tc>
          <w:tcPr>
            <w:tcW w:w="7470" w:type="dxa"/>
            <w:shd w:val="clear" w:color="auto" w:fill="auto"/>
          </w:tcPr>
          <w:p w14:paraId="07765CB5" w14:textId="5B9768B3" w:rsidR="002D0E55" w:rsidRPr="00954954" w:rsidRDefault="00954954" w:rsidP="002D0E55">
            <w:pPr>
              <w:rPr>
                <w:rFonts w:asciiTheme="minorHAnsi" w:eastAsiaTheme="minorHAnsi" w:hAnsiTheme="minorHAnsi" w:cstheme="minorBidi"/>
                <w:iCs/>
              </w:rPr>
            </w:pPr>
            <w:r>
              <w:rPr>
                <w:rFonts w:asciiTheme="minorHAnsi" w:eastAsiaTheme="minorHAnsi" w:hAnsiTheme="minorHAnsi" w:cstheme="minorBidi"/>
                <w:iCs/>
              </w:rPr>
              <w:t>M</w:t>
            </w:r>
            <w:r w:rsidR="002D0E55" w:rsidRPr="00206D41">
              <w:rPr>
                <w:rFonts w:asciiTheme="minorHAnsi" w:eastAsiaTheme="minorHAnsi" w:hAnsiTheme="minorHAnsi" w:cstheme="minorBidi"/>
                <w:iCs/>
              </w:rPr>
              <w:t>onthly</w:t>
            </w:r>
            <w:r>
              <w:rPr>
                <w:rFonts w:asciiTheme="minorHAnsi" w:eastAsiaTheme="minorHAnsi" w:hAnsiTheme="minorHAnsi" w:cstheme="minorBidi"/>
                <w:iCs/>
              </w:rPr>
              <w:t xml:space="preserve"> - </w:t>
            </w:r>
            <w:r w:rsidR="002D0E55" w:rsidRPr="00C05360">
              <w:t>MVE is dependent on a number of assumptions that include: interest rate characteristics of deposits, non-maturing assets/liabilities and the optionality of loans.  All deposits without explicit maturities</w:t>
            </w:r>
            <w:r w:rsidR="002D0E55" w:rsidRPr="00C05360">
              <w:footnoteReference w:id="14"/>
            </w:r>
            <w:r w:rsidR="002D0E55" w:rsidRPr="00C05360">
              <w:t xml:space="preserve"> such as DDA, Savings and MMDA type accounts are subject to call risk. Market Risk will annually calibrate and submit to the ALCO and Model Risk Management non maturity asset and liability durations and the model calibrations.</w:t>
            </w:r>
          </w:p>
        </w:tc>
      </w:tr>
      <w:tr w:rsidR="002D0E55" w:rsidRPr="00206D41" w14:paraId="763266CD" w14:textId="77777777" w:rsidTr="0075325F">
        <w:trPr>
          <w:trHeight w:val="525"/>
        </w:trPr>
        <w:tc>
          <w:tcPr>
            <w:tcW w:w="1728" w:type="dxa"/>
            <w:shd w:val="clear" w:color="auto" w:fill="auto"/>
          </w:tcPr>
          <w:p w14:paraId="46A4EA7B" w14:textId="77777777" w:rsidR="002D0E55" w:rsidRPr="00206D41" w:rsidRDefault="002D0E55" w:rsidP="002D0E55">
            <w:pPr>
              <w:rPr>
                <w:b/>
                <w:bCs/>
                <w:iCs/>
              </w:rPr>
            </w:pPr>
            <w:r w:rsidRPr="00206D41">
              <w:rPr>
                <w:b/>
                <w:bCs/>
                <w:iCs/>
              </w:rPr>
              <w:t>SOURCE OF INFORMATION</w:t>
            </w:r>
          </w:p>
        </w:tc>
        <w:tc>
          <w:tcPr>
            <w:tcW w:w="7470" w:type="dxa"/>
            <w:shd w:val="clear" w:color="auto" w:fill="auto"/>
          </w:tcPr>
          <w:p w14:paraId="3FC44CC5" w14:textId="77777777" w:rsidR="002D0E55" w:rsidRDefault="002D0E55" w:rsidP="002D0E55">
            <w:pPr>
              <w:spacing w:after="0" w:line="240" w:lineRule="auto"/>
              <w:rPr>
                <w:bCs/>
                <w:iCs/>
              </w:rPr>
            </w:pPr>
            <w:r w:rsidRPr="00C979E9">
              <w:rPr>
                <w:bCs/>
                <w:iCs/>
                <w:lang w:val="it-IT"/>
              </w:rPr>
              <w:t>QRM</w:t>
            </w:r>
            <w:r>
              <w:rPr>
                <w:bCs/>
                <w:iCs/>
                <w:lang w:val="it-IT"/>
              </w:rPr>
              <w:t xml:space="preserve"> - </w:t>
            </w:r>
            <w:r w:rsidRPr="000E4C0C">
              <w:rPr>
                <w:bCs/>
                <w:iCs/>
                <w:lang w:val="it-IT"/>
              </w:rPr>
              <w:t>File name: “GAP Int Driver”</w:t>
            </w:r>
            <w:r>
              <w:rPr>
                <w:bCs/>
                <w:iCs/>
              </w:rPr>
              <w:t xml:space="preserve"> </w:t>
            </w:r>
          </w:p>
          <w:p w14:paraId="68C20478" w14:textId="77777777" w:rsidR="002D0E55" w:rsidRPr="00206D41" w:rsidRDefault="002D0E55" w:rsidP="002D0E55">
            <w:pPr>
              <w:spacing w:after="0" w:line="240" w:lineRule="auto"/>
              <w:rPr>
                <w:bCs/>
                <w:iCs/>
              </w:rPr>
            </w:pPr>
            <w:r>
              <w:rPr>
                <w:iCs/>
              </w:rPr>
              <w:t>SHUSA QRM supplies Market Risk with finalized values.</w:t>
            </w:r>
          </w:p>
        </w:tc>
      </w:tr>
    </w:tbl>
    <w:p w14:paraId="5A987311" w14:textId="77777777" w:rsidR="00954954" w:rsidRDefault="00954954" w:rsidP="00954954">
      <w:pPr>
        <w:pStyle w:val="SANUS1"/>
        <w:ind w:left="680"/>
      </w:pPr>
      <w:bookmarkStart w:id="940" w:name="_Toc439165557"/>
      <w:bookmarkStart w:id="941" w:name="_Toc439165838"/>
      <w:bookmarkStart w:id="942" w:name="_Toc452651038"/>
      <w:bookmarkStart w:id="943" w:name="_Toc452651039"/>
      <w:bookmarkStart w:id="944" w:name="_Toc452651040"/>
      <w:bookmarkStart w:id="945" w:name="_Toc452651041"/>
      <w:bookmarkStart w:id="946" w:name="_Toc452651042"/>
      <w:bookmarkStart w:id="947" w:name="_Toc452651043"/>
      <w:bookmarkStart w:id="948" w:name="_Toc452651044"/>
      <w:bookmarkStart w:id="949" w:name="_Toc439165558"/>
      <w:bookmarkStart w:id="950" w:name="_Toc439165839"/>
      <w:bookmarkStart w:id="951" w:name="_Toc439841773"/>
      <w:bookmarkStart w:id="952" w:name="_Toc439165559"/>
      <w:bookmarkStart w:id="953" w:name="_Toc439165840"/>
      <w:bookmarkStart w:id="954" w:name="_Toc439841774"/>
      <w:bookmarkStart w:id="955" w:name="_Toc439165560"/>
      <w:bookmarkStart w:id="956" w:name="_Toc439165841"/>
      <w:bookmarkStart w:id="957" w:name="_Toc439841775"/>
      <w:bookmarkStart w:id="958" w:name="_Toc439165561"/>
      <w:bookmarkStart w:id="959" w:name="_Toc439165842"/>
      <w:bookmarkStart w:id="960" w:name="_Toc439841776"/>
      <w:bookmarkStart w:id="961" w:name="_Toc439165562"/>
      <w:bookmarkStart w:id="962" w:name="_Toc439165843"/>
      <w:bookmarkStart w:id="963" w:name="_Toc439841777"/>
      <w:bookmarkStart w:id="964" w:name="_Toc439165563"/>
      <w:bookmarkStart w:id="965" w:name="_Toc439165844"/>
      <w:bookmarkStart w:id="966" w:name="_Toc439841778"/>
      <w:bookmarkStart w:id="967" w:name="_Toc439165564"/>
      <w:bookmarkStart w:id="968" w:name="_Toc439165845"/>
      <w:bookmarkStart w:id="969" w:name="_Toc439841779"/>
      <w:bookmarkStart w:id="970" w:name="_Toc452544187"/>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p>
    <w:p w14:paraId="069EC64E" w14:textId="77777777" w:rsidR="00BB4DCA" w:rsidRDefault="00784F28">
      <w:pPr>
        <w:pStyle w:val="SANUS1"/>
        <w:numPr>
          <w:ilvl w:val="0"/>
          <w:numId w:val="1"/>
        </w:numPr>
      </w:pPr>
      <w:bookmarkStart w:id="971" w:name="_Toc453849306"/>
      <w:r>
        <w:t>Mark-to-market portfolio risk metrics</w:t>
      </w:r>
      <w:bookmarkEnd w:id="970"/>
      <w:bookmarkEnd w:id="971"/>
    </w:p>
    <w:p w14:paraId="142A4D52" w14:textId="77777777" w:rsidR="007E122B" w:rsidRPr="00981DFF" w:rsidRDefault="00784F28" w:rsidP="00FD1AD4">
      <w:pPr>
        <w:pStyle w:val="SANUS2"/>
        <w:numPr>
          <w:ilvl w:val="1"/>
          <w:numId w:val="1"/>
        </w:numPr>
        <w:rPr>
          <w:color w:val="000000" w:themeColor="text1"/>
        </w:rPr>
      </w:pPr>
      <w:bookmarkStart w:id="972" w:name="_Toc452544188"/>
      <w:bookmarkStart w:id="973" w:name="_Toc453849307"/>
      <w:r>
        <w:rPr>
          <w:color w:val="000000" w:themeColor="text1"/>
        </w:rPr>
        <w:t>Ma</w:t>
      </w:r>
      <w:r w:rsidR="00384347">
        <w:rPr>
          <w:color w:val="000000" w:themeColor="text1"/>
        </w:rPr>
        <w:t>rk-to-market</w:t>
      </w:r>
      <w:r w:rsidR="00C502CB">
        <w:rPr>
          <w:color w:val="000000" w:themeColor="text1"/>
        </w:rPr>
        <w:t xml:space="preserve"> (</w:t>
      </w:r>
      <w:proofErr w:type="spellStart"/>
      <w:r w:rsidR="00C502CB">
        <w:rPr>
          <w:color w:val="000000" w:themeColor="text1"/>
        </w:rPr>
        <w:t>MtM</w:t>
      </w:r>
      <w:proofErr w:type="spellEnd"/>
      <w:r w:rsidR="00C502CB">
        <w:rPr>
          <w:color w:val="000000" w:themeColor="text1"/>
        </w:rPr>
        <w:t>)</w:t>
      </w:r>
      <w:r w:rsidR="00384347">
        <w:rPr>
          <w:color w:val="000000" w:themeColor="text1"/>
        </w:rPr>
        <w:t xml:space="preserve"> Value at Risk (</w:t>
      </w:r>
      <w:proofErr w:type="spellStart"/>
      <w:r w:rsidR="00384347">
        <w:rPr>
          <w:color w:val="000000" w:themeColor="text1"/>
        </w:rPr>
        <w:t>VaR</w:t>
      </w:r>
      <w:proofErr w:type="spellEnd"/>
      <w:r w:rsidR="00384347">
        <w:rPr>
          <w:color w:val="000000" w:themeColor="text1"/>
        </w:rPr>
        <w:t>)</w:t>
      </w:r>
      <w:bookmarkEnd w:id="972"/>
      <w:bookmarkEnd w:id="973"/>
    </w:p>
    <w:tbl>
      <w:tblPr>
        <w:tblpPr w:leftFromText="180" w:rightFromText="180" w:vertAnchor="text" w:tblpX="168" w:tblpY="1"/>
        <w:tblOverlap w:val="never"/>
        <w:tblW w:w="9198"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000" w:firstRow="0" w:lastRow="0" w:firstColumn="0" w:lastColumn="0" w:noHBand="0" w:noVBand="0"/>
      </w:tblPr>
      <w:tblGrid>
        <w:gridCol w:w="1728"/>
        <w:gridCol w:w="7470"/>
      </w:tblGrid>
      <w:tr w:rsidR="006A0E6E" w:rsidRPr="00206D41" w14:paraId="3D39DC5E" w14:textId="77777777" w:rsidTr="00A111B0">
        <w:trPr>
          <w:trHeight w:val="436"/>
        </w:trPr>
        <w:tc>
          <w:tcPr>
            <w:tcW w:w="1728" w:type="dxa"/>
            <w:shd w:val="clear" w:color="auto" w:fill="auto"/>
          </w:tcPr>
          <w:p w14:paraId="35E4F1FF" w14:textId="77777777" w:rsidR="006A0E6E" w:rsidRPr="00206D41" w:rsidRDefault="001F0F3D" w:rsidP="00AA4FAF">
            <w:pPr>
              <w:rPr>
                <w:b/>
                <w:bCs/>
                <w:iCs/>
              </w:rPr>
            </w:pPr>
            <w:r>
              <w:rPr>
                <w:b/>
                <w:bCs/>
                <w:iCs/>
              </w:rPr>
              <w:t>DEFINITION</w:t>
            </w:r>
          </w:p>
        </w:tc>
        <w:tc>
          <w:tcPr>
            <w:tcW w:w="7470" w:type="dxa"/>
            <w:shd w:val="clear" w:color="auto" w:fill="auto"/>
          </w:tcPr>
          <w:p w14:paraId="2B2487C0" w14:textId="77777777" w:rsidR="00C931DC" w:rsidRDefault="00C931DC" w:rsidP="00C502CB">
            <w:pPr>
              <w:spacing w:after="0" w:line="240" w:lineRule="auto"/>
              <w:rPr>
                <w:rFonts w:asciiTheme="minorHAnsi" w:eastAsiaTheme="minorHAnsi" w:hAnsiTheme="minorHAnsi" w:cstheme="minorBidi"/>
                <w:iCs/>
              </w:rPr>
            </w:pPr>
            <w:r>
              <w:t xml:space="preserve">The </w:t>
            </w:r>
            <w:proofErr w:type="spellStart"/>
            <w:r>
              <w:t>MtM</w:t>
            </w:r>
            <w:proofErr w:type="spellEnd"/>
            <w:r>
              <w:t xml:space="preserve"> </w:t>
            </w:r>
            <w:proofErr w:type="spellStart"/>
            <w:r>
              <w:t>VaR</w:t>
            </w:r>
            <w:proofErr w:type="spellEnd"/>
            <w:r>
              <w:t xml:space="preserve"> metric</w:t>
            </w:r>
            <w:r w:rsidR="00402F87">
              <w:t xml:space="preserve"> covers the </w:t>
            </w:r>
            <w:r>
              <w:t xml:space="preserve">market </w:t>
            </w:r>
            <w:r w:rsidR="00402F87">
              <w:t xml:space="preserve">risk in all </w:t>
            </w:r>
            <w:r w:rsidR="00C502CB" w:rsidRPr="00C502CB">
              <w:t xml:space="preserve">material </w:t>
            </w:r>
            <w:r>
              <w:t xml:space="preserve">trading </w:t>
            </w:r>
            <w:r w:rsidR="00C502CB" w:rsidRPr="00C502CB">
              <w:t>portfolios for SHUSA</w:t>
            </w:r>
            <w:r w:rsidR="00402F87">
              <w:t xml:space="preserve">. </w:t>
            </w:r>
            <w:r w:rsidR="00402F87">
              <w:rPr>
                <w:rFonts w:asciiTheme="minorHAnsi" w:eastAsiaTheme="minorHAnsi" w:hAnsiTheme="minorHAnsi" w:cstheme="minorBidi"/>
                <w:iCs/>
              </w:rPr>
              <w:t xml:space="preserve"> </w:t>
            </w:r>
          </w:p>
          <w:p w14:paraId="3378887F" w14:textId="77777777" w:rsidR="00C931DC" w:rsidRDefault="00402F87" w:rsidP="00C502CB">
            <w:pPr>
              <w:spacing w:after="0" w:line="240" w:lineRule="auto"/>
              <w:rPr>
                <w:rFonts w:asciiTheme="minorHAnsi" w:eastAsiaTheme="minorHAnsi" w:hAnsiTheme="minorHAnsi" w:cstheme="minorBidi"/>
                <w:iCs/>
              </w:rPr>
            </w:pPr>
            <w:r>
              <w:rPr>
                <w:rFonts w:asciiTheme="minorHAnsi" w:eastAsiaTheme="minorHAnsi" w:hAnsiTheme="minorHAnsi" w:cstheme="minorBidi"/>
                <w:iCs/>
              </w:rPr>
              <w:t>Material</w:t>
            </w:r>
            <w:r w:rsidRPr="00C502CB">
              <w:rPr>
                <w:rFonts w:asciiTheme="minorHAnsi" w:eastAsiaTheme="minorHAnsi" w:hAnsiTheme="minorHAnsi" w:cstheme="minorBidi"/>
                <w:iCs/>
              </w:rPr>
              <w:t xml:space="preserve"> portfolios include</w:t>
            </w:r>
            <w:r w:rsidR="00C931DC">
              <w:rPr>
                <w:rFonts w:asciiTheme="minorHAnsi" w:eastAsiaTheme="minorHAnsi" w:hAnsiTheme="minorHAnsi" w:cstheme="minorBidi"/>
                <w:iCs/>
              </w:rPr>
              <w:t>:</w:t>
            </w:r>
          </w:p>
          <w:p w14:paraId="32194F5F" w14:textId="77777777" w:rsidR="00C931DC" w:rsidRPr="00C931DC" w:rsidRDefault="00C931DC" w:rsidP="00AB79BD">
            <w:pPr>
              <w:pStyle w:val="ListParagraph"/>
              <w:numPr>
                <w:ilvl w:val="0"/>
                <w:numId w:val="17"/>
              </w:numPr>
              <w:spacing w:after="0" w:line="240" w:lineRule="auto"/>
              <w:rPr>
                <w:bCs/>
                <w:iCs/>
              </w:rPr>
            </w:pPr>
            <w:r>
              <w:rPr>
                <w:iCs/>
              </w:rPr>
              <w:t>SBNA c</w:t>
            </w:r>
            <w:r w:rsidR="00402F87" w:rsidRPr="00C931DC">
              <w:rPr>
                <w:iCs/>
              </w:rPr>
              <w:t xml:space="preserve">lient facilitation, </w:t>
            </w:r>
          </w:p>
          <w:p w14:paraId="1006C42F" w14:textId="77777777" w:rsidR="00C931DC" w:rsidRPr="00C931DC" w:rsidRDefault="00C931DC" w:rsidP="00AB79BD">
            <w:pPr>
              <w:pStyle w:val="ListParagraph"/>
              <w:numPr>
                <w:ilvl w:val="0"/>
                <w:numId w:val="17"/>
              </w:numPr>
              <w:spacing w:after="0" w:line="240" w:lineRule="auto"/>
              <w:rPr>
                <w:bCs/>
                <w:iCs/>
              </w:rPr>
            </w:pPr>
            <w:r>
              <w:rPr>
                <w:iCs/>
              </w:rPr>
              <w:t xml:space="preserve">SBNA </w:t>
            </w:r>
            <w:r w:rsidR="00402F87" w:rsidRPr="00C931DC">
              <w:rPr>
                <w:iCs/>
              </w:rPr>
              <w:t xml:space="preserve">mortgage servicing rights, </w:t>
            </w:r>
          </w:p>
          <w:p w14:paraId="6EA0FC4A" w14:textId="77777777" w:rsidR="00C931DC" w:rsidRPr="00C931DC" w:rsidRDefault="00C931DC" w:rsidP="00AB79BD">
            <w:pPr>
              <w:pStyle w:val="ListParagraph"/>
              <w:numPr>
                <w:ilvl w:val="0"/>
                <w:numId w:val="17"/>
              </w:numPr>
              <w:spacing w:after="0" w:line="240" w:lineRule="auto"/>
              <w:rPr>
                <w:bCs/>
                <w:iCs/>
              </w:rPr>
            </w:pPr>
            <w:r>
              <w:rPr>
                <w:iCs/>
              </w:rPr>
              <w:t xml:space="preserve">SBNA </w:t>
            </w:r>
            <w:r w:rsidR="00402F87" w:rsidRPr="00C931DC">
              <w:rPr>
                <w:iCs/>
              </w:rPr>
              <w:t xml:space="preserve">mortgage pipeline, and </w:t>
            </w:r>
          </w:p>
          <w:p w14:paraId="30FB8C15" w14:textId="77777777" w:rsidR="006A0E6E" w:rsidRPr="00C931DC" w:rsidRDefault="005657CD" w:rsidP="00494D0A">
            <w:pPr>
              <w:pStyle w:val="ListParagraph"/>
              <w:numPr>
                <w:ilvl w:val="0"/>
                <w:numId w:val="17"/>
              </w:numPr>
              <w:spacing w:after="0" w:line="240" w:lineRule="auto"/>
              <w:rPr>
                <w:bCs/>
                <w:iCs/>
              </w:rPr>
            </w:pPr>
            <w:r>
              <w:rPr>
                <w:iCs/>
              </w:rPr>
              <w:t>SIS (market-making)</w:t>
            </w:r>
          </w:p>
        </w:tc>
      </w:tr>
      <w:tr w:rsidR="006A0E6E" w:rsidRPr="00206D41" w14:paraId="67400773" w14:textId="77777777" w:rsidTr="00A111B0">
        <w:trPr>
          <w:trHeight w:val="283"/>
        </w:trPr>
        <w:tc>
          <w:tcPr>
            <w:tcW w:w="1728" w:type="dxa"/>
            <w:shd w:val="clear" w:color="auto" w:fill="auto"/>
          </w:tcPr>
          <w:p w14:paraId="6FC7DAB6" w14:textId="77777777" w:rsidR="006A0E6E" w:rsidRPr="00206D41" w:rsidRDefault="001F0F3D" w:rsidP="00AA4FAF">
            <w:pPr>
              <w:rPr>
                <w:b/>
                <w:bCs/>
                <w:iCs/>
              </w:rPr>
            </w:pPr>
            <w:r>
              <w:rPr>
                <w:b/>
                <w:bCs/>
                <w:iCs/>
              </w:rPr>
              <w:t>RISK TYPE</w:t>
            </w:r>
          </w:p>
        </w:tc>
        <w:tc>
          <w:tcPr>
            <w:tcW w:w="7470" w:type="dxa"/>
            <w:shd w:val="clear" w:color="auto" w:fill="auto"/>
          </w:tcPr>
          <w:p w14:paraId="611E6CC7" w14:textId="77777777" w:rsidR="006A0E6E" w:rsidRPr="00206D41" w:rsidRDefault="00D610FE" w:rsidP="00F42B16">
            <w:pPr>
              <w:spacing w:after="0" w:line="240" w:lineRule="auto"/>
              <w:rPr>
                <w:bCs/>
                <w:iCs/>
              </w:rPr>
            </w:pPr>
            <w:r>
              <w:rPr>
                <w:bCs/>
                <w:iCs/>
              </w:rPr>
              <w:t>Mar</w:t>
            </w:r>
            <w:r w:rsidR="00F42B16">
              <w:rPr>
                <w:bCs/>
                <w:iCs/>
              </w:rPr>
              <w:t xml:space="preserve">ket </w:t>
            </w:r>
            <w:r>
              <w:rPr>
                <w:bCs/>
                <w:iCs/>
              </w:rPr>
              <w:t>R</w:t>
            </w:r>
            <w:r w:rsidR="001F0F3D">
              <w:rPr>
                <w:bCs/>
                <w:iCs/>
              </w:rPr>
              <w:t xml:space="preserve">isk </w:t>
            </w:r>
          </w:p>
        </w:tc>
      </w:tr>
      <w:tr w:rsidR="002D0E55" w:rsidRPr="00206D41" w14:paraId="16684906" w14:textId="77777777" w:rsidTr="00A111B0">
        <w:trPr>
          <w:trHeight w:val="283"/>
        </w:trPr>
        <w:tc>
          <w:tcPr>
            <w:tcW w:w="1728" w:type="dxa"/>
            <w:shd w:val="clear" w:color="auto" w:fill="auto"/>
          </w:tcPr>
          <w:p w14:paraId="1E6ABBF8" w14:textId="77777777" w:rsidR="002D0E55" w:rsidRDefault="002D0E55" w:rsidP="00AA4FAF">
            <w:pPr>
              <w:rPr>
                <w:b/>
                <w:bCs/>
                <w:iCs/>
              </w:rPr>
            </w:pPr>
            <w:r>
              <w:rPr>
                <w:b/>
                <w:bCs/>
                <w:iCs/>
              </w:rPr>
              <w:t>RATIONALE</w:t>
            </w:r>
          </w:p>
        </w:tc>
        <w:tc>
          <w:tcPr>
            <w:tcW w:w="7470" w:type="dxa"/>
            <w:shd w:val="clear" w:color="auto" w:fill="auto"/>
          </w:tcPr>
          <w:p w14:paraId="7FB9CFDD" w14:textId="42816A44" w:rsidR="002D0E55" w:rsidRDefault="00057749" w:rsidP="00213EBA">
            <w:pPr>
              <w:spacing w:after="0" w:line="240" w:lineRule="auto"/>
              <w:rPr>
                <w:bCs/>
                <w:iCs/>
              </w:rPr>
            </w:pPr>
            <w:r w:rsidRPr="00EF0941">
              <w:rPr>
                <w:bCs/>
                <w:iCs/>
              </w:rPr>
              <w:t xml:space="preserve">The purpose of this metric is to have a standalone measure that covers the </w:t>
            </w:r>
            <w:r>
              <w:rPr>
                <w:bCs/>
                <w:iCs/>
              </w:rPr>
              <w:t xml:space="preserve">value at </w:t>
            </w:r>
            <w:r w:rsidRPr="00EF0941">
              <w:rPr>
                <w:bCs/>
                <w:iCs/>
              </w:rPr>
              <w:t xml:space="preserve">risk in all the material </w:t>
            </w:r>
            <w:proofErr w:type="spellStart"/>
            <w:r w:rsidRPr="00EF0941">
              <w:rPr>
                <w:bCs/>
                <w:iCs/>
              </w:rPr>
              <w:t>MtM</w:t>
            </w:r>
            <w:proofErr w:type="spellEnd"/>
            <w:r w:rsidRPr="00EF0941">
              <w:rPr>
                <w:bCs/>
                <w:iCs/>
              </w:rPr>
              <w:t xml:space="preserve"> portfolios for SHUSA</w:t>
            </w:r>
            <w:r>
              <w:rPr>
                <w:bCs/>
                <w:iCs/>
              </w:rPr>
              <w:t>. These include: c</w:t>
            </w:r>
            <w:r w:rsidRPr="00EF0941">
              <w:rPr>
                <w:bCs/>
                <w:iCs/>
              </w:rPr>
              <w:t>lient facilitation</w:t>
            </w:r>
            <w:r>
              <w:rPr>
                <w:bCs/>
                <w:iCs/>
              </w:rPr>
              <w:t>, m</w:t>
            </w:r>
            <w:r w:rsidRPr="00EF0941">
              <w:rPr>
                <w:bCs/>
                <w:iCs/>
              </w:rPr>
              <w:t>ortgage pipeline</w:t>
            </w:r>
            <w:r>
              <w:rPr>
                <w:bCs/>
                <w:iCs/>
              </w:rPr>
              <w:t>, m</w:t>
            </w:r>
            <w:r w:rsidRPr="00EF0941">
              <w:rPr>
                <w:bCs/>
                <w:iCs/>
              </w:rPr>
              <w:t>ortgage servicing rights</w:t>
            </w:r>
            <w:r>
              <w:rPr>
                <w:bCs/>
                <w:iCs/>
              </w:rPr>
              <w:t xml:space="preserve">, and </w:t>
            </w:r>
            <w:r w:rsidRPr="00EF0941">
              <w:rPr>
                <w:bCs/>
                <w:iCs/>
              </w:rPr>
              <w:t>SC</w:t>
            </w:r>
            <w:r>
              <w:rPr>
                <w:bCs/>
                <w:iCs/>
              </w:rPr>
              <w:t xml:space="preserve"> </w:t>
            </w:r>
            <w:r w:rsidRPr="00EF0941">
              <w:rPr>
                <w:bCs/>
                <w:iCs/>
              </w:rPr>
              <w:t>economic hedges</w:t>
            </w:r>
            <w:r>
              <w:rPr>
                <w:bCs/>
                <w:iCs/>
              </w:rPr>
              <w:t>.</w:t>
            </w:r>
          </w:p>
        </w:tc>
      </w:tr>
      <w:tr w:rsidR="00AD2CAD" w:rsidRPr="00206D41" w14:paraId="33C4E7E9" w14:textId="77777777" w:rsidTr="006B6E1C">
        <w:trPr>
          <w:trHeight w:val="255"/>
        </w:trPr>
        <w:tc>
          <w:tcPr>
            <w:tcW w:w="1728" w:type="dxa"/>
            <w:shd w:val="clear" w:color="auto" w:fill="auto"/>
          </w:tcPr>
          <w:p w14:paraId="39C628D9" w14:textId="77777777" w:rsidR="00AD2CAD" w:rsidRPr="00206D41" w:rsidRDefault="00AD2CAD" w:rsidP="00AA4FAF">
            <w:pPr>
              <w:rPr>
                <w:b/>
                <w:bCs/>
                <w:iCs/>
              </w:rPr>
            </w:pPr>
            <w:r>
              <w:rPr>
                <w:b/>
                <w:bCs/>
                <w:iCs/>
              </w:rPr>
              <w:t>ENTITY</w:t>
            </w:r>
          </w:p>
        </w:tc>
        <w:tc>
          <w:tcPr>
            <w:tcW w:w="7470" w:type="dxa"/>
            <w:shd w:val="clear" w:color="auto" w:fill="auto"/>
          </w:tcPr>
          <w:p w14:paraId="0219D31E" w14:textId="77777777" w:rsidR="00AD2CAD" w:rsidRPr="00860046" w:rsidRDefault="00AD2CAD" w:rsidP="00494D0A">
            <w:pPr>
              <w:spacing w:after="0" w:line="240" w:lineRule="auto"/>
              <w:rPr>
                <w:b/>
                <w:bCs/>
                <w:iCs/>
              </w:rPr>
            </w:pPr>
            <w:r w:rsidRPr="00860046">
              <w:rPr>
                <w:b/>
                <w:bCs/>
                <w:iCs/>
              </w:rPr>
              <w:t>SHUSA</w:t>
            </w:r>
          </w:p>
        </w:tc>
      </w:tr>
      <w:tr w:rsidR="00AD2CAD" w:rsidRPr="00206D41" w14:paraId="406C90C2" w14:textId="77777777" w:rsidTr="006B6E1C">
        <w:trPr>
          <w:trHeight w:val="270"/>
        </w:trPr>
        <w:tc>
          <w:tcPr>
            <w:tcW w:w="1728" w:type="dxa"/>
            <w:shd w:val="clear" w:color="auto" w:fill="auto"/>
          </w:tcPr>
          <w:p w14:paraId="37D3982B" w14:textId="58126447" w:rsidR="00AD2CAD" w:rsidRPr="00206D41" w:rsidRDefault="00511F11" w:rsidP="002D0E55">
            <w:pPr>
              <w:rPr>
                <w:b/>
                <w:bCs/>
                <w:iCs/>
              </w:rPr>
            </w:pPr>
            <w:r>
              <w:rPr>
                <w:rFonts w:asciiTheme="minorHAnsi" w:hAnsiTheme="minorHAnsi"/>
                <w:b/>
                <w:bCs/>
                <w:iCs/>
              </w:rPr>
              <w:t>METRIC PROVIDER</w:t>
            </w:r>
          </w:p>
        </w:tc>
        <w:tc>
          <w:tcPr>
            <w:tcW w:w="7470" w:type="dxa"/>
            <w:shd w:val="clear" w:color="auto" w:fill="auto"/>
          </w:tcPr>
          <w:p w14:paraId="4B8174D9" w14:textId="11484069" w:rsidR="00AD2CAD" w:rsidRPr="00860046" w:rsidRDefault="00564499" w:rsidP="002D0E55">
            <w:pPr>
              <w:spacing w:after="0" w:line="240" w:lineRule="auto"/>
              <w:rPr>
                <w:b/>
                <w:bCs/>
                <w:iCs/>
              </w:rPr>
            </w:pPr>
            <w:r w:rsidRPr="005A3957">
              <w:rPr>
                <w:b/>
                <w:bCs/>
                <w:iCs/>
              </w:rPr>
              <w:t>SHUSA</w:t>
            </w:r>
            <w:r>
              <w:rPr>
                <w:b/>
                <w:bCs/>
                <w:iCs/>
              </w:rPr>
              <w:t xml:space="preserve"> Market and Liquidity Risk</w:t>
            </w:r>
          </w:p>
        </w:tc>
      </w:tr>
      <w:tr w:rsidR="002D0E55" w:rsidRPr="00206D41" w14:paraId="1D03848A" w14:textId="77777777" w:rsidTr="00A111B0">
        <w:trPr>
          <w:trHeight w:val="265"/>
        </w:trPr>
        <w:tc>
          <w:tcPr>
            <w:tcW w:w="1728" w:type="dxa"/>
            <w:shd w:val="clear" w:color="auto" w:fill="auto"/>
          </w:tcPr>
          <w:p w14:paraId="0B1C5A7F" w14:textId="77777777" w:rsidR="002D0E55" w:rsidRPr="00206D41" w:rsidRDefault="002D0E55" w:rsidP="002D0E55">
            <w:pPr>
              <w:ind w:left="-60"/>
              <w:rPr>
                <w:b/>
                <w:bCs/>
                <w:iCs/>
              </w:rPr>
            </w:pPr>
            <w:r>
              <w:rPr>
                <w:b/>
                <w:bCs/>
                <w:iCs/>
              </w:rPr>
              <w:t>TRIGGER AND LIMIT SETTING</w:t>
            </w:r>
          </w:p>
        </w:tc>
        <w:tc>
          <w:tcPr>
            <w:tcW w:w="7470" w:type="dxa"/>
            <w:shd w:val="clear" w:color="auto" w:fill="auto"/>
          </w:tcPr>
          <w:p w14:paraId="0C265695" w14:textId="77777777" w:rsidR="004F553B" w:rsidRDefault="004F553B" w:rsidP="004F553B">
            <w:pPr>
              <w:spacing w:after="0" w:line="240" w:lineRule="auto"/>
              <w:rPr>
                <w:rFonts w:asciiTheme="minorHAnsi" w:eastAsiaTheme="minorHAnsi" w:hAnsiTheme="minorHAnsi" w:cstheme="minorBidi"/>
                <w:iCs/>
              </w:rPr>
            </w:pPr>
            <w:r w:rsidRPr="00206D41">
              <w:rPr>
                <w:rFonts w:asciiTheme="minorHAnsi" w:eastAsiaTheme="minorHAnsi" w:hAnsiTheme="minorHAnsi" w:cstheme="minorBidi"/>
                <w:iCs/>
              </w:rPr>
              <w:t xml:space="preserve">The metric is </w:t>
            </w:r>
            <w:r w:rsidRPr="00C931DC">
              <w:rPr>
                <w:rFonts w:asciiTheme="minorHAnsi" w:eastAsiaTheme="minorHAnsi" w:hAnsiTheme="minorHAnsi" w:cstheme="minorBidi"/>
                <w:iCs/>
              </w:rPr>
              <w:t xml:space="preserve">calculated by taking historical series of daily market data </w:t>
            </w:r>
            <w:r>
              <w:rPr>
                <w:rFonts w:asciiTheme="minorHAnsi" w:eastAsiaTheme="minorHAnsi" w:hAnsiTheme="minorHAnsi" w:cstheme="minorBidi"/>
                <w:iCs/>
              </w:rPr>
              <w:t xml:space="preserve">of the last 2 years </w:t>
            </w:r>
            <w:r w:rsidRPr="00C931DC">
              <w:rPr>
                <w:rFonts w:asciiTheme="minorHAnsi" w:eastAsiaTheme="minorHAnsi" w:hAnsiTheme="minorHAnsi" w:cstheme="minorBidi"/>
                <w:iCs/>
              </w:rPr>
              <w:t>and using a level of confidence of 99% (</w:t>
            </w:r>
            <w:proofErr w:type="spellStart"/>
            <w:r w:rsidRPr="00C931DC">
              <w:rPr>
                <w:rFonts w:asciiTheme="minorHAnsi" w:eastAsiaTheme="minorHAnsi" w:hAnsiTheme="minorHAnsi" w:cstheme="minorBidi"/>
                <w:iCs/>
              </w:rPr>
              <w:t>unweighted</w:t>
            </w:r>
            <w:proofErr w:type="spellEnd"/>
            <w:r w:rsidRPr="00C931DC">
              <w:rPr>
                <w:rFonts w:asciiTheme="minorHAnsi" w:eastAsiaTheme="minorHAnsi" w:hAnsiTheme="minorHAnsi" w:cstheme="minorBidi"/>
                <w:iCs/>
              </w:rPr>
              <w:t xml:space="preserve"> percentile)</w:t>
            </w:r>
            <w:r>
              <w:rPr>
                <w:rFonts w:asciiTheme="minorHAnsi" w:eastAsiaTheme="minorHAnsi" w:hAnsiTheme="minorHAnsi" w:cstheme="minorBidi"/>
                <w:iCs/>
              </w:rPr>
              <w:t xml:space="preserve">. </w:t>
            </w:r>
            <w:r w:rsidRPr="003510A0">
              <w:rPr>
                <w:rFonts w:asciiTheme="minorHAnsi" w:eastAsiaTheme="minorHAnsi" w:hAnsiTheme="minorHAnsi" w:cstheme="minorBidi"/>
                <w:iCs/>
              </w:rPr>
              <w:t>This configuration of the metric is an industry standard</w:t>
            </w:r>
            <w:r>
              <w:rPr>
                <w:rFonts w:asciiTheme="minorHAnsi" w:eastAsiaTheme="minorHAnsi" w:hAnsiTheme="minorHAnsi" w:cstheme="minorBidi"/>
                <w:iCs/>
              </w:rPr>
              <w:t>.</w:t>
            </w:r>
          </w:p>
          <w:p w14:paraId="35D43C8A" w14:textId="77777777" w:rsidR="004F553B" w:rsidRDefault="004F553B" w:rsidP="004F553B">
            <w:pPr>
              <w:spacing w:after="0" w:line="240" w:lineRule="auto"/>
              <w:rPr>
                <w:rFonts w:asciiTheme="minorHAnsi" w:eastAsiaTheme="minorHAnsi" w:hAnsiTheme="minorHAnsi" w:cstheme="minorBidi"/>
                <w:iCs/>
              </w:rPr>
            </w:pPr>
            <w:r w:rsidRPr="0069636A">
              <w:rPr>
                <w:iCs/>
              </w:rPr>
              <w:t xml:space="preserve">SHUSA </w:t>
            </w:r>
            <w:proofErr w:type="spellStart"/>
            <w:r w:rsidRPr="0069636A">
              <w:rPr>
                <w:iCs/>
              </w:rPr>
              <w:t>MtM</w:t>
            </w:r>
            <w:proofErr w:type="spellEnd"/>
            <w:r w:rsidRPr="0069636A">
              <w:rPr>
                <w:iCs/>
              </w:rPr>
              <w:t xml:space="preserve"> </w:t>
            </w:r>
            <w:proofErr w:type="spellStart"/>
            <w:r w:rsidRPr="0069636A">
              <w:rPr>
                <w:iCs/>
              </w:rPr>
              <w:t>VaR</w:t>
            </w:r>
            <w:proofErr w:type="spellEnd"/>
            <w:r w:rsidRPr="0069636A">
              <w:rPr>
                <w:iCs/>
              </w:rPr>
              <w:t xml:space="preserve"> is the sum of the 99% </w:t>
            </w:r>
            <w:proofErr w:type="spellStart"/>
            <w:r w:rsidRPr="0069636A">
              <w:rPr>
                <w:iCs/>
              </w:rPr>
              <w:t>VaR</w:t>
            </w:r>
            <w:proofErr w:type="spellEnd"/>
            <w:r w:rsidRPr="0069636A">
              <w:rPr>
                <w:iCs/>
              </w:rPr>
              <w:t xml:space="preserve"> limits for each portfolio set by management. It is assumed that limits for portfolio are additive, i.e. there is no risk diversification across portfolios</w:t>
            </w:r>
          </w:p>
          <w:p w14:paraId="2A235822" w14:textId="77777777" w:rsidR="004F553B" w:rsidRPr="0069636A" w:rsidRDefault="004F553B" w:rsidP="004F553B">
            <w:pPr>
              <w:pStyle w:val="ListParagraph"/>
              <w:numPr>
                <w:ilvl w:val="0"/>
                <w:numId w:val="19"/>
              </w:numPr>
              <w:spacing w:after="0" w:line="240" w:lineRule="auto"/>
              <w:rPr>
                <w:iCs/>
              </w:rPr>
            </w:pPr>
            <w:r w:rsidRPr="0069636A">
              <w:rPr>
                <w:iCs/>
              </w:rPr>
              <w:t xml:space="preserve">The amber trigger </w:t>
            </w:r>
            <w:r>
              <w:rPr>
                <w:iCs/>
              </w:rPr>
              <w:t>is at $7MM</w:t>
            </w:r>
          </w:p>
          <w:p w14:paraId="28F8D1FE" w14:textId="77777777" w:rsidR="004F553B" w:rsidRPr="0069636A" w:rsidRDefault="004F553B" w:rsidP="004F553B">
            <w:pPr>
              <w:pStyle w:val="ListParagraph"/>
              <w:numPr>
                <w:ilvl w:val="0"/>
                <w:numId w:val="19"/>
              </w:numPr>
              <w:spacing w:after="0" w:line="240" w:lineRule="auto"/>
              <w:rPr>
                <w:iCs/>
              </w:rPr>
            </w:pPr>
            <w:r w:rsidRPr="0069636A">
              <w:rPr>
                <w:iCs/>
              </w:rPr>
              <w:t xml:space="preserve">The red limit is </w:t>
            </w:r>
            <w:r>
              <w:rPr>
                <w:iCs/>
              </w:rPr>
              <w:t xml:space="preserve">at $9MM and is </w:t>
            </w:r>
            <w:r w:rsidRPr="0069636A">
              <w:rPr>
                <w:iCs/>
              </w:rPr>
              <w:t xml:space="preserve">calibrated as the amber trigger plus the sum of an additional buffer by portfolio, added per management discretion. Management chose to add a buffer for the following reasons: </w:t>
            </w:r>
          </w:p>
          <w:p w14:paraId="6C9CB53E" w14:textId="77777777" w:rsidR="004F553B" w:rsidRPr="0069636A" w:rsidRDefault="004F553B" w:rsidP="004F553B">
            <w:pPr>
              <w:pStyle w:val="ListParagraph"/>
              <w:numPr>
                <w:ilvl w:val="0"/>
                <w:numId w:val="20"/>
              </w:numPr>
              <w:spacing w:after="0" w:line="240" w:lineRule="auto"/>
              <w:rPr>
                <w:iCs/>
              </w:rPr>
            </w:pPr>
            <w:r w:rsidRPr="0069636A">
              <w:rPr>
                <w:iCs/>
              </w:rPr>
              <w:t xml:space="preserve">The </w:t>
            </w:r>
            <w:proofErr w:type="spellStart"/>
            <w:r w:rsidRPr="0069636A">
              <w:rPr>
                <w:iCs/>
              </w:rPr>
              <w:t>VaR</w:t>
            </w:r>
            <w:proofErr w:type="spellEnd"/>
            <w:r w:rsidRPr="0069636A">
              <w:rPr>
                <w:iCs/>
              </w:rPr>
              <w:t xml:space="preserve"> position may grow with new risk balance limits</w:t>
            </w:r>
          </w:p>
          <w:p w14:paraId="507E6C09" w14:textId="52E1FFA9" w:rsidR="002D0E55" w:rsidRPr="0069636A" w:rsidRDefault="004F553B" w:rsidP="004F553B">
            <w:pPr>
              <w:pStyle w:val="ListParagraph"/>
              <w:numPr>
                <w:ilvl w:val="0"/>
                <w:numId w:val="20"/>
              </w:numPr>
              <w:spacing w:after="0" w:line="240" w:lineRule="auto"/>
              <w:rPr>
                <w:iCs/>
              </w:rPr>
            </w:pPr>
            <w:r w:rsidRPr="0069636A">
              <w:rPr>
                <w:iCs/>
              </w:rPr>
              <w:t xml:space="preserve">Increased market volatility may elevate the </w:t>
            </w:r>
            <w:proofErr w:type="spellStart"/>
            <w:r w:rsidRPr="0069636A">
              <w:rPr>
                <w:iCs/>
              </w:rPr>
              <w:t>VaR</w:t>
            </w:r>
            <w:proofErr w:type="spellEnd"/>
            <w:r w:rsidRPr="0069636A">
              <w:rPr>
                <w:iCs/>
              </w:rPr>
              <w:t xml:space="preserve"> metric even i</w:t>
            </w:r>
            <w:r>
              <w:rPr>
                <w:iCs/>
              </w:rPr>
              <w:t>f</w:t>
            </w:r>
            <w:r w:rsidRPr="0069636A">
              <w:rPr>
                <w:iCs/>
              </w:rPr>
              <w:t xml:space="preserve"> the position does not change</w:t>
            </w:r>
          </w:p>
        </w:tc>
      </w:tr>
      <w:tr w:rsidR="002D0E55" w:rsidRPr="00206D41" w14:paraId="2B06E417" w14:textId="77777777" w:rsidTr="00A111B0">
        <w:trPr>
          <w:trHeight w:val="382"/>
        </w:trPr>
        <w:tc>
          <w:tcPr>
            <w:tcW w:w="1728" w:type="dxa"/>
            <w:shd w:val="clear" w:color="auto" w:fill="auto"/>
          </w:tcPr>
          <w:p w14:paraId="2B0071DC" w14:textId="77777777" w:rsidR="002D0E55" w:rsidRPr="00206D41" w:rsidRDefault="002D0E55" w:rsidP="002D0E55">
            <w:pPr>
              <w:ind w:left="-60"/>
              <w:rPr>
                <w:b/>
                <w:bCs/>
                <w:iCs/>
              </w:rPr>
            </w:pPr>
            <w:r>
              <w:rPr>
                <w:b/>
                <w:bCs/>
                <w:iCs/>
              </w:rPr>
              <w:t xml:space="preserve">TESTING </w:t>
            </w:r>
            <w:r w:rsidRPr="00206D41">
              <w:rPr>
                <w:b/>
                <w:bCs/>
                <w:iCs/>
              </w:rPr>
              <w:t>FREQUENCY</w:t>
            </w:r>
          </w:p>
        </w:tc>
        <w:tc>
          <w:tcPr>
            <w:tcW w:w="7470" w:type="dxa"/>
            <w:shd w:val="clear" w:color="auto" w:fill="auto"/>
          </w:tcPr>
          <w:p w14:paraId="4B1CC296" w14:textId="77777777" w:rsidR="002D0E55" w:rsidRDefault="002D0E55" w:rsidP="002D0E55">
            <w:pPr>
              <w:spacing w:after="0" w:line="240" w:lineRule="auto"/>
              <w:rPr>
                <w:rFonts w:asciiTheme="minorHAnsi" w:eastAsiaTheme="minorHAnsi" w:hAnsiTheme="minorHAnsi" w:cstheme="minorBidi"/>
                <w:iCs/>
              </w:rPr>
            </w:pPr>
            <w:r w:rsidRPr="00C931DC">
              <w:rPr>
                <w:rFonts w:asciiTheme="minorHAnsi" w:eastAsiaTheme="minorHAnsi" w:hAnsiTheme="minorHAnsi" w:cstheme="minorBidi"/>
                <w:iCs/>
              </w:rPr>
              <w:t xml:space="preserve">Monthly </w:t>
            </w:r>
            <w:r>
              <w:rPr>
                <w:rFonts w:asciiTheme="minorHAnsi" w:eastAsiaTheme="minorHAnsi" w:hAnsiTheme="minorHAnsi" w:cstheme="minorBidi"/>
                <w:iCs/>
              </w:rPr>
              <w:t xml:space="preserve"> </w:t>
            </w:r>
          </w:p>
          <w:p w14:paraId="2961E124" w14:textId="77777777" w:rsidR="002D0E55" w:rsidRPr="00C931DC" w:rsidRDefault="002D0E55" w:rsidP="002D0E55">
            <w:pPr>
              <w:spacing w:after="0" w:line="240" w:lineRule="auto"/>
              <w:rPr>
                <w:rFonts w:asciiTheme="minorHAnsi" w:eastAsiaTheme="minorHAnsi" w:hAnsiTheme="minorHAnsi" w:cstheme="minorBidi"/>
                <w:iCs/>
              </w:rPr>
            </w:pPr>
            <w:r>
              <w:rPr>
                <w:rFonts w:asciiTheme="minorHAnsi" w:eastAsiaTheme="minorHAnsi" w:hAnsiTheme="minorHAnsi" w:cstheme="minorBidi"/>
                <w:iCs/>
              </w:rPr>
              <w:t>The s</w:t>
            </w:r>
            <w:r w:rsidRPr="00C502CB">
              <w:rPr>
                <w:rFonts w:asciiTheme="minorHAnsi" w:eastAsiaTheme="minorHAnsi" w:hAnsiTheme="minorHAnsi" w:cstheme="minorBidi"/>
                <w:iCs/>
              </w:rPr>
              <w:t>um of the</w:t>
            </w:r>
            <w:r>
              <w:rPr>
                <w:rFonts w:asciiTheme="minorHAnsi" w:eastAsiaTheme="minorHAnsi" w:hAnsiTheme="minorHAnsi" w:cstheme="minorBidi"/>
                <w:iCs/>
              </w:rPr>
              <w:t xml:space="preserve"> end-of-month</w:t>
            </w:r>
            <w:r w:rsidRPr="00C502CB">
              <w:rPr>
                <w:rFonts w:asciiTheme="minorHAnsi" w:eastAsiaTheme="minorHAnsi" w:hAnsiTheme="minorHAnsi" w:cstheme="minorBidi"/>
                <w:iCs/>
              </w:rPr>
              <w:t xml:space="preserve"> 99% </w:t>
            </w:r>
            <w:proofErr w:type="spellStart"/>
            <w:r>
              <w:rPr>
                <w:rFonts w:asciiTheme="minorHAnsi" w:eastAsiaTheme="minorHAnsi" w:hAnsiTheme="minorHAnsi" w:cstheme="minorBidi"/>
                <w:iCs/>
              </w:rPr>
              <w:t>VaR</w:t>
            </w:r>
            <w:proofErr w:type="spellEnd"/>
            <w:r>
              <w:rPr>
                <w:rFonts w:asciiTheme="minorHAnsi" w:eastAsiaTheme="minorHAnsi" w:hAnsiTheme="minorHAnsi" w:cstheme="minorBidi"/>
                <w:iCs/>
              </w:rPr>
              <w:t xml:space="preserve"> </w:t>
            </w:r>
            <w:r w:rsidRPr="00C502CB">
              <w:rPr>
                <w:rFonts w:asciiTheme="minorHAnsi" w:eastAsiaTheme="minorHAnsi" w:hAnsiTheme="minorHAnsi" w:cstheme="minorBidi"/>
                <w:iCs/>
              </w:rPr>
              <w:t>for the each</w:t>
            </w:r>
            <w:r>
              <w:rPr>
                <w:rFonts w:asciiTheme="minorHAnsi" w:eastAsiaTheme="minorHAnsi" w:hAnsiTheme="minorHAnsi" w:cstheme="minorBidi"/>
                <w:iCs/>
              </w:rPr>
              <w:t xml:space="preserve"> material</w:t>
            </w:r>
            <w:r w:rsidRPr="00C502CB">
              <w:rPr>
                <w:rFonts w:asciiTheme="minorHAnsi" w:eastAsiaTheme="minorHAnsi" w:hAnsiTheme="minorHAnsi" w:cstheme="minorBidi"/>
                <w:iCs/>
              </w:rPr>
              <w:t xml:space="preserve"> portfolio. </w:t>
            </w:r>
          </w:p>
        </w:tc>
      </w:tr>
      <w:tr w:rsidR="002D0E55" w:rsidRPr="00206D41" w14:paraId="30051EB6" w14:textId="77777777" w:rsidTr="00A111B0">
        <w:trPr>
          <w:trHeight w:val="525"/>
        </w:trPr>
        <w:tc>
          <w:tcPr>
            <w:tcW w:w="1728" w:type="dxa"/>
            <w:shd w:val="clear" w:color="auto" w:fill="auto"/>
          </w:tcPr>
          <w:p w14:paraId="4269212B" w14:textId="77777777" w:rsidR="002D0E55" w:rsidRPr="00206D41" w:rsidRDefault="002D0E55" w:rsidP="002D0E55">
            <w:pPr>
              <w:rPr>
                <w:b/>
                <w:bCs/>
                <w:iCs/>
              </w:rPr>
            </w:pPr>
            <w:r w:rsidRPr="00206D41">
              <w:rPr>
                <w:b/>
                <w:bCs/>
                <w:iCs/>
              </w:rPr>
              <w:t>SOURCE OF INFORMATION</w:t>
            </w:r>
          </w:p>
        </w:tc>
        <w:tc>
          <w:tcPr>
            <w:tcW w:w="7470" w:type="dxa"/>
            <w:shd w:val="clear" w:color="auto" w:fill="auto"/>
          </w:tcPr>
          <w:p w14:paraId="562A4E27" w14:textId="77777777" w:rsidR="002D0E55" w:rsidRPr="00206D41" w:rsidRDefault="002D0E55" w:rsidP="002D0E55">
            <w:pPr>
              <w:spacing w:after="0" w:line="240" w:lineRule="auto"/>
              <w:rPr>
                <w:bCs/>
                <w:iCs/>
              </w:rPr>
            </w:pPr>
            <w:proofErr w:type="spellStart"/>
            <w:r w:rsidRPr="001212B8">
              <w:rPr>
                <w:bCs/>
                <w:iCs/>
              </w:rPr>
              <w:t>Aire</w:t>
            </w:r>
            <w:proofErr w:type="spellEnd"/>
            <w:r>
              <w:rPr>
                <w:bCs/>
                <w:iCs/>
              </w:rPr>
              <w:t xml:space="preserve"> system</w:t>
            </w:r>
          </w:p>
        </w:tc>
      </w:tr>
    </w:tbl>
    <w:p w14:paraId="4F77FF36" w14:textId="77777777" w:rsidR="00AA33D1" w:rsidRDefault="00AA33D1" w:rsidP="00FD1AD4">
      <w:pPr>
        <w:rPr>
          <w:rFonts w:asciiTheme="minorHAnsi" w:eastAsiaTheme="minorHAnsi" w:hAnsiTheme="minorHAnsi" w:cstheme="minorBidi"/>
          <w:iCs/>
        </w:rPr>
      </w:pPr>
    </w:p>
    <w:p w14:paraId="4986A551" w14:textId="77777777" w:rsidR="00AA33D1" w:rsidRDefault="00AA33D1" w:rsidP="00FD1AD4">
      <w:pPr>
        <w:rPr>
          <w:rFonts w:asciiTheme="minorHAnsi" w:eastAsiaTheme="minorHAnsi" w:hAnsiTheme="minorHAnsi" w:cstheme="minorBidi"/>
          <w:iCs/>
        </w:rPr>
      </w:pPr>
    </w:p>
    <w:p w14:paraId="4D80E114" w14:textId="77777777" w:rsidR="00AA33D1" w:rsidRDefault="00AA33D1" w:rsidP="00FD1AD4">
      <w:pPr>
        <w:rPr>
          <w:rFonts w:asciiTheme="minorHAnsi" w:eastAsiaTheme="minorHAnsi" w:hAnsiTheme="minorHAnsi" w:cstheme="minorBidi"/>
          <w:iCs/>
        </w:rPr>
      </w:pPr>
    </w:p>
    <w:p w14:paraId="284B0782" w14:textId="77777777" w:rsidR="002450B1" w:rsidRPr="005F51C4" w:rsidRDefault="002450B1" w:rsidP="00DB7B3F">
      <w:pPr>
        <w:pStyle w:val="SANUS1"/>
        <w:numPr>
          <w:ilvl w:val="0"/>
          <w:numId w:val="1"/>
        </w:numPr>
      </w:pPr>
      <w:bookmarkStart w:id="974" w:name="_Toc452541543"/>
      <w:bookmarkStart w:id="975" w:name="_Toc452543618"/>
      <w:bookmarkStart w:id="976" w:name="_Toc452544189"/>
      <w:bookmarkStart w:id="977" w:name="_Toc452544764"/>
      <w:bookmarkStart w:id="978" w:name="_Toc452651047"/>
      <w:bookmarkStart w:id="979" w:name="_Toc452541544"/>
      <w:bookmarkStart w:id="980" w:name="_Toc452543619"/>
      <w:bookmarkStart w:id="981" w:name="_Toc452544190"/>
      <w:bookmarkStart w:id="982" w:name="_Toc452544765"/>
      <w:bookmarkStart w:id="983" w:name="_Toc452651048"/>
      <w:bookmarkStart w:id="984" w:name="_Toc452541545"/>
      <w:bookmarkStart w:id="985" w:name="_Toc452543620"/>
      <w:bookmarkStart w:id="986" w:name="_Toc452544191"/>
      <w:bookmarkStart w:id="987" w:name="_Toc452544766"/>
      <w:bookmarkStart w:id="988" w:name="_Toc452651049"/>
      <w:bookmarkStart w:id="989" w:name="_Toc452541546"/>
      <w:bookmarkStart w:id="990" w:name="_Toc452543621"/>
      <w:bookmarkStart w:id="991" w:name="_Toc452544192"/>
      <w:bookmarkStart w:id="992" w:name="_Toc452544767"/>
      <w:bookmarkStart w:id="993" w:name="_Toc452651050"/>
      <w:bookmarkStart w:id="994" w:name="_Toc452541547"/>
      <w:bookmarkStart w:id="995" w:name="_Toc452543622"/>
      <w:bookmarkStart w:id="996" w:name="_Toc452544193"/>
      <w:bookmarkStart w:id="997" w:name="_Toc452544768"/>
      <w:bookmarkStart w:id="998" w:name="_Toc452651051"/>
      <w:bookmarkStart w:id="999" w:name="_Toc452541548"/>
      <w:bookmarkStart w:id="1000" w:name="_Toc452543623"/>
      <w:bookmarkStart w:id="1001" w:name="_Toc452544194"/>
      <w:bookmarkStart w:id="1002" w:name="_Toc452544769"/>
      <w:bookmarkStart w:id="1003" w:name="_Toc452651052"/>
      <w:bookmarkStart w:id="1004" w:name="_Toc452541549"/>
      <w:bookmarkStart w:id="1005" w:name="_Toc452543624"/>
      <w:bookmarkStart w:id="1006" w:name="_Toc452544195"/>
      <w:bookmarkStart w:id="1007" w:name="_Toc452544770"/>
      <w:bookmarkStart w:id="1008" w:name="_Toc452651053"/>
      <w:bookmarkStart w:id="1009" w:name="_Toc452541566"/>
      <w:bookmarkStart w:id="1010" w:name="_Toc452543641"/>
      <w:bookmarkStart w:id="1011" w:name="_Toc452544212"/>
      <w:bookmarkStart w:id="1012" w:name="_Toc452544787"/>
      <w:bookmarkStart w:id="1013" w:name="_Toc452651070"/>
      <w:bookmarkStart w:id="1014" w:name="_Toc452541576"/>
      <w:bookmarkStart w:id="1015" w:name="_Toc452543651"/>
      <w:bookmarkStart w:id="1016" w:name="_Toc452544222"/>
      <w:bookmarkStart w:id="1017" w:name="_Toc452544797"/>
      <w:bookmarkStart w:id="1018" w:name="_Toc452651080"/>
      <w:bookmarkStart w:id="1019" w:name="_Toc439841784"/>
      <w:bookmarkStart w:id="1020" w:name="_Toc439841785"/>
      <w:bookmarkStart w:id="1021" w:name="_Toc452541597"/>
      <w:bookmarkStart w:id="1022" w:name="_Toc452543672"/>
      <w:bookmarkStart w:id="1023" w:name="_Toc452544243"/>
      <w:bookmarkStart w:id="1024" w:name="_Toc452544818"/>
      <w:bookmarkStart w:id="1025" w:name="_Toc452651101"/>
      <w:bookmarkStart w:id="1026" w:name="_Toc452541609"/>
      <w:bookmarkStart w:id="1027" w:name="_Toc452543684"/>
      <w:bookmarkStart w:id="1028" w:name="_Toc452544255"/>
      <w:bookmarkStart w:id="1029" w:name="_Toc452544830"/>
      <w:bookmarkStart w:id="1030" w:name="_Toc452651113"/>
      <w:bookmarkStart w:id="1031" w:name="_Toc452541619"/>
      <w:bookmarkStart w:id="1032" w:name="_Toc452543694"/>
      <w:bookmarkStart w:id="1033" w:name="_Toc452544265"/>
      <w:bookmarkStart w:id="1034" w:name="_Toc452544840"/>
      <w:bookmarkStart w:id="1035" w:name="_Toc452651123"/>
      <w:bookmarkStart w:id="1036" w:name="_Toc452541639"/>
      <w:bookmarkStart w:id="1037" w:name="_Toc452543714"/>
      <w:bookmarkStart w:id="1038" w:name="_Toc452544285"/>
      <w:bookmarkStart w:id="1039" w:name="_Toc452544860"/>
      <w:bookmarkStart w:id="1040" w:name="_Toc452651143"/>
      <w:bookmarkStart w:id="1041" w:name="_Toc452541640"/>
      <w:bookmarkStart w:id="1042" w:name="_Toc452543715"/>
      <w:bookmarkStart w:id="1043" w:name="_Toc452544286"/>
      <w:bookmarkStart w:id="1044" w:name="_Toc452544861"/>
      <w:bookmarkStart w:id="1045" w:name="_Toc452651144"/>
      <w:bookmarkStart w:id="1046" w:name="_Toc452541652"/>
      <w:bookmarkStart w:id="1047" w:name="_Toc452543727"/>
      <w:bookmarkStart w:id="1048" w:name="_Toc452544298"/>
      <w:bookmarkStart w:id="1049" w:name="_Toc452544873"/>
      <w:bookmarkStart w:id="1050" w:name="_Toc452651156"/>
      <w:bookmarkStart w:id="1051" w:name="_Toc452541662"/>
      <w:bookmarkStart w:id="1052" w:name="_Toc452543737"/>
      <w:bookmarkStart w:id="1053" w:name="_Toc452544308"/>
      <w:bookmarkStart w:id="1054" w:name="_Toc452544883"/>
      <w:bookmarkStart w:id="1055" w:name="_Toc452651166"/>
      <w:bookmarkStart w:id="1056" w:name="_Toc452541692"/>
      <w:bookmarkStart w:id="1057" w:name="_Toc452543767"/>
      <w:bookmarkStart w:id="1058" w:name="_Toc452544338"/>
      <w:bookmarkStart w:id="1059" w:name="_Toc452544913"/>
      <w:bookmarkStart w:id="1060" w:name="_Toc452651196"/>
      <w:bookmarkStart w:id="1061" w:name="_Toc452541693"/>
      <w:bookmarkStart w:id="1062" w:name="_Toc452543768"/>
      <w:bookmarkStart w:id="1063" w:name="_Toc452544339"/>
      <w:bookmarkStart w:id="1064" w:name="_Toc452544914"/>
      <w:bookmarkStart w:id="1065" w:name="_Toc452651197"/>
      <w:bookmarkStart w:id="1066" w:name="_Toc452541694"/>
      <w:bookmarkStart w:id="1067" w:name="_Toc452543769"/>
      <w:bookmarkStart w:id="1068" w:name="_Toc452544340"/>
      <w:bookmarkStart w:id="1069" w:name="_Toc452544915"/>
      <w:bookmarkStart w:id="1070" w:name="_Toc452651198"/>
      <w:bookmarkStart w:id="1071" w:name="_Toc452541695"/>
      <w:bookmarkStart w:id="1072" w:name="_Toc452543770"/>
      <w:bookmarkStart w:id="1073" w:name="_Toc452544341"/>
      <w:bookmarkStart w:id="1074" w:name="_Toc452544916"/>
      <w:bookmarkStart w:id="1075" w:name="_Toc452651199"/>
      <w:bookmarkStart w:id="1076" w:name="_Toc452541696"/>
      <w:bookmarkStart w:id="1077" w:name="_Toc452543771"/>
      <w:bookmarkStart w:id="1078" w:name="_Toc452544342"/>
      <w:bookmarkStart w:id="1079" w:name="_Toc452544917"/>
      <w:bookmarkStart w:id="1080" w:name="_Toc452651200"/>
      <w:bookmarkStart w:id="1081" w:name="_Toc425173278"/>
      <w:bookmarkStart w:id="1082" w:name="_Toc425173431"/>
      <w:bookmarkStart w:id="1083" w:name="_Toc425173582"/>
      <w:bookmarkStart w:id="1084" w:name="_Toc425173733"/>
      <w:bookmarkStart w:id="1085" w:name="_Toc425173884"/>
      <w:bookmarkStart w:id="1086" w:name="_Toc425174031"/>
      <w:bookmarkStart w:id="1087" w:name="_Toc425174174"/>
      <w:bookmarkStart w:id="1088" w:name="_Toc425174317"/>
      <w:bookmarkStart w:id="1089" w:name="_Toc425174460"/>
      <w:bookmarkStart w:id="1090" w:name="_Toc425174601"/>
      <w:bookmarkStart w:id="1091" w:name="_Toc425173279"/>
      <w:bookmarkStart w:id="1092" w:name="_Toc425173432"/>
      <w:bookmarkStart w:id="1093" w:name="_Toc425173583"/>
      <w:bookmarkStart w:id="1094" w:name="_Toc425173734"/>
      <w:bookmarkStart w:id="1095" w:name="_Toc425173885"/>
      <w:bookmarkStart w:id="1096" w:name="_Toc425174032"/>
      <w:bookmarkStart w:id="1097" w:name="_Toc425174175"/>
      <w:bookmarkStart w:id="1098" w:name="_Toc425174318"/>
      <w:bookmarkStart w:id="1099" w:name="_Toc425174461"/>
      <w:bookmarkStart w:id="1100" w:name="_Toc425174602"/>
      <w:bookmarkStart w:id="1101" w:name="_Toc425173280"/>
      <w:bookmarkStart w:id="1102" w:name="_Toc425173433"/>
      <w:bookmarkStart w:id="1103" w:name="_Toc425173584"/>
      <w:bookmarkStart w:id="1104" w:name="_Toc425173735"/>
      <w:bookmarkStart w:id="1105" w:name="_Toc425173886"/>
      <w:bookmarkStart w:id="1106" w:name="_Toc425174033"/>
      <w:bookmarkStart w:id="1107" w:name="_Toc425174176"/>
      <w:bookmarkStart w:id="1108" w:name="_Toc425174319"/>
      <w:bookmarkStart w:id="1109" w:name="_Toc425174462"/>
      <w:bookmarkStart w:id="1110" w:name="_Toc425174603"/>
      <w:bookmarkStart w:id="1111" w:name="_Toc425169185"/>
      <w:bookmarkStart w:id="1112" w:name="_Toc425172073"/>
      <w:bookmarkStart w:id="1113" w:name="_Toc425172217"/>
      <w:bookmarkStart w:id="1114" w:name="_Toc425172336"/>
      <w:bookmarkStart w:id="1115" w:name="_Toc425172456"/>
      <w:bookmarkStart w:id="1116" w:name="_Toc425172574"/>
      <w:bookmarkStart w:id="1117" w:name="_Toc425172691"/>
      <w:bookmarkStart w:id="1118" w:name="_Toc425172810"/>
      <w:bookmarkStart w:id="1119" w:name="_Toc425172927"/>
      <w:bookmarkStart w:id="1120" w:name="_Toc425173045"/>
      <w:bookmarkStart w:id="1121" w:name="_Toc425173161"/>
      <w:bookmarkStart w:id="1122" w:name="_Toc425173281"/>
      <w:bookmarkStart w:id="1123" w:name="_Toc425173434"/>
      <w:bookmarkStart w:id="1124" w:name="_Toc425173585"/>
      <w:bookmarkStart w:id="1125" w:name="_Toc425173736"/>
      <w:bookmarkStart w:id="1126" w:name="_Toc425173887"/>
      <w:bookmarkStart w:id="1127" w:name="_Toc425174034"/>
      <w:bookmarkStart w:id="1128" w:name="_Toc425174177"/>
      <w:bookmarkStart w:id="1129" w:name="_Toc425174320"/>
      <w:bookmarkStart w:id="1130" w:name="_Toc425174463"/>
      <w:bookmarkStart w:id="1131" w:name="_Toc425174604"/>
      <w:bookmarkStart w:id="1132" w:name="_Toc425173282"/>
      <w:bookmarkStart w:id="1133" w:name="_Toc425173435"/>
      <w:bookmarkStart w:id="1134" w:name="_Toc425173586"/>
      <w:bookmarkStart w:id="1135" w:name="_Toc425173737"/>
      <w:bookmarkStart w:id="1136" w:name="_Toc425173888"/>
      <w:bookmarkStart w:id="1137" w:name="_Toc425174035"/>
      <w:bookmarkStart w:id="1138" w:name="_Toc425174178"/>
      <w:bookmarkStart w:id="1139" w:name="_Toc425174321"/>
      <w:bookmarkStart w:id="1140" w:name="_Toc425174464"/>
      <w:bookmarkStart w:id="1141" w:name="_Toc425174605"/>
      <w:bookmarkStart w:id="1142" w:name="_Toc425173300"/>
      <w:bookmarkStart w:id="1143" w:name="_Toc425173453"/>
      <w:bookmarkStart w:id="1144" w:name="_Toc425173604"/>
      <w:bookmarkStart w:id="1145" w:name="_Toc425173755"/>
      <w:bookmarkStart w:id="1146" w:name="_Toc425173906"/>
      <w:bookmarkStart w:id="1147" w:name="_Toc425174053"/>
      <w:bookmarkStart w:id="1148" w:name="_Toc425174196"/>
      <w:bookmarkStart w:id="1149" w:name="_Toc425174339"/>
      <w:bookmarkStart w:id="1150" w:name="_Toc425174482"/>
      <w:bookmarkStart w:id="1151" w:name="_Toc425174623"/>
      <w:bookmarkStart w:id="1152" w:name="_Toc425173314"/>
      <w:bookmarkStart w:id="1153" w:name="_Toc425173467"/>
      <w:bookmarkStart w:id="1154" w:name="_Toc425173618"/>
      <w:bookmarkStart w:id="1155" w:name="_Toc425173769"/>
      <w:bookmarkStart w:id="1156" w:name="_Toc425173920"/>
      <w:bookmarkStart w:id="1157" w:name="_Toc425174067"/>
      <w:bookmarkStart w:id="1158" w:name="_Toc425174210"/>
      <w:bookmarkStart w:id="1159" w:name="_Toc425174353"/>
      <w:bookmarkStart w:id="1160" w:name="_Toc425174496"/>
      <w:bookmarkStart w:id="1161" w:name="_Toc425174637"/>
      <w:bookmarkStart w:id="1162" w:name="_Toc425173315"/>
      <w:bookmarkStart w:id="1163" w:name="_Toc425173468"/>
      <w:bookmarkStart w:id="1164" w:name="_Toc425173619"/>
      <w:bookmarkStart w:id="1165" w:name="_Toc425173770"/>
      <w:bookmarkStart w:id="1166" w:name="_Toc425173921"/>
      <w:bookmarkStart w:id="1167" w:name="_Toc425174068"/>
      <w:bookmarkStart w:id="1168" w:name="_Toc425174211"/>
      <w:bookmarkStart w:id="1169" w:name="_Toc425174354"/>
      <w:bookmarkStart w:id="1170" w:name="_Toc425174497"/>
      <w:bookmarkStart w:id="1171" w:name="_Toc425174638"/>
      <w:bookmarkStart w:id="1172" w:name="_Toc452541697"/>
      <w:bookmarkStart w:id="1173" w:name="_Toc452543772"/>
      <w:bookmarkStart w:id="1174" w:name="_Toc452544343"/>
      <w:bookmarkStart w:id="1175" w:name="_Toc452544918"/>
      <w:bookmarkStart w:id="1176" w:name="_Toc452651201"/>
      <w:bookmarkStart w:id="1177" w:name="_Toc452541710"/>
      <w:bookmarkStart w:id="1178" w:name="_Toc452543785"/>
      <w:bookmarkStart w:id="1179" w:name="_Toc452544356"/>
      <w:bookmarkStart w:id="1180" w:name="_Toc452544931"/>
      <w:bookmarkStart w:id="1181" w:name="_Toc452651214"/>
      <w:bookmarkStart w:id="1182" w:name="_Toc452541720"/>
      <w:bookmarkStart w:id="1183" w:name="_Toc452543795"/>
      <w:bookmarkStart w:id="1184" w:name="_Toc452544366"/>
      <w:bookmarkStart w:id="1185" w:name="_Toc452544941"/>
      <w:bookmarkStart w:id="1186" w:name="_Toc452651224"/>
      <w:bookmarkStart w:id="1187" w:name="_Toc428364494"/>
      <w:bookmarkStart w:id="1188" w:name="_Toc428364658"/>
      <w:bookmarkStart w:id="1189" w:name="_Toc428365025"/>
      <w:bookmarkStart w:id="1190" w:name="_Toc428366286"/>
      <w:bookmarkStart w:id="1191" w:name="_Toc428368392"/>
      <w:bookmarkStart w:id="1192" w:name="_Toc428370394"/>
      <w:bookmarkStart w:id="1193" w:name="_Toc428370561"/>
      <w:bookmarkStart w:id="1194" w:name="_Toc428433833"/>
      <w:bookmarkStart w:id="1195" w:name="_Toc428434002"/>
      <w:bookmarkStart w:id="1196" w:name="_Toc428434716"/>
      <w:bookmarkStart w:id="1197" w:name="_Toc428435606"/>
      <w:bookmarkStart w:id="1198" w:name="_Toc428436693"/>
      <w:bookmarkStart w:id="1199" w:name="_Toc428436864"/>
      <w:bookmarkStart w:id="1200" w:name="_Toc428364510"/>
      <w:bookmarkStart w:id="1201" w:name="_Toc428364674"/>
      <w:bookmarkStart w:id="1202" w:name="_Toc428365041"/>
      <w:bookmarkStart w:id="1203" w:name="_Toc428366302"/>
      <w:bookmarkStart w:id="1204" w:name="_Toc428368408"/>
      <w:bookmarkStart w:id="1205" w:name="_Toc428370410"/>
      <w:bookmarkStart w:id="1206" w:name="_Toc428370577"/>
      <w:bookmarkStart w:id="1207" w:name="_Toc428433849"/>
      <w:bookmarkStart w:id="1208" w:name="_Toc428434018"/>
      <w:bookmarkStart w:id="1209" w:name="_Toc428434732"/>
      <w:bookmarkStart w:id="1210" w:name="_Toc428435622"/>
      <w:bookmarkStart w:id="1211" w:name="_Toc428436709"/>
      <w:bookmarkStart w:id="1212" w:name="_Toc428436880"/>
      <w:bookmarkStart w:id="1213" w:name="_Toc452541741"/>
      <w:bookmarkStart w:id="1214" w:name="_Toc452543816"/>
      <w:bookmarkStart w:id="1215" w:name="_Toc452544387"/>
      <w:bookmarkStart w:id="1216" w:name="_Toc452544962"/>
      <w:bookmarkStart w:id="1217" w:name="_Toc452651245"/>
      <w:bookmarkStart w:id="1218" w:name="_Toc452541742"/>
      <w:bookmarkStart w:id="1219" w:name="_Toc452543817"/>
      <w:bookmarkStart w:id="1220" w:name="_Toc452544388"/>
      <w:bookmarkStart w:id="1221" w:name="_Toc452544963"/>
      <w:bookmarkStart w:id="1222" w:name="_Toc452651246"/>
      <w:bookmarkStart w:id="1223" w:name="_Toc452541743"/>
      <w:bookmarkStart w:id="1224" w:name="_Toc452543818"/>
      <w:bookmarkStart w:id="1225" w:name="_Toc452544389"/>
      <w:bookmarkStart w:id="1226" w:name="_Toc452544964"/>
      <w:bookmarkStart w:id="1227" w:name="_Toc452651247"/>
      <w:bookmarkStart w:id="1228" w:name="_Toc452541744"/>
      <w:bookmarkStart w:id="1229" w:name="_Toc452543819"/>
      <w:bookmarkStart w:id="1230" w:name="_Toc452544390"/>
      <w:bookmarkStart w:id="1231" w:name="_Toc452544965"/>
      <w:bookmarkStart w:id="1232" w:name="_Toc452651248"/>
      <w:bookmarkStart w:id="1233" w:name="_Toc452541745"/>
      <w:bookmarkStart w:id="1234" w:name="_Toc452543820"/>
      <w:bookmarkStart w:id="1235" w:name="_Toc452544391"/>
      <w:bookmarkStart w:id="1236" w:name="_Toc452544966"/>
      <w:bookmarkStart w:id="1237" w:name="_Toc452651249"/>
      <w:bookmarkStart w:id="1238" w:name="_Toc452541746"/>
      <w:bookmarkStart w:id="1239" w:name="_Toc452543821"/>
      <w:bookmarkStart w:id="1240" w:name="_Toc452544392"/>
      <w:bookmarkStart w:id="1241" w:name="_Toc452544967"/>
      <w:bookmarkStart w:id="1242" w:name="_Toc452651250"/>
      <w:bookmarkStart w:id="1243" w:name="_Toc452544393"/>
      <w:bookmarkStart w:id="1244" w:name="_Toc453849308"/>
      <w:bookmarkEnd w:id="931"/>
      <w:bookmarkEnd w:id="932"/>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bookmarkEnd w:id="1241"/>
      <w:bookmarkEnd w:id="1242"/>
      <w:r>
        <w:t xml:space="preserve">Operational </w:t>
      </w:r>
      <w:r w:rsidR="003161BC">
        <w:t xml:space="preserve">Risk </w:t>
      </w:r>
      <w:r>
        <w:t>Metrics</w:t>
      </w:r>
      <w:bookmarkEnd w:id="1243"/>
      <w:bookmarkEnd w:id="1244"/>
    </w:p>
    <w:p w14:paraId="616BDF3D" w14:textId="77777777" w:rsidR="002450B1" w:rsidRPr="006B5C7C" w:rsidRDefault="00E31B7D" w:rsidP="00FC6780">
      <w:pPr>
        <w:pStyle w:val="SANUS2"/>
        <w:numPr>
          <w:ilvl w:val="1"/>
          <w:numId w:val="1"/>
        </w:numPr>
        <w:tabs>
          <w:tab w:val="clear" w:pos="567"/>
          <w:tab w:val="num" w:pos="540"/>
        </w:tabs>
        <w:ind w:left="540" w:hanging="540"/>
        <w:rPr>
          <w:color w:val="000000" w:themeColor="text1"/>
        </w:rPr>
      </w:pPr>
      <w:bookmarkStart w:id="1245" w:name="_Toc452544394"/>
      <w:bookmarkStart w:id="1246" w:name="_Toc453849309"/>
      <w:r>
        <w:rPr>
          <w:color w:val="000000" w:themeColor="text1"/>
        </w:rPr>
        <w:t xml:space="preserve">Gross </w:t>
      </w:r>
      <w:r w:rsidR="002450B1" w:rsidRPr="00C1203D">
        <w:rPr>
          <w:color w:val="000000" w:themeColor="text1"/>
        </w:rPr>
        <w:t xml:space="preserve">Operational Risk Losses </w:t>
      </w:r>
      <w:r w:rsidR="002450B1">
        <w:rPr>
          <w:color w:val="000000" w:themeColor="text1"/>
        </w:rPr>
        <w:t>over</w:t>
      </w:r>
      <w:r w:rsidR="002450B1" w:rsidRPr="00C1203D">
        <w:rPr>
          <w:color w:val="000000" w:themeColor="text1"/>
        </w:rPr>
        <w:t xml:space="preserve"> Gross Margin</w:t>
      </w:r>
      <w:bookmarkEnd w:id="1245"/>
      <w:bookmarkEnd w:id="1246"/>
    </w:p>
    <w:tbl>
      <w:tblPr>
        <w:tblpPr w:leftFromText="180" w:rightFromText="180" w:vertAnchor="text" w:tblpX="168" w:tblpY="1"/>
        <w:tblOverlap w:val="never"/>
        <w:tblW w:w="9576"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Look w:val="0000" w:firstRow="0" w:lastRow="0" w:firstColumn="0" w:lastColumn="0" w:noHBand="0" w:noVBand="0"/>
      </w:tblPr>
      <w:tblGrid>
        <w:gridCol w:w="1728"/>
        <w:gridCol w:w="7848"/>
      </w:tblGrid>
      <w:tr w:rsidR="00A352E0" w:rsidRPr="00206D41" w14:paraId="5A1171B4" w14:textId="77777777" w:rsidTr="00AE7BA4">
        <w:trPr>
          <w:trHeight w:val="619"/>
        </w:trPr>
        <w:tc>
          <w:tcPr>
            <w:tcW w:w="1728" w:type="dxa"/>
            <w:shd w:val="clear" w:color="auto" w:fill="auto"/>
          </w:tcPr>
          <w:p w14:paraId="02601F46" w14:textId="77777777" w:rsidR="00A352E0" w:rsidRPr="00206D41" w:rsidRDefault="00A352E0" w:rsidP="00AE7BA4">
            <w:pPr>
              <w:rPr>
                <w:b/>
                <w:bCs/>
                <w:iCs/>
              </w:rPr>
            </w:pPr>
            <w:r>
              <w:rPr>
                <w:b/>
                <w:bCs/>
                <w:iCs/>
              </w:rPr>
              <w:t>DEFINITION</w:t>
            </w:r>
          </w:p>
        </w:tc>
        <w:tc>
          <w:tcPr>
            <w:tcW w:w="7848" w:type="dxa"/>
            <w:shd w:val="clear" w:color="auto" w:fill="auto"/>
          </w:tcPr>
          <w:p w14:paraId="3C9C7A6D" w14:textId="77777777" w:rsidR="00A352E0" w:rsidRPr="00206D41" w:rsidRDefault="001736B6" w:rsidP="00AE7BA4">
            <w:pPr>
              <w:tabs>
                <w:tab w:val="left" w:pos="4378"/>
              </w:tabs>
              <w:spacing w:after="0"/>
              <w:rPr>
                <w:rFonts w:asciiTheme="minorHAnsi" w:eastAsiaTheme="minorHAnsi" w:hAnsiTheme="minorHAnsi" w:cstheme="minorBidi"/>
                <w:iCs/>
              </w:rPr>
            </w:pPr>
            <w:r>
              <w:rPr>
                <w:rFonts w:asciiTheme="minorHAnsi" w:eastAsiaTheme="minorHAnsi" w:hAnsiTheme="minorHAnsi" w:cstheme="minorBidi"/>
                <w:iCs/>
              </w:rPr>
              <w:t>Gross</w:t>
            </w:r>
            <w:r w:rsidRPr="00206D41">
              <w:rPr>
                <w:rFonts w:asciiTheme="minorHAnsi" w:eastAsiaTheme="minorHAnsi" w:hAnsiTheme="minorHAnsi" w:cstheme="minorBidi"/>
                <w:iCs/>
              </w:rPr>
              <w:t xml:space="preserve"> </w:t>
            </w:r>
            <w:r>
              <w:rPr>
                <w:rFonts w:asciiTheme="minorHAnsi" w:eastAsiaTheme="minorHAnsi" w:hAnsiTheme="minorHAnsi" w:cstheme="minorBidi"/>
                <w:iCs/>
              </w:rPr>
              <w:t>operational risk (OR) l</w:t>
            </w:r>
            <w:r w:rsidRPr="00206D41">
              <w:rPr>
                <w:rFonts w:asciiTheme="minorHAnsi" w:eastAsiaTheme="minorHAnsi" w:hAnsiTheme="minorHAnsi" w:cstheme="minorBidi"/>
                <w:iCs/>
              </w:rPr>
              <w:t>osses</w:t>
            </w:r>
            <w:r>
              <w:rPr>
                <w:rFonts w:asciiTheme="minorHAnsi" w:eastAsiaTheme="minorHAnsi" w:hAnsiTheme="minorHAnsi" w:cstheme="minorBidi"/>
                <w:iCs/>
              </w:rPr>
              <w:t xml:space="preserve">  as a percentage of gross margin within the same period</w:t>
            </w:r>
          </w:p>
        </w:tc>
      </w:tr>
      <w:tr w:rsidR="00A352E0" w:rsidRPr="00206D41" w14:paraId="3ECB74A4" w14:textId="77777777" w:rsidTr="00AE7BA4">
        <w:trPr>
          <w:trHeight w:val="523"/>
        </w:trPr>
        <w:tc>
          <w:tcPr>
            <w:tcW w:w="1728" w:type="dxa"/>
            <w:shd w:val="clear" w:color="auto" w:fill="auto"/>
          </w:tcPr>
          <w:p w14:paraId="6A43E985" w14:textId="77777777" w:rsidR="00A352E0" w:rsidRPr="00206D41" w:rsidRDefault="00A352E0" w:rsidP="00AE7BA4">
            <w:pPr>
              <w:rPr>
                <w:b/>
                <w:bCs/>
                <w:iCs/>
              </w:rPr>
            </w:pPr>
            <w:r>
              <w:rPr>
                <w:b/>
                <w:bCs/>
                <w:iCs/>
              </w:rPr>
              <w:t>RISK TYPE</w:t>
            </w:r>
          </w:p>
        </w:tc>
        <w:tc>
          <w:tcPr>
            <w:tcW w:w="7848" w:type="dxa"/>
            <w:shd w:val="clear" w:color="auto" w:fill="auto"/>
          </w:tcPr>
          <w:p w14:paraId="4A627912" w14:textId="77777777" w:rsidR="00A352E0" w:rsidRPr="00206D41" w:rsidRDefault="00A352E0" w:rsidP="00AE7BA4">
            <w:pPr>
              <w:spacing w:after="0" w:line="240" w:lineRule="auto"/>
              <w:rPr>
                <w:bCs/>
                <w:iCs/>
              </w:rPr>
            </w:pPr>
            <w:r>
              <w:rPr>
                <w:bCs/>
                <w:iCs/>
              </w:rPr>
              <w:t xml:space="preserve">Operational Risk </w:t>
            </w:r>
          </w:p>
        </w:tc>
      </w:tr>
      <w:tr w:rsidR="00A352E0" w:rsidRPr="00206D41" w14:paraId="0B804807" w14:textId="77777777" w:rsidTr="00AE7BA4">
        <w:trPr>
          <w:trHeight w:val="523"/>
        </w:trPr>
        <w:tc>
          <w:tcPr>
            <w:tcW w:w="1728" w:type="dxa"/>
            <w:shd w:val="clear" w:color="auto" w:fill="auto"/>
          </w:tcPr>
          <w:p w14:paraId="1E468DE6" w14:textId="77777777" w:rsidR="00A352E0" w:rsidRDefault="00A352E0" w:rsidP="00AE7BA4">
            <w:pPr>
              <w:rPr>
                <w:b/>
                <w:bCs/>
                <w:iCs/>
              </w:rPr>
            </w:pPr>
            <w:r>
              <w:rPr>
                <w:b/>
                <w:bCs/>
                <w:iCs/>
              </w:rPr>
              <w:t>RATIONALE</w:t>
            </w:r>
          </w:p>
        </w:tc>
        <w:tc>
          <w:tcPr>
            <w:tcW w:w="7848" w:type="dxa"/>
            <w:shd w:val="clear" w:color="auto" w:fill="auto"/>
          </w:tcPr>
          <w:p w14:paraId="13BE6DA0" w14:textId="77777777" w:rsidR="00A352E0" w:rsidRDefault="001736B6" w:rsidP="00BB3BB6">
            <w:pPr>
              <w:spacing w:after="0" w:line="240" w:lineRule="auto"/>
              <w:rPr>
                <w:bCs/>
                <w:iCs/>
              </w:rPr>
            </w:pPr>
            <w:r>
              <w:rPr>
                <w:bCs/>
                <w:iCs/>
              </w:rPr>
              <w:t>Measures overall OR losses and is preferred over measuring net OR losses as measuring gross losses accounts for a “worst-case” scenario where there are no loss recoveries and avoids not acting on a RAS limit breach while waiting for recoveries</w:t>
            </w:r>
          </w:p>
        </w:tc>
      </w:tr>
      <w:tr w:rsidR="00AD2CAD" w:rsidRPr="00206D41" w14:paraId="6E6EE075" w14:textId="77777777" w:rsidTr="006B6E1C">
        <w:trPr>
          <w:trHeight w:val="270"/>
        </w:trPr>
        <w:tc>
          <w:tcPr>
            <w:tcW w:w="1728" w:type="dxa"/>
            <w:shd w:val="clear" w:color="auto" w:fill="auto"/>
          </w:tcPr>
          <w:p w14:paraId="5357F129" w14:textId="77777777" w:rsidR="00AD2CAD" w:rsidRPr="00206D41" w:rsidRDefault="00AD2CAD" w:rsidP="00AE7BA4">
            <w:pPr>
              <w:rPr>
                <w:b/>
                <w:bCs/>
                <w:iCs/>
              </w:rPr>
            </w:pPr>
            <w:r>
              <w:rPr>
                <w:b/>
                <w:bCs/>
                <w:iCs/>
              </w:rPr>
              <w:t xml:space="preserve">ENTITY </w:t>
            </w:r>
          </w:p>
        </w:tc>
        <w:tc>
          <w:tcPr>
            <w:tcW w:w="7848" w:type="dxa"/>
            <w:shd w:val="clear" w:color="auto" w:fill="auto"/>
          </w:tcPr>
          <w:p w14:paraId="6FCB89B5" w14:textId="77777777" w:rsidR="00AD2CAD" w:rsidRPr="00B10D1A" w:rsidRDefault="00AD2CAD" w:rsidP="00AE7BA4">
            <w:pPr>
              <w:spacing w:after="0" w:line="240" w:lineRule="auto"/>
              <w:rPr>
                <w:b/>
                <w:bCs/>
                <w:iCs/>
              </w:rPr>
            </w:pPr>
            <w:r w:rsidRPr="007973F5">
              <w:rPr>
                <w:b/>
                <w:bCs/>
                <w:iCs/>
              </w:rPr>
              <w:t>SHUSA</w:t>
            </w:r>
          </w:p>
        </w:tc>
      </w:tr>
      <w:tr w:rsidR="00AD2CAD" w:rsidRPr="00206D41" w14:paraId="3424650D" w14:textId="77777777" w:rsidTr="006B6E1C">
        <w:trPr>
          <w:trHeight w:val="270"/>
        </w:trPr>
        <w:tc>
          <w:tcPr>
            <w:tcW w:w="1728" w:type="dxa"/>
            <w:shd w:val="clear" w:color="auto" w:fill="auto"/>
          </w:tcPr>
          <w:p w14:paraId="5BFC0DAB" w14:textId="45188A2E" w:rsidR="00AD2CAD" w:rsidRPr="00206D41" w:rsidRDefault="00511F11" w:rsidP="00AE7BA4">
            <w:pPr>
              <w:rPr>
                <w:b/>
                <w:bCs/>
                <w:iCs/>
              </w:rPr>
            </w:pPr>
            <w:r>
              <w:rPr>
                <w:rFonts w:asciiTheme="minorHAnsi" w:hAnsiTheme="minorHAnsi"/>
                <w:b/>
                <w:bCs/>
                <w:iCs/>
              </w:rPr>
              <w:t>METRIC PROVIDER</w:t>
            </w:r>
          </w:p>
        </w:tc>
        <w:tc>
          <w:tcPr>
            <w:tcW w:w="7848" w:type="dxa"/>
            <w:shd w:val="clear" w:color="auto" w:fill="auto"/>
          </w:tcPr>
          <w:p w14:paraId="6FA55114" w14:textId="6319C599" w:rsidR="00AD2CAD" w:rsidRPr="00B10D1A" w:rsidRDefault="00564499" w:rsidP="00AE7BA4">
            <w:pPr>
              <w:spacing w:after="0" w:line="240" w:lineRule="auto"/>
              <w:rPr>
                <w:b/>
                <w:bCs/>
                <w:iCs/>
              </w:rPr>
            </w:pPr>
            <w:r w:rsidRPr="00564499">
              <w:rPr>
                <w:b/>
                <w:bCs/>
                <w:iCs/>
              </w:rPr>
              <w:t>SHUSA Director of Operational Risk</w:t>
            </w:r>
          </w:p>
        </w:tc>
      </w:tr>
      <w:tr w:rsidR="00A352E0" w:rsidRPr="00206D41" w14:paraId="64DE33C4" w14:textId="77777777" w:rsidTr="00AE7BA4">
        <w:trPr>
          <w:trHeight w:val="360"/>
        </w:trPr>
        <w:tc>
          <w:tcPr>
            <w:tcW w:w="1728" w:type="dxa"/>
            <w:shd w:val="clear" w:color="auto" w:fill="auto"/>
          </w:tcPr>
          <w:p w14:paraId="54879AE0" w14:textId="77777777" w:rsidR="00A352E0" w:rsidRPr="00206D41" w:rsidRDefault="00A352E0" w:rsidP="00AE7BA4">
            <w:pPr>
              <w:rPr>
                <w:b/>
                <w:bCs/>
                <w:iCs/>
              </w:rPr>
            </w:pPr>
            <w:r w:rsidRPr="00F52DE6">
              <w:rPr>
                <w:b/>
                <w:bCs/>
                <w:iCs/>
              </w:rPr>
              <w:t>TRIGGER AND LIMIT SETTING</w:t>
            </w:r>
          </w:p>
        </w:tc>
        <w:tc>
          <w:tcPr>
            <w:tcW w:w="7848" w:type="dxa"/>
            <w:shd w:val="clear" w:color="auto" w:fill="auto"/>
          </w:tcPr>
          <w:p w14:paraId="66553A8C" w14:textId="77777777" w:rsidR="00564499" w:rsidRDefault="00564499" w:rsidP="00564499">
            <w:pPr>
              <w:spacing w:after="0" w:line="240" w:lineRule="auto"/>
              <w:rPr>
                <w:bCs/>
                <w:iCs/>
              </w:rPr>
            </w:pPr>
            <w:r w:rsidRPr="001736B6">
              <w:rPr>
                <w:bCs/>
                <w:iCs/>
              </w:rPr>
              <w:t xml:space="preserve">The following calibration methodology is applied to </w:t>
            </w:r>
            <w:r>
              <w:rPr>
                <w:bCs/>
                <w:iCs/>
              </w:rPr>
              <w:t>SHUSA</w:t>
            </w:r>
            <w:r w:rsidRPr="001736B6">
              <w:rPr>
                <w:bCs/>
                <w:iCs/>
              </w:rPr>
              <w:t xml:space="preserve"> </w:t>
            </w:r>
            <w:r>
              <w:rPr>
                <w:bCs/>
                <w:iCs/>
              </w:rPr>
              <w:t>utilizing historical internal loss data</w:t>
            </w:r>
            <w:r w:rsidRPr="001736B6">
              <w:rPr>
                <w:bCs/>
                <w:iCs/>
              </w:rPr>
              <w:t xml:space="preserve"> on an annual basis to arrive at the amber trigger and red limits:</w:t>
            </w:r>
          </w:p>
          <w:p w14:paraId="6EB3EAD1" w14:textId="77777777" w:rsidR="00564499" w:rsidRPr="001736B6" w:rsidRDefault="00564499" w:rsidP="00564499">
            <w:pPr>
              <w:spacing w:after="0" w:line="240" w:lineRule="auto"/>
              <w:rPr>
                <w:bCs/>
                <w:iCs/>
              </w:rPr>
            </w:pPr>
          </w:p>
          <w:p w14:paraId="07444B97" w14:textId="77777777" w:rsidR="00564499" w:rsidRPr="001736B6" w:rsidRDefault="00564499" w:rsidP="00564499">
            <w:pPr>
              <w:numPr>
                <w:ilvl w:val="0"/>
                <w:numId w:val="32"/>
              </w:numPr>
              <w:spacing w:after="0" w:line="240" w:lineRule="auto"/>
              <w:rPr>
                <w:bCs/>
                <w:iCs/>
                <w:lang w:val="en-GB"/>
              </w:rPr>
            </w:pPr>
            <w:r w:rsidRPr="001736B6">
              <w:rPr>
                <w:bCs/>
                <w:iCs/>
                <w:lang w:val="en-GB"/>
              </w:rPr>
              <w:t xml:space="preserve">Amber trigger: </w:t>
            </w:r>
            <w:r>
              <w:rPr>
                <w:bCs/>
                <w:iCs/>
                <w:lang w:val="en-GB"/>
              </w:rPr>
              <w:t>12 month trailing historical average of gross OR losses as a % of 12 month trailing historical average of gross margin less 1 standard deviation</w:t>
            </w:r>
          </w:p>
          <w:p w14:paraId="6214967A" w14:textId="77777777" w:rsidR="00564499" w:rsidRPr="001736B6" w:rsidRDefault="00564499" w:rsidP="00564499">
            <w:pPr>
              <w:numPr>
                <w:ilvl w:val="0"/>
                <w:numId w:val="32"/>
              </w:numPr>
              <w:spacing w:after="0" w:line="240" w:lineRule="auto"/>
              <w:rPr>
                <w:bCs/>
                <w:iCs/>
                <w:lang w:val="en-GB"/>
              </w:rPr>
            </w:pPr>
            <w:r w:rsidRPr="001736B6">
              <w:rPr>
                <w:bCs/>
                <w:iCs/>
                <w:lang w:val="en-GB"/>
              </w:rPr>
              <w:t>Red limit:</w:t>
            </w:r>
            <w:r>
              <w:rPr>
                <w:bCs/>
                <w:iCs/>
                <w:lang w:val="en-GB"/>
              </w:rPr>
              <w:t xml:space="preserve"> 12 month trailing historical average of gross OR losses as a % of 12 month trailing historical average of gross margin</w:t>
            </w:r>
          </w:p>
          <w:p w14:paraId="4ADDB01E" w14:textId="77777777" w:rsidR="00564499" w:rsidRDefault="00564499" w:rsidP="00564499">
            <w:pPr>
              <w:spacing w:after="0" w:line="240" w:lineRule="auto"/>
              <w:rPr>
                <w:bCs/>
                <w:iCs/>
                <w:lang w:val="en-GB"/>
              </w:rPr>
            </w:pPr>
          </w:p>
          <w:p w14:paraId="35BA5B05" w14:textId="77777777" w:rsidR="00564499" w:rsidRPr="001736B6" w:rsidRDefault="00564499" w:rsidP="00564499">
            <w:pPr>
              <w:spacing w:after="0" w:line="240" w:lineRule="auto"/>
              <w:rPr>
                <w:bCs/>
                <w:iCs/>
              </w:rPr>
            </w:pPr>
            <w:r>
              <w:rPr>
                <w:bCs/>
                <w:iCs/>
              </w:rPr>
              <w:t xml:space="preserve"> This approach highlights systemic changes in operational risk management, covers a full cycle of losses and revenue, which lowers volatility from seasonality and is consistent with the methodology of other RAS metrics.</w:t>
            </w:r>
          </w:p>
          <w:p w14:paraId="4942ACC7" w14:textId="77777777" w:rsidR="00564499" w:rsidRPr="001736B6" w:rsidRDefault="00564499" w:rsidP="00564499">
            <w:pPr>
              <w:spacing w:after="0" w:line="240" w:lineRule="auto"/>
              <w:rPr>
                <w:bCs/>
                <w:iCs/>
              </w:rPr>
            </w:pPr>
          </w:p>
          <w:p w14:paraId="1DEB1F98" w14:textId="77777777" w:rsidR="00564499" w:rsidRDefault="00564499" w:rsidP="00564499">
            <w:pPr>
              <w:spacing w:after="0" w:line="240" w:lineRule="auto"/>
              <w:rPr>
                <w:bCs/>
                <w:iCs/>
              </w:rPr>
            </w:pPr>
            <w:r>
              <w:rPr>
                <w:bCs/>
                <w:iCs/>
              </w:rPr>
              <w:t>Final SHUSA limits are calculated as a weighted average of the entity levels to ensure internal consistency of breach events.</w:t>
            </w:r>
          </w:p>
          <w:p w14:paraId="26855A19" w14:textId="77777777" w:rsidR="00A352E0" w:rsidRPr="00F52DE6" w:rsidRDefault="00A352E0" w:rsidP="00AE7BA4">
            <w:pPr>
              <w:spacing w:after="0" w:line="240" w:lineRule="auto"/>
              <w:rPr>
                <w:bCs/>
                <w:iCs/>
              </w:rPr>
            </w:pPr>
          </w:p>
        </w:tc>
      </w:tr>
      <w:tr w:rsidR="00A352E0" w:rsidRPr="00206D41" w14:paraId="7BCA932D" w14:textId="77777777" w:rsidTr="00AE7BA4">
        <w:trPr>
          <w:trHeight w:val="360"/>
        </w:trPr>
        <w:tc>
          <w:tcPr>
            <w:tcW w:w="1728" w:type="dxa"/>
            <w:shd w:val="clear" w:color="auto" w:fill="auto"/>
          </w:tcPr>
          <w:p w14:paraId="3B74D95E" w14:textId="77777777" w:rsidR="00A352E0" w:rsidRPr="00206D41" w:rsidRDefault="00A352E0" w:rsidP="00AE7BA4">
            <w:pPr>
              <w:rPr>
                <w:b/>
                <w:bCs/>
                <w:iCs/>
              </w:rPr>
            </w:pPr>
            <w:r>
              <w:rPr>
                <w:b/>
                <w:bCs/>
                <w:iCs/>
              </w:rPr>
              <w:t>TESTING FREQUENCY</w:t>
            </w:r>
          </w:p>
        </w:tc>
        <w:tc>
          <w:tcPr>
            <w:tcW w:w="7848" w:type="dxa"/>
            <w:shd w:val="clear" w:color="auto" w:fill="auto"/>
          </w:tcPr>
          <w:p w14:paraId="701B0208" w14:textId="77777777" w:rsidR="00564499" w:rsidRDefault="00564499" w:rsidP="00564499">
            <w:pPr>
              <w:spacing w:after="0" w:line="240" w:lineRule="auto"/>
              <w:rPr>
                <w:bCs/>
                <w:iCs/>
              </w:rPr>
            </w:pPr>
            <w:r w:rsidRPr="00A352E0">
              <w:rPr>
                <w:bCs/>
                <w:iCs/>
              </w:rPr>
              <w:t xml:space="preserve">Quarterly with cumulative data </w:t>
            </w:r>
            <w:r>
              <w:rPr>
                <w:bCs/>
                <w:iCs/>
              </w:rPr>
              <w:t xml:space="preserve">for the last 12 months </w:t>
            </w:r>
            <w:r w:rsidRPr="00A352E0">
              <w:rPr>
                <w:bCs/>
                <w:iCs/>
              </w:rPr>
              <w:t xml:space="preserve">at the end of the period. </w:t>
            </w:r>
          </w:p>
          <w:p w14:paraId="4E74438E" w14:textId="77777777" w:rsidR="00A352E0" w:rsidRPr="00A352E0" w:rsidRDefault="00A352E0" w:rsidP="00A352E0">
            <w:pPr>
              <w:spacing w:after="0" w:line="240" w:lineRule="auto"/>
              <w:rPr>
                <w:bCs/>
                <w:iCs/>
              </w:rPr>
            </w:pPr>
          </w:p>
          <w:p w14:paraId="5D507859" w14:textId="77777777" w:rsidR="00A352E0" w:rsidRPr="00A352E0" w:rsidRDefault="00DB2B0B" w:rsidP="00A352E0">
            <w:pPr>
              <w:spacing w:after="0" w:line="240" w:lineRule="auto"/>
              <w:rPr>
                <w:bCs/>
                <w:iCs/>
              </w:rPr>
            </w:pPr>
            <m:oMathPara>
              <m:oMath>
                <m:f>
                  <m:fPr>
                    <m:ctrlPr>
                      <w:rPr>
                        <w:rFonts w:ascii="Cambria Math" w:hAnsi="Cambria Math"/>
                        <w:bCs/>
                        <w:i/>
                        <w:iCs/>
                      </w:rPr>
                    </m:ctrlPr>
                  </m:fPr>
                  <m:num>
                    <m:r>
                      <w:rPr>
                        <w:rFonts w:ascii="Cambria Math" w:hAnsi="Cambria Math"/>
                      </w:rPr>
                      <m:t>Aggregated Gross Operational Risk Losses</m:t>
                    </m:r>
                  </m:num>
                  <m:den>
                    <m:r>
                      <w:rPr>
                        <w:rFonts w:ascii="Cambria Math" w:hAnsi="Cambria Math"/>
                      </w:rPr>
                      <m:t>Aggregated Gross Margin</m:t>
                    </m:r>
                  </m:den>
                </m:f>
              </m:oMath>
            </m:oMathPara>
          </w:p>
          <w:p w14:paraId="7325DF65" w14:textId="77777777" w:rsidR="00A352E0" w:rsidRPr="00A352E0" w:rsidRDefault="00A352E0" w:rsidP="00A352E0">
            <w:pPr>
              <w:spacing w:after="0" w:line="240" w:lineRule="auto"/>
              <w:rPr>
                <w:bCs/>
                <w:iCs/>
              </w:rPr>
            </w:pPr>
          </w:p>
          <w:p w14:paraId="4B10BF3F" w14:textId="77777777" w:rsidR="00564499" w:rsidRPr="00A352E0" w:rsidRDefault="00564499" w:rsidP="00564499">
            <w:pPr>
              <w:spacing w:after="0" w:line="240" w:lineRule="auto"/>
              <w:rPr>
                <w:bCs/>
                <w:iCs/>
              </w:rPr>
            </w:pPr>
            <w:r w:rsidRPr="00A352E0">
              <w:rPr>
                <w:bCs/>
                <w:iCs/>
              </w:rPr>
              <w:t xml:space="preserve">Gross operational risk losses are defined as:  </w:t>
            </w:r>
          </w:p>
          <w:p w14:paraId="5C859F57" w14:textId="77777777" w:rsidR="00564499" w:rsidRPr="00A352E0" w:rsidRDefault="00564499" w:rsidP="00564499">
            <w:pPr>
              <w:spacing w:after="0" w:line="240" w:lineRule="auto"/>
              <w:rPr>
                <w:bCs/>
                <w:iCs/>
              </w:rPr>
            </w:pPr>
            <w:r w:rsidRPr="00A352E0">
              <w:rPr>
                <w:bCs/>
                <w:iCs/>
              </w:rPr>
              <w:t>Operational Risk Losses reported in the period (excluding recoveries – direct or indirect, excluding legal reserves and including legal settlements)</w:t>
            </w:r>
          </w:p>
          <w:p w14:paraId="0D3EA313" w14:textId="77777777" w:rsidR="00564499" w:rsidRPr="00A352E0" w:rsidRDefault="00564499" w:rsidP="00564499">
            <w:pPr>
              <w:spacing w:after="0" w:line="240" w:lineRule="auto"/>
              <w:rPr>
                <w:bCs/>
                <w:iCs/>
              </w:rPr>
            </w:pPr>
          </w:p>
          <w:p w14:paraId="3702DAE8" w14:textId="77777777" w:rsidR="00564499" w:rsidRPr="00A352E0" w:rsidRDefault="00564499" w:rsidP="00564499">
            <w:pPr>
              <w:spacing w:after="0" w:line="240" w:lineRule="auto"/>
              <w:rPr>
                <w:bCs/>
                <w:iCs/>
              </w:rPr>
            </w:pPr>
            <w:r w:rsidRPr="00A352E0">
              <w:rPr>
                <w:bCs/>
                <w:iCs/>
              </w:rPr>
              <w:t xml:space="preserve">Gross Margin (Net Revenue) is defined as: </w:t>
            </w:r>
          </w:p>
          <w:p w14:paraId="0394C94E" w14:textId="77777777" w:rsidR="00564499" w:rsidRPr="00A352E0" w:rsidRDefault="00564499" w:rsidP="00564499">
            <w:pPr>
              <w:spacing w:after="0" w:line="240" w:lineRule="auto"/>
              <w:jc w:val="both"/>
              <w:rPr>
                <w:bCs/>
                <w:iCs/>
              </w:rPr>
            </w:pPr>
            <m:oMath>
              <m:r>
                <w:rPr>
                  <w:rFonts w:ascii="Cambria Math" w:hAnsi="Cambria Math"/>
                </w:rPr>
                <m:t>Net Interest Income + Fees + Other Fees + Security and Related Derivatives Gains -Security and Related Derivatives Losses reported in period</m:t>
              </m:r>
            </m:oMath>
            <w:r>
              <w:rPr>
                <w:bCs/>
                <w:iCs/>
              </w:rPr>
              <w:t xml:space="preserve"> </w:t>
            </w:r>
          </w:p>
          <w:p w14:paraId="3724046D" w14:textId="77777777" w:rsidR="00A352E0" w:rsidRPr="00B10D1A" w:rsidRDefault="00A352E0" w:rsidP="00AE7BA4">
            <w:pPr>
              <w:spacing w:after="0" w:line="240" w:lineRule="auto"/>
              <w:rPr>
                <w:rFonts w:asciiTheme="minorHAnsi" w:eastAsiaTheme="minorHAnsi" w:hAnsiTheme="minorHAnsi" w:cstheme="minorBidi"/>
                <w:iCs/>
                <w:lang w:val="en-GB"/>
              </w:rPr>
            </w:pPr>
          </w:p>
        </w:tc>
      </w:tr>
      <w:tr w:rsidR="00A352E0" w:rsidRPr="00206D41" w14:paraId="4EF06603" w14:textId="77777777" w:rsidTr="00AE7BA4">
        <w:trPr>
          <w:trHeight w:val="525"/>
        </w:trPr>
        <w:tc>
          <w:tcPr>
            <w:tcW w:w="1728" w:type="dxa"/>
            <w:shd w:val="clear" w:color="auto" w:fill="auto"/>
          </w:tcPr>
          <w:p w14:paraId="257D0D6D" w14:textId="77777777" w:rsidR="00A352E0" w:rsidRPr="00206D41" w:rsidRDefault="00A352E0" w:rsidP="00AE7BA4">
            <w:pPr>
              <w:rPr>
                <w:b/>
                <w:bCs/>
                <w:iCs/>
              </w:rPr>
            </w:pPr>
            <w:r w:rsidRPr="00206D41">
              <w:rPr>
                <w:b/>
                <w:bCs/>
                <w:iCs/>
              </w:rPr>
              <w:t>SOURCE OF INFORMATION</w:t>
            </w:r>
          </w:p>
        </w:tc>
        <w:tc>
          <w:tcPr>
            <w:tcW w:w="7848" w:type="dxa"/>
            <w:shd w:val="clear" w:color="auto" w:fill="auto"/>
          </w:tcPr>
          <w:p w14:paraId="531ADB9D" w14:textId="77777777" w:rsidR="00564499" w:rsidRDefault="00564499" w:rsidP="00564499">
            <w:pPr>
              <w:pStyle w:val="ListParagraph"/>
              <w:numPr>
                <w:ilvl w:val="0"/>
                <w:numId w:val="37"/>
              </w:numPr>
              <w:spacing w:after="0" w:line="240" w:lineRule="auto"/>
              <w:ind w:left="252" w:hanging="252"/>
              <w:rPr>
                <w:rFonts w:ascii="Calibri" w:hAnsi="Calibri"/>
                <w:bCs/>
                <w:iCs/>
              </w:rPr>
            </w:pPr>
            <w:r>
              <w:rPr>
                <w:rFonts w:ascii="Calibri" w:hAnsi="Calibri"/>
                <w:bCs/>
                <w:iCs/>
              </w:rPr>
              <w:t>Data provided by : Internal Loss Data Team</w:t>
            </w:r>
          </w:p>
          <w:p w14:paraId="48680647" w14:textId="77777777" w:rsidR="00564499" w:rsidRDefault="00564499" w:rsidP="00564499">
            <w:pPr>
              <w:pStyle w:val="ListParagraph"/>
              <w:numPr>
                <w:ilvl w:val="0"/>
                <w:numId w:val="38"/>
              </w:numPr>
              <w:spacing w:after="0" w:line="240" w:lineRule="auto"/>
              <w:rPr>
                <w:rFonts w:ascii="Calibri" w:hAnsi="Calibri"/>
                <w:bCs/>
                <w:iCs/>
              </w:rPr>
            </w:pPr>
            <w:r>
              <w:rPr>
                <w:rFonts w:ascii="Calibri" w:hAnsi="Calibri"/>
                <w:bCs/>
                <w:iCs/>
              </w:rPr>
              <w:t xml:space="preserve">Source System : </w:t>
            </w:r>
            <w:r w:rsidRPr="002C6D4A">
              <w:rPr>
                <w:rFonts w:ascii="Calibri" w:hAnsi="Calibri"/>
                <w:bCs/>
                <w:iCs/>
              </w:rPr>
              <w:t>Internal Loss Database</w:t>
            </w:r>
          </w:p>
          <w:p w14:paraId="59C5AF61" w14:textId="77777777" w:rsidR="00564499" w:rsidRDefault="00564499" w:rsidP="00564499">
            <w:pPr>
              <w:pStyle w:val="ListParagraph"/>
              <w:numPr>
                <w:ilvl w:val="0"/>
                <w:numId w:val="39"/>
              </w:numPr>
              <w:tabs>
                <w:tab w:val="left" w:pos="1062"/>
              </w:tabs>
              <w:spacing w:after="0" w:line="240" w:lineRule="auto"/>
              <w:ind w:hanging="18"/>
              <w:rPr>
                <w:rFonts w:ascii="Calibri" w:hAnsi="Calibri"/>
                <w:bCs/>
                <w:iCs/>
              </w:rPr>
            </w:pPr>
            <w:r>
              <w:rPr>
                <w:rFonts w:ascii="Calibri" w:hAnsi="Calibri"/>
                <w:bCs/>
                <w:iCs/>
              </w:rPr>
              <w:t xml:space="preserve"> Data Provided : Gross Operational Risk Loss Number</w:t>
            </w:r>
          </w:p>
          <w:p w14:paraId="0FE5F10F" w14:textId="77777777" w:rsidR="00564499" w:rsidRDefault="00564499" w:rsidP="00564499">
            <w:pPr>
              <w:pStyle w:val="ListParagraph"/>
              <w:numPr>
                <w:ilvl w:val="0"/>
                <w:numId w:val="37"/>
              </w:numPr>
              <w:spacing w:after="0" w:line="240" w:lineRule="auto"/>
              <w:ind w:left="252" w:hanging="252"/>
              <w:rPr>
                <w:rFonts w:ascii="Calibri" w:hAnsi="Calibri"/>
                <w:bCs/>
                <w:iCs/>
              </w:rPr>
            </w:pPr>
            <w:r>
              <w:rPr>
                <w:rFonts w:ascii="Calibri" w:hAnsi="Calibri"/>
                <w:bCs/>
                <w:iCs/>
              </w:rPr>
              <w:t>Data provided by : Management Control</w:t>
            </w:r>
          </w:p>
          <w:p w14:paraId="035D979B" w14:textId="77777777" w:rsidR="00564499" w:rsidRDefault="00564499" w:rsidP="00564499">
            <w:pPr>
              <w:pStyle w:val="ListParagraph"/>
              <w:numPr>
                <w:ilvl w:val="0"/>
                <w:numId w:val="40"/>
              </w:numPr>
              <w:spacing w:after="0" w:line="240" w:lineRule="auto"/>
              <w:rPr>
                <w:rFonts w:ascii="Calibri" w:hAnsi="Calibri"/>
                <w:bCs/>
                <w:iCs/>
              </w:rPr>
            </w:pPr>
            <w:r>
              <w:rPr>
                <w:rFonts w:ascii="Calibri" w:hAnsi="Calibri"/>
                <w:bCs/>
                <w:iCs/>
              </w:rPr>
              <w:t xml:space="preserve">Source System : </w:t>
            </w:r>
            <w:proofErr w:type="spellStart"/>
            <w:r>
              <w:rPr>
                <w:rFonts w:ascii="Calibri" w:hAnsi="Calibri"/>
                <w:bCs/>
                <w:iCs/>
              </w:rPr>
              <w:t>Cumbre</w:t>
            </w:r>
            <w:proofErr w:type="spellEnd"/>
            <w:r>
              <w:rPr>
                <w:rFonts w:ascii="Calibri" w:hAnsi="Calibri"/>
                <w:bCs/>
                <w:iCs/>
              </w:rPr>
              <w:t xml:space="preserve"> (SBNA), Archer (SC)</w:t>
            </w:r>
          </w:p>
          <w:p w14:paraId="78AAE3C1" w14:textId="0DEF428D" w:rsidR="00A352E0" w:rsidRPr="00564499" w:rsidRDefault="00564499" w:rsidP="00564499">
            <w:pPr>
              <w:pStyle w:val="ListParagraph"/>
              <w:numPr>
                <w:ilvl w:val="0"/>
                <w:numId w:val="41"/>
              </w:numPr>
              <w:tabs>
                <w:tab w:val="left" w:pos="1152"/>
              </w:tabs>
              <w:spacing w:after="0" w:line="240" w:lineRule="auto"/>
              <w:ind w:hanging="18"/>
              <w:rPr>
                <w:rFonts w:ascii="Calibri" w:hAnsi="Calibri"/>
                <w:bCs/>
                <w:iCs/>
              </w:rPr>
            </w:pPr>
            <w:r>
              <w:rPr>
                <w:rFonts w:ascii="Calibri" w:hAnsi="Calibri"/>
                <w:bCs/>
                <w:iCs/>
              </w:rPr>
              <w:t>Data Provided : Net revenue (Gross Margin) Number</w:t>
            </w:r>
          </w:p>
        </w:tc>
      </w:tr>
    </w:tbl>
    <w:p w14:paraId="77866784" w14:textId="77777777" w:rsidR="00453F1F" w:rsidRDefault="00453F1F" w:rsidP="002450B1">
      <w:pPr>
        <w:tabs>
          <w:tab w:val="left" w:pos="4378"/>
        </w:tabs>
        <w:spacing w:after="0"/>
        <w:rPr>
          <w:rFonts w:asciiTheme="minorHAnsi" w:eastAsiaTheme="minorHAnsi" w:hAnsiTheme="minorHAnsi" w:cstheme="minorBidi"/>
          <w:iCs/>
          <w:sz w:val="24"/>
          <w:szCs w:val="24"/>
        </w:rPr>
      </w:pPr>
    </w:p>
    <w:p w14:paraId="7A3E1867" w14:textId="77777777" w:rsidR="002450B1" w:rsidRPr="00CF009C" w:rsidRDefault="001736B6" w:rsidP="00FC6780">
      <w:pPr>
        <w:pStyle w:val="SANUS2"/>
        <w:numPr>
          <w:ilvl w:val="1"/>
          <w:numId w:val="1"/>
        </w:numPr>
        <w:tabs>
          <w:tab w:val="clear" w:pos="567"/>
          <w:tab w:val="num" w:pos="540"/>
        </w:tabs>
        <w:ind w:left="720" w:hanging="720"/>
        <w:rPr>
          <w:color w:val="000000" w:themeColor="text1"/>
        </w:rPr>
      </w:pPr>
      <w:bookmarkStart w:id="1247" w:name="_Toc452541749"/>
      <w:bookmarkStart w:id="1248" w:name="_Toc452543824"/>
      <w:bookmarkStart w:id="1249" w:name="_Toc452544395"/>
      <w:bookmarkStart w:id="1250" w:name="_Toc452544970"/>
      <w:bookmarkStart w:id="1251" w:name="_Toc452651253"/>
      <w:bookmarkStart w:id="1252" w:name="_Toc452541750"/>
      <w:bookmarkStart w:id="1253" w:name="_Toc452543825"/>
      <w:bookmarkStart w:id="1254" w:name="_Toc452544396"/>
      <w:bookmarkStart w:id="1255" w:name="_Toc452544971"/>
      <w:bookmarkStart w:id="1256" w:name="_Toc452651254"/>
      <w:bookmarkStart w:id="1257" w:name="_Toc452544397"/>
      <w:bookmarkStart w:id="1258" w:name="_Toc453849310"/>
      <w:bookmarkEnd w:id="1247"/>
      <w:bookmarkEnd w:id="1248"/>
      <w:bookmarkEnd w:id="1249"/>
      <w:bookmarkEnd w:id="1250"/>
      <w:bookmarkEnd w:id="1251"/>
      <w:bookmarkEnd w:id="1252"/>
      <w:bookmarkEnd w:id="1253"/>
      <w:bookmarkEnd w:id="1254"/>
      <w:bookmarkEnd w:id="1255"/>
      <w:bookmarkEnd w:id="1256"/>
      <w:r>
        <w:rPr>
          <w:color w:val="000000" w:themeColor="text1"/>
        </w:rPr>
        <w:t>Material Operational Risk Events</w:t>
      </w:r>
      <w:bookmarkEnd w:id="1257"/>
      <w:bookmarkEnd w:id="1258"/>
    </w:p>
    <w:tbl>
      <w:tblPr>
        <w:tblpPr w:leftFromText="180" w:rightFromText="180" w:vertAnchor="text" w:tblpX="168" w:tblpY="1"/>
        <w:tblOverlap w:val="never"/>
        <w:tblW w:w="9198"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000" w:firstRow="0" w:lastRow="0" w:firstColumn="0" w:lastColumn="0" w:noHBand="0" w:noVBand="0"/>
      </w:tblPr>
      <w:tblGrid>
        <w:gridCol w:w="1994"/>
        <w:gridCol w:w="7204"/>
      </w:tblGrid>
      <w:tr w:rsidR="002450B1" w:rsidRPr="00206D41" w14:paraId="3FDA6201" w14:textId="77777777" w:rsidTr="00FC6780">
        <w:trPr>
          <w:trHeight w:val="390"/>
        </w:trPr>
        <w:tc>
          <w:tcPr>
            <w:tcW w:w="1994" w:type="dxa"/>
            <w:shd w:val="clear" w:color="auto" w:fill="auto"/>
          </w:tcPr>
          <w:p w14:paraId="3B3B2586" w14:textId="77777777" w:rsidR="002450B1" w:rsidRPr="00206D41" w:rsidRDefault="00A55433" w:rsidP="007F5098">
            <w:pPr>
              <w:rPr>
                <w:b/>
                <w:bCs/>
                <w:iCs/>
              </w:rPr>
            </w:pPr>
            <w:r>
              <w:rPr>
                <w:b/>
                <w:bCs/>
                <w:iCs/>
              </w:rPr>
              <w:t>DEFINITION</w:t>
            </w:r>
          </w:p>
        </w:tc>
        <w:tc>
          <w:tcPr>
            <w:tcW w:w="7204" w:type="dxa"/>
            <w:shd w:val="clear" w:color="auto" w:fill="auto"/>
          </w:tcPr>
          <w:p w14:paraId="671B5421" w14:textId="77777777" w:rsidR="002450B1" w:rsidRDefault="00A55433" w:rsidP="00BB3BB6">
            <w:pPr>
              <w:tabs>
                <w:tab w:val="left" w:pos="4378"/>
              </w:tabs>
              <w:spacing w:after="0"/>
              <w:rPr>
                <w:rFonts w:asciiTheme="minorHAnsi" w:eastAsiaTheme="minorHAnsi" w:hAnsiTheme="minorHAnsi" w:cstheme="minorBidi"/>
                <w:iCs/>
              </w:rPr>
            </w:pPr>
            <w:r>
              <w:rPr>
                <w:rFonts w:asciiTheme="minorHAnsi" w:eastAsiaTheme="minorHAnsi" w:hAnsiTheme="minorHAnsi" w:cstheme="minorBidi"/>
                <w:iCs/>
              </w:rPr>
              <w:t xml:space="preserve">Material OR events and their impacts categorized amongst one or more of the following impact types: </w:t>
            </w:r>
          </w:p>
          <w:p w14:paraId="1E7756A6" w14:textId="77777777" w:rsidR="00A55433" w:rsidRDefault="00A55433" w:rsidP="00FC6780">
            <w:pPr>
              <w:pStyle w:val="ListParagraph"/>
              <w:numPr>
                <w:ilvl w:val="0"/>
                <w:numId w:val="64"/>
              </w:numPr>
              <w:tabs>
                <w:tab w:val="left" w:pos="4378"/>
              </w:tabs>
              <w:spacing w:after="0"/>
              <w:rPr>
                <w:iCs/>
              </w:rPr>
            </w:pPr>
            <w:r>
              <w:rPr>
                <w:iCs/>
              </w:rPr>
              <w:t>Economic/Financial</w:t>
            </w:r>
          </w:p>
          <w:p w14:paraId="6343DDEB" w14:textId="77777777" w:rsidR="00A55433" w:rsidRDefault="00A55433" w:rsidP="00FC6780">
            <w:pPr>
              <w:pStyle w:val="ListParagraph"/>
              <w:numPr>
                <w:ilvl w:val="0"/>
                <w:numId w:val="64"/>
              </w:numPr>
              <w:tabs>
                <w:tab w:val="left" w:pos="4378"/>
              </w:tabs>
              <w:spacing w:after="0"/>
              <w:rPr>
                <w:iCs/>
              </w:rPr>
            </w:pPr>
            <w:r>
              <w:rPr>
                <w:iCs/>
              </w:rPr>
              <w:t>Regulatory</w:t>
            </w:r>
          </w:p>
          <w:p w14:paraId="3DA56261" w14:textId="77777777" w:rsidR="00A55433" w:rsidRDefault="00A55433" w:rsidP="00FC6780">
            <w:pPr>
              <w:pStyle w:val="ListParagraph"/>
              <w:numPr>
                <w:ilvl w:val="0"/>
                <w:numId w:val="64"/>
              </w:numPr>
              <w:tabs>
                <w:tab w:val="left" w:pos="4378"/>
              </w:tabs>
              <w:spacing w:after="0"/>
              <w:rPr>
                <w:iCs/>
              </w:rPr>
            </w:pPr>
            <w:r>
              <w:rPr>
                <w:iCs/>
              </w:rPr>
              <w:t>Reputational and Media Impact</w:t>
            </w:r>
          </w:p>
          <w:p w14:paraId="0CBBED32" w14:textId="77777777" w:rsidR="00A55433" w:rsidRDefault="00A55433" w:rsidP="00FC6780">
            <w:pPr>
              <w:pStyle w:val="ListParagraph"/>
              <w:numPr>
                <w:ilvl w:val="0"/>
                <w:numId w:val="64"/>
              </w:numPr>
              <w:tabs>
                <w:tab w:val="left" w:pos="4378"/>
              </w:tabs>
              <w:spacing w:after="0"/>
              <w:rPr>
                <w:iCs/>
              </w:rPr>
            </w:pPr>
            <w:r>
              <w:rPr>
                <w:iCs/>
              </w:rPr>
              <w:t>Client and Service</w:t>
            </w:r>
          </w:p>
          <w:p w14:paraId="2087555B" w14:textId="77777777" w:rsidR="00A55433" w:rsidRPr="00BB3BB6" w:rsidRDefault="00A55433" w:rsidP="00FC6780">
            <w:pPr>
              <w:pStyle w:val="ListParagraph"/>
              <w:numPr>
                <w:ilvl w:val="0"/>
                <w:numId w:val="64"/>
              </w:numPr>
              <w:tabs>
                <w:tab w:val="left" w:pos="4378"/>
              </w:tabs>
              <w:spacing w:after="0"/>
              <w:rPr>
                <w:iCs/>
              </w:rPr>
            </w:pPr>
            <w:r>
              <w:rPr>
                <w:iCs/>
              </w:rPr>
              <w:t>Other</w:t>
            </w:r>
          </w:p>
          <w:p w14:paraId="02E254C3" w14:textId="77777777" w:rsidR="00A55433" w:rsidRPr="00F41CA8" w:rsidRDefault="00A55433" w:rsidP="00BB3BB6">
            <w:pPr>
              <w:tabs>
                <w:tab w:val="left" w:pos="4378"/>
              </w:tabs>
              <w:spacing w:after="0"/>
              <w:rPr>
                <w:rFonts w:asciiTheme="minorHAnsi" w:eastAsiaTheme="minorHAnsi" w:hAnsiTheme="minorHAnsi" w:cstheme="minorBidi"/>
                <w:iCs/>
              </w:rPr>
            </w:pPr>
          </w:p>
        </w:tc>
      </w:tr>
      <w:tr w:rsidR="002450B1" w:rsidRPr="00206D41" w14:paraId="297656C1" w14:textId="77777777" w:rsidTr="00FC6780">
        <w:trPr>
          <w:trHeight w:val="690"/>
        </w:trPr>
        <w:tc>
          <w:tcPr>
            <w:tcW w:w="1994" w:type="dxa"/>
            <w:shd w:val="clear" w:color="auto" w:fill="auto"/>
          </w:tcPr>
          <w:p w14:paraId="37EE9DCD" w14:textId="77777777" w:rsidR="002450B1" w:rsidRPr="00206D41" w:rsidRDefault="00D727AD" w:rsidP="007F5098">
            <w:pPr>
              <w:rPr>
                <w:b/>
                <w:bCs/>
                <w:iCs/>
              </w:rPr>
            </w:pPr>
            <w:r>
              <w:rPr>
                <w:b/>
                <w:bCs/>
                <w:iCs/>
              </w:rPr>
              <w:t>RISK TYPE</w:t>
            </w:r>
          </w:p>
        </w:tc>
        <w:tc>
          <w:tcPr>
            <w:tcW w:w="7204" w:type="dxa"/>
            <w:shd w:val="clear" w:color="auto" w:fill="auto"/>
          </w:tcPr>
          <w:p w14:paraId="58289F5B" w14:textId="77777777" w:rsidR="002450B1" w:rsidRPr="00206D41" w:rsidRDefault="00CF009C" w:rsidP="007F5098">
            <w:pPr>
              <w:spacing w:after="0" w:line="240" w:lineRule="auto"/>
              <w:rPr>
                <w:bCs/>
                <w:iCs/>
              </w:rPr>
            </w:pPr>
            <w:r>
              <w:rPr>
                <w:bCs/>
                <w:iCs/>
              </w:rPr>
              <w:t>Operational Risk</w:t>
            </w:r>
          </w:p>
        </w:tc>
      </w:tr>
      <w:tr w:rsidR="0084494E" w:rsidRPr="00206D41" w14:paraId="67E5B8EF" w14:textId="77777777" w:rsidTr="00FC6780">
        <w:trPr>
          <w:trHeight w:val="690"/>
        </w:trPr>
        <w:tc>
          <w:tcPr>
            <w:tcW w:w="1994" w:type="dxa"/>
            <w:shd w:val="clear" w:color="auto" w:fill="auto"/>
          </w:tcPr>
          <w:p w14:paraId="3BEAE4C8" w14:textId="77777777" w:rsidR="0084494E" w:rsidRDefault="0084494E" w:rsidP="007F5098">
            <w:pPr>
              <w:rPr>
                <w:b/>
                <w:bCs/>
                <w:iCs/>
              </w:rPr>
            </w:pPr>
            <w:r>
              <w:rPr>
                <w:b/>
                <w:bCs/>
                <w:iCs/>
              </w:rPr>
              <w:t>RATIONALE</w:t>
            </w:r>
          </w:p>
        </w:tc>
        <w:tc>
          <w:tcPr>
            <w:tcW w:w="7204" w:type="dxa"/>
            <w:shd w:val="clear" w:color="auto" w:fill="auto"/>
          </w:tcPr>
          <w:p w14:paraId="3D57AF1D" w14:textId="77777777" w:rsidR="0084494E" w:rsidRDefault="00B13255" w:rsidP="00BB3BB6">
            <w:pPr>
              <w:spacing w:after="0" w:line="240" w:lineRule="auto"/>
              <w:rPr>
                <w:bCs/>
                <w:iCs/>
              </w:rPr>
            </w:pPr>
            <w:r>
              <w:rPr>
                <w:bCs/>
                <w:iCs/>
              </w:rPr>
              <w:t>M</w:t>
            </w:r>
            <w:r w:rsidRPr="00B13255">
              <w:rPr>
                <w:bCs/>
                <w:iCs/>
              </w:rPr>
              <w:t>ay be indicator</w:t>
            </w:r>
            <w:r w:rsidR="00A55433">
              <w:rPr>
                <w:bCs/>
                <w:iCs/>
              </w:rPr>
              <w:t>s</w:t>
            </w:r>
            <w:r w:rsidRPr="00B13255">
              <w:rPr>
                <w:bCs/>
                <w:iCs/>
              </w:rPr>
              <w:t xml:space="preserve"> of a weakening control environment or increased risk profile</w:t>
            </w:r>
          </w:p>
        </w:tc>
      </w:tr>
      <w:tr w:rsidR="00AD2CAD" w:rsidRPr="00206D41" w14:paraId="6A8114E3" w14:textId="77777777" w:rsidTr="006B6E1C">
        <w:trPr>
          <w:trHeight w:val="270"/>
        </w:trPr>
        <w:tc>
          <w:tcPr>
            <w:tcW w:w="1994" w:type="dxa"/>
            <w:shd w:val="clear" w:color="auto" w:fill="auto"/>
          </w:tcPr>
          <w:p w14:paraId="72F49B03" w14:textId="77777777" w:rsidR="00AD2CAD" w:rsidRPr="00206D41" w:rsidRDefault="00AD2CAD" w:rsidP="00D727AD">
            <w:pPr>
              <w:rPr>
                <w:b/>
                <w:bCs/>
                <w:iCs/>
              </w:rPr>
            </w:pPr>
            <w:r>
              <w:rPr>
                <w:b/>
                <w:bCs/>
                <w:iCs/>
              </w:rPr>
              <w:t>ENTITY</w:t>
            </w:r>
          </w:p>
        </w:tc>
        <w:tc>
          <w:tcPr>
            <w:tcW w:w="7204" w:type="dxa"/>
            <w:shd w:val="clear" w:color="auto" w:fill="auto"/>
          </w:tcPr>
          <w:p w14:paraId="2CEBBB66" w14:textId="77777777" w:rsidR="00AD2CAD" w:rsidRPr="00CF009C" w:rsidRDefault="00AD2CAD" w:rsidP="007603E9">
            <w:pPr>
              <w:spacing w:after="0" w:line="240" w:lineRule="auto"/>
              <w:rPr>
                <w:b/>
                <w:bCs/>
                <w:iCs/>
              </w:rPr>
            </w:pPr>
            <w:r w:rsidRPr="00CF009C">
              <w:rPr>
                <w:b/>
                <w:bCs/>
                <w:iCs/>
              </w:rPr>
              <w:t>SHUSA</w:t>
            </w:r>
          </w:p>
        </w:tc>
      </w:tr>
      <w:tr w:rsidR="00AD2CAD" w:rsidRPr="00206D41" w14:paraId="777B2DFD" w14:textId="77777777" w:rsidTr="006B6E1C">
        <w:trPr>
          <w:trHeight w:val="270"/>
        </w:trPr>
        <w:tc>
          <w:tcPr>
            <w:tcW w:w="1994" w:type="dxa"/>
            <w:shd w:val="clear" w:color="auto" w:fill="auto"/>
          </w:tcPr>
          <w:p w14:paraId="322B9449" w14:textId="32D39C77" w:rsidR="00AD2CAD" w:rsidRPr="00206D41" w:rsidRDefault="00511F11" w:rsidP="002734F4">
            <w:pPr>
              <w:rPr>
                <w:b/>
                <w:bCs/>
                <w:iCs/>
              </w:rPr>
            </w:pPr>
            <w:r>
              <w:rPr>
                <w:rFonts w:asciiTheme="minorHAnsi" w:hAnsiTheme="minorHAnsi"/>
                <w:b/>
                <w:bCs/>
                <w:iCs/>
              </w:rPr>
              <w:t>METRIC PROVIDER</w:t>
            </w:r>
          </w:p>
        </w:tc>
        <w:tc>
          <w:tcPr>
            <w:tcW w:w="7204" w:type="dxa"/>
            <w:shd w:val="clear" w:color="auto" w:fill="auto"/>
          </w:tcPr>
          <w:p w14:paraId="4CE49028" w14:textId="0F94993E" w:rsidR="00AD2CAD" w:rsidRPr="00CF009C" w:rsidRDefault="00564499" w:rsidP="002734F4">
            <w:pPr>
              <w:spacing w:after="0" w:line="240" w:lineRule="auto"/>
              <w:rPr>
                <w:b/>
                <w:bCs/>
                <w:iCs/>
              </w:rPr>
            </w:pPr>
            <w:r w:rsidRPr="00564499">
              <w:rPr>
                <w:b/>
                <w:bCs/>
                <w:iCs/>
              </w:rPr>
              <w:t>SHUSA Director of Operational Risk</w:t>
            </w:r>
          </w:p>
        </w:tc>
      </w:tr>
      <w:tr w:rsidR="00A55433" w:rsidRPr="00206D41" w14:paraId="48F02032" w14:textId="77777777" w:rsidTr="00A55433">
        <w:trPr>
          <w:trHeight w:val="360"/>
        </w:trPr>
        <w:tc>
          <w:tcPr>
            <w:tcW w:w="1994" w:type="dxa"/>
            <w:shd w:val="clear" w:color="auto" w:fill="auto"/>
          </w:tcPr>
          <w:p w14:paraId="3BE3FFD3" w14:textId="77777777" w:rsidR="00A55433" w:rsidRDefault="00A55433">
            <w:pPr>
              <w:rPr>
                <w:b/>
                <w:bCs/>
                <w:iCs/>
              </w:rPr>
            </w:pPr>
            <w:r>
              <w:rPr>
                <w:b/>
                <w:bCs/>
                <w:iCs/>
              </w:rPr>
              <w:t>TRIGGER AND LIMIT SETTING</w:t>
            </w:r>
          </w:p>
        </w:tc>
        <w:tc>
          <w:tcPr>
            <w:tcW w:w="7204" w:type="dxa"/>
            <w:shd w:val="clear" w:color="auto" w:fill="auto"/>
          </w:tcPr>
          <w:p w14:paraId="39D92975" w14:textId="77777777" w:rsidR="00564499" w:rsidRDefault="00564499" w:rsidP="00564499">
            <w:pPr>
              <w:spacing w:after="0" w:line="240" w:lineRule="auto"/>
              <w:rPr>
                <w:bCs/>
                <w:iCs/>
              </w:rPr>
            </w:pPr>
            <w:r w:rsidRPr="001736B6">
              <w:rPr>
                <w:bCs/>
                <w:iCs/>
              </w:rPr>
              <w:t xml:space="preserve">The following calibration methodology is applied to </w:t>
            </w:r>
            <w:r>
              <w:rPr>
                <w:bCs/>
                <w:iCs/>
              </w:rPr>
              <w:t>SHUSA</w:t>
            </w:r>
            <w:r w:rsidRPr="001736B6">
              <w:rPr>
                <w:bCs/>
                <w:iCs/>
              </w:rPr>
              <w:t xml:space="preserve"> </w:t>
            </w:r>
            <w:r>
              <w:rPr>
                <w:bCs/>
                <w:iCs/>
              </w:rPr>
              <w:t>utilizing historical operational risk material event data</w:t>
            </w:r>
            <w:r w:rsidRPr="001736B6">
              <w:rPr>
                <w:bCs/>
                <w:iCs/>
              </w:rPr>
              <w:t xml:space="preserve"> on an annual basis to arrive at the amber trigger and red limits:</w:t>
            </w:r>
          </w:p>
          <w:p w14:paraId="5B183EBA" w14:textId="77777777" w:rsidR="00564499" w:rsidRDefault="00564499" w:rsidP="00564499">
            <w:pPr>
              <w:spacing w:after="0" w:line="240" w:lineRule="auto"/>
              <w:rPr>
                <w:bCs/>
                <w:iCs/>
              </w:rPr>
            </w:pPr>
          </w:p>
          <w:p w14:paraId="4C2B3B83" w14:textId="77777777" w:rsidR="00564499" w:rsidRPr="001736B6" w:rsidRDefault="00564499" w:rsidP="00564499">
            <w:pPr>
              <w:numPr>
                <w:ilvl w:val="0"/>
                <w:numId w:val="32"/>
              </w:numPr>
              <w:spacing w:after="0" w:line="240" w:lineRule="auto"/>
              <w:rPr>
                <w:bCs/>
                <w:iCs/>
                <w:lang w:val="en-GB"/>
              </w:rPr>
            </w:pPr>
            <w:r w:rsidRPr="001736B6">
              <w:rPr>
                <w:bCs/>
                <w:iCs/>
                <w:lang w:val="en-GB"/>
              </w:rPr>
              <w:t xml:space="preserve">Amber trigger: </w:t>
            </w:r>
            <w:r>
              <w:rPr>
                <w:bCs/>
                <w:iCs/>
                <w:lang w:val="en-GB"/>
              </w:rPr>
              <w:t>12 month trailing historical average of operational risk events that meet the impact thresholds (below) less ½ standard deviation</w:t>
            </w:r>
          </w:p>
          <w:p w14:paraId="3196F78B" w14:textId="77777777" w:rsidR="00564499" w:rsidRPr="001736B6" w:rsidRDefault="00564499" w:rsidP="00564499">
            <w:pPr>
              <w:numPr>
                <w:ilvl w:val="0"/>
                <w:numId w:val="32"/>
              </w:numPr>
              <w:spacing w:after="0" w:line="240" w:lineRule="auto"/>
              <w:rPr>
                <w:bCs/>
                <w:iCs/>
                <w:lang w:val="en-GB"/>
              </w:rPr>
            </w:pPr>
            <w:r w:rsidRPr="001736B6">
              <w:rPr>
                <w:bCs/>
                <w:iCs/>
                <w:lang w:val="en-GB"/>
              </w:rPr>
              <w:t>Red limit:</w:t>
            </w:r>
            <w:r>
              <w:rPr>
                <w:bCs/>
                <w:iCs/>
                <w:lang w:val="en-GB"/>
              </w:rPr>
              <w:t xml:space="preserve"> 12 month trailing historical average of operational risk events that meet the impact thresholds (below)</w:t>
            </w:r>
          </w:p>
          <w:p w14:paraId="07A35901" w14:textId="77777777" w:rsidR="00564499" w:rsidRDefault="00564499" w:rsidP="00564499">
            <w:pPr>
              <w:spacing w:after="0" w:line="240" w:lineRule="auto"/>
              <w:rPr>
                <w:bCs/>
                <w:iCs/>
              </w:rPr>
            </w:pPr>
          </w:p>
          <w:p w14:paraId="209A361C" w14:textId="77777777" w:rsidR="00564499" w:rsidRDefault="00564499" w:rsidP="00564499">
            <w:pPr>
              <w:spacing w:after="0" w:line="240" w:lineRule="auto"/>
              <w:rPr>
                <w:rFonts w:asciiTheme="minorHAnsi" w:eastAsiaTheme="minorHAnsi" w:hAnsiTheme="minorHAnsi" w:cstheme="minorBidi"/>
                <w:iCs/>
              </w:rPr>
            </w:pPr>
            <w:r>
              <w:rPr>
                <w:rFonts w:asciiTheme="minorHAnsi" w:eastAsiaTheme="minorHAnsi" w:hAnsiTheme="minorHAnsi" w:cstheme="minorBidi"/>
                <w:iCs/>
              </w:rPr>
              <w:t xml:space="preserve">Only the Economic/Financial OR impact type is accompanied by a limit. The other impact types use thresholds, which, in some cases, require the use of management judgment and subjectivity in order to determine whether a breach has occurred. The limit and threshold criteria for each impact type are as follows: </w:t>
            </w:r>
          </w:p>
          <w:p w14:paraId="571A933B" w14:textId="77777777" w:rsidR="00564499" w:rsidRDefault="00564499" w:rsidP="00564499">
            <w:pPr>
              <w:spacing w:after="0" w:line="240" w:lineRule="auto"/>
              <w:rPr>
                <w:rFonts w:asciiTheme="minorHAnsi" w:eastAsiaTheme="minorHAnsi" w:hAnsiTheme="minorHAnsi" w:cstheme="minorBidi"/>
                <w:iCs/>
              </w:rPr>
            </w:pPr>
          </w:p>
          <w:p w14:paraId="318F2E14" w14:textId="77777777" w:rsidR="00564499" w:rsidRPr="00FC6780" w:rsidRDefault="00564499" w:rsidP="00564499">
            <w:pPr>
              <w:pStyle w:val="ListParagraph"/>
              <w:numPr>
                <w:ilvl w:val="0"/>
                <w:numId w:val="66"/>
              </w:numPr>
              <w:spacing w:after="0" w:line="240" w:lineRule="auto"/>
              <w:rPr>
                <w:iCs/>
                <w:color w:val="000000" w:themeColor="text1"/>
              </w:rPr>
            </w:pPr>
            <w:r w:rsidRPr="00FC6780">
              <w:rPr>
                <w:iCs/>
                <w:color w:val="000000" w:themeColor="text1"/>
              </w:rPr>
              <w:t>Economic/Financial</w:t>
            </w:r>
          </w:p>
          <w:p w14:paraId="5CE78177" w14:textId="77777777" w:rsidR="00564499" w:rsidRPr="00FC6780" w:rsidRDefault="00564499" w:rsidP="00564499">
            <w:pPr>
              <w:pStyle w:val="ListParagraph"/>
              <w:numPr>
                <w:ilvl w:val="1"/>
                <w:numId w:val="66"/>
              </w:numPr>
              <w:spacing w:after="0" w:line="240" w:lineRule="auto"/>
              <w:rPr>
                <w:iCs/>
                <w:color w:val="000000" w:themeColor="text1"/>
              </w:rPr>
            </w:pPr>
            <w:r w:rsidRPr="00FC6780">
              <w:rPr>
                <w:iCs/>
                <w:color w:val="000000" w:themeColor="text1"/>
              </w:rPr>
              <w:t xml:space="preserve">Real or potential loss; </w:t>
            </w:r>
            <w:r w:rsidRPr="00FC6780">
              <w:rPr>
                <w:b/>
                <w:iCs/>
                <w:color w:val="000000" w:themeColor="text1"/>
              </w:rPr>
              <w:t>Limit: &gt;= $500K</w:t>
            </w:r>
          </w:p>
          <w:p w14:paraId="385EA805" w14:textId="77777777" w:rsidR="00564499" w:rsidRPr="00FC6780" w:rsidRDefault="00564499" w:rsidP="00564499">
            <w:pPr>
              <w:pStyle w:val="ListParagraph"/>
              <w:numPr>
                <w:ilvl w:val="1"/>
                <w:numId w:val="66"/>
              </w:numPr>
              <w:spacing w:after="0" w:line="240" w:lineRule="auto"/>
              <w:rPr>
                <w:iCs/>
                <w:color w:val="000000" w:themeColor="text1"/>
              </w:rPr>
            </w:pPr>
            <w:r w:rsidRPr="00FC6780">
              <w:rPr>
                <w:iCs/>
                <w:color w:val="000000" w:themeColor="text1"/>
              </w:rPr>
              <w:t xml:space="preserve">P&amp;L Impact; </w:t>
            </w:r>
            <w:r w:rsidRPr="00FC6780">
              <w:rPr>
                <w:b/>
                <w:iCs/>
                <w:color w:val="000000" w:themeColor="text1"/>
              </w:rPr>
              <w:t>Limit: &gt;= $500K</w:t>
            </w:r>
          </w:p>
          <w:p w14:paraId="22608FF9" w14:textId="77777777" w:rsidR="00564499" w:rsidRPr="00FC6780" w:rsidRDefault="00564499" w:rsidP="00564499">
            <w:pPr>
              <w:pStyle w:val="ListParagraph"/>
              <w:numPr>
                <w:ilvl w:val="1"/>
                <w:numId w:val="66"/>
              </w:numPr>
              <w:spacing w:after="0" w:line="240" w:lineRule="auto"/>
              <w:rPr>
                <w:iCs/>
                <w:color w:val="000000" w:themeColor="text1"/>
              </w:rPr>
            </w:pPr>
            <w:r w:rsidRPr="00FC6780">
              <w:rPr>
                <w:iCs/>
                <w:color w:val="000000" w:themeColor="text1"/>
              </w:rPr>
              <w:t>Incidents with the same root cause whose aggregate amount over the last 12 months exceeds $500K</w:t>
            </w:r>
          </w:p>
          <w:p w14:paraId="6D801A39" w14:textId="77777777" w:rsidR="00564499" w:rsidRPr="00FC6780" w:rsidRDefault="00564499" w:rsidP="00564499">
            <w:pPr>
              <w:pStyle w:val="ListParagraph"/>
              <w:numPr>
                <w:ilvl w:val="0"/>
                <w:numId w:val="66"/>
              </w:numPr>
              <w:spacing w:after="0" w:line="240" w:lineRule="auto"/>
              <w:rPr>
                <w:iCs/>
                <w:color w:val="000000" w:themeColor="text1"/>
              </w:rPr>
            </w:pPr>
            <w:r w:rsidRPr="00FC6780">
              <w:rPr>
                <w:iCs/>
                <w:color w:val="000000" w:themeColor="text1"/>
              </w:rPr>
              <w:t>Regulatory</w:t>
            </w:r>
          </w:p>
          <w:p w14:paraId="667AE395" w14:textId="77777777" w:rsidR="00564499" w:rsidRPr="00FC6780" w:rsidRDefault="00564499" w:rsidP="00564499">
            <w:pPr>
              <w:pStyle w:val="ListParagraph"/>
              <w:numPr>
                <w:ilvl w:val="1"/>
                <w:numId w:val="66"/>
              </w:numPr>
              <w:rPr>
                <w:iCs/>
                <w:color w:val="000000" w:themeColor="text1"/>
              </w:rPr>
            </w:pPr>
            <w:r w:rsidRPr="00FC6780">
              <w:rPr>
                <w:iCs/>
                <w:color w:val="000000" w:themeColor="text1"/>
              </w:rPr>
              <w:t>Severe regulatory attention including the potential for  investigation leading to enforcement actions such as Memorandum of Understanding, Consent Order, Cease and Desist</w:t>
            </w:r>
          </w:p>
          <w:p w14:paraId="1379B41B" w14:textId="77777777" w:rsidR="00564499" w:rsidRPr="00FC6780" w:rsidRDefault="00564499" w:rsidP="00564499">
            <w:pPr>
              <w:pStyle w:val="ListParagraph"/>
              <w:numPr>
                <w:ilvl w:val="1"/>
                <w:numId w:val="66"/>
              </w:numPr>
              <w:spacing w:after="0" w:line="240" w:lineRule="auto"/>
              <w:rPr>
                <w:iCs/>
                <w:color w:val="000000" w:themeColor="text1"/>
              </w:rPr>
            </w:pPr>
            <w:r w:rsidRPr="00FC6780">
              <w:rPr>
                <w:color w:val="000000" w:themeColor="text1"/>
              </w:rPr>
              <w:t>Potential cessation of major business, operation or strategic action</w:t>
            </w:r>
          </w:p>
          <w:p w14:paraId="3EFF35A4" w14:textId="77777777" w:rsidR="00564499" w:rsidRPr="00FC6780" w:rsidRDefault="00564499" w:rsidP="00564499">
            <w:pPr>
              <w:pStyle w:val="ListParagraph"/>
              <w:numPr>
                <w:ilvl w:val="0"/>
                <w:numId w:val="66"/>
              </w:numPr>
              <w:spacing w:after="0" w:line="240" w:lineRule="auto"/>
              <w:rPr>
                <w:iCs/>
                <w:color w:val="000000" w:themeColor="text1"/>
              </w:rPr>
            </w:pPr>
            <w:r w:rsidRPr="00FC6780">
              <w:rPr>
                <w:color w:val="000000" w:themeColor="text1"/>
              </w:rPr>
              <w:t>Reputational and Media Impact</w:t>
            </w:r>
          </w:p>
          <w:p w14:paraId="5FB9B981" w14:textId="035ADD50" w:rsidR="00564499" w:rsidRPr="00FC6780" w:rsidRDefault="00564499" w:rsidP="00564499">
            <w:pPr>
              <w:pStyle w:val="ListParagraph"/>
              <w:spacing w:after="0" w:line="240" w:lineRule="auto"/>
              <w:ind w:left="1440"/>
              <w:rPr>
                <w:rFonts w:eastAsia="Times New Roman"/>
                <w:color w:val="000000" w:themeColor="text1"/>
              </w:rPr>
            </w:pPr>
            <w:r w:rsidRPr="00FC6780">
              <w:rPr>
                <w:rFonts w:eastAsia="Times New Roman"/>
                <w:color w:val="000000" w:themeColor="text1"/>
              </w:rPr>
              <w:t>Event results in negative or unfavourable regional, national or international media coverage</w:t>
            </w:r>
          </w:p>
          <w:p w14:paraId="730E7D66" w14:textId="77777777" w:rsidR="00564499" w:rsidRPr="00FC6780" w:rsidRDefault="00564499" w:rsidP="00564499">
            <w:pPr>
              <w:pStyle w:val="ListParagraph"/>
              <w:numPr>
                <w:ilvl w:val="0"/>
                <w:numId w:val="66"/>
              </w:numPr>
              <w:spacing w:after="0" w:line="240" w:lineRule="auto"/>
              <w:rPr>
                <w:iCs/>
                <w:color w:val="000000" w:themeColor="text1"/>
              </w:rPr>
            </w:pPr>
            <w:r w:rsidRPr="00FC6780">
              <w:rPr>
                <w:iCs/>
                <w:color w:val="000000" w:themeColor="text1"/>
              </w:rPr>
              <w:t>Client and Service</w:t>
            </w:r>
          </w:p>
          <w:p w14:paraId="0DEDB5B5" w14:textId="77777777" w:rsidR="00564499" w:rsidRPr="00FC6780" w:rsidRDefault="00564499" w:rsidP="00564499">
            <w:pPr>
              <w:numPr>
                <w:ilvl w:val="1"/>
                <w:numId w:val="66"/>
              </w:numPr>
              <w:spacing w:after="0" w:line="240" w:lineRule="auto"/>
              <w:rPr>
                <w:rFonts w:eastAsia="Times New Roman"/>
                <w:color w:val="000000" w:themeColor="text1"/>
                <w:lang w:val="en-GB"/>
              </w:rPr>
            </w:pPr>
            <w:r w:rsidRPr="00FC6780">
              <w:rPr>
                <w:rFonts w:eastAsia="Times New Roman"/>
                <w:color w:val="000000" w:themeColor="text1"/>
                <w:lang w:val="en-GB"/>
              </w:rPr>
              <w:t>Technological incidents classified as P0, P1 or P2</w:t>
            </w:r>
          </w:p>
          <w:p w14:paraId="736099C6" w14:textId="77777777" w:rsidR="00564499" w:rsidRPr="00FC6780" w:rsidRDefault="00564499" w:rsidP="00564499">
            <w:pPr>
              <w:numPr>
                <w:ilvl w:val="1"/>
                <w:numId w:val="66"/>
              </w:numPr>
              <w:spacing w:after="0" w:line="240" w:lineRule="auto"/>
              <w:rPr>
                <w:rFonts w:eastAsiaTheme="minorHAnsi"/>
                <w:color w:val="000000" w:themeColor="text1"/>
                <w:lang w:val="en-GB"/>
              </w:rPr>
            </w:pPr>
            <w:r w:rsidRPr="00FC6780">
              <w:rPr>
                <w:rFonts w:eastAsia="Times New Roman"/>
                <w:color w:val="000000" w:themeColor="text1"/>
                <w:lang w:val="en-GB"/>
              </w:rPr>
              <w:t>Affecting more than 1% of the clients, or 5,000 in absolute value, and impacted detrimentally</w:t>
            </w:r>
          </w:p>
          <w:p w14:paraId="5BF82389" w14:textId="77777777" w:rsidR="00564499" w:rsidRPr="00FC6780" w:rsidRDefault="00564499" w:rsidP="00564499">
            <w:pPr>
              <w:numPr>
                <w:ilvl w:val="1"/>
                <w:numId w:val="66"/>
              </w:numPr>
              <w:spacing w:after="0" w:line="240" w:lineRule="auto"/>
              <w:rPr>
                <w:rFonts w:eastAsia="Times New Roman"/>
                <w:color w:val="000000" w:themeColor="text1"/>
                <w:lang w:val="en-GB"/>
              </w:rPr>
            </w:pPr>
            <w:r w:rsidRPr="00FC6780">
              <w:rPr>
                <w:rFonts w:eastAsia="Times New Roman"/>
                <w:color w:val="000000" w:themeColor="text1"/>
                <w:lang w:val="en-GB"/>
              </w:rPr>
              <w:t>Affecting 10 or more strategic, commercial or institutional clients</w:t>
            </w:r>
          </w:p>
          <w:p w14:paraId="59781A1B" w14:textId="77777777" w:rsidR="00564499" w:rsidRPr="00FC6780" w:rsidRDefault="00564499" w:rsidP="00564499">
            <w:pPr>
              <w:numPr>
                <w:ilvl w:val="0"/>
                <w:numId w:val="66"/>
              </w:numPr>
              <w:spacing w:after="0" w:line="240" w:lineRule="auto"/>
              <w:rPr>
                <w:rFonts w:eastAsia="Times New Roman"/>
                <w:color w:val="000000" w:themeColor="text1"/>
                <w:lang w:val="en-GB"/>
              </w:rPr>
            </w:pPr>
            <w:r w:rsidRPr="00FC6780">
              <w:rPr>
                <w:rFonts w:eastAsia="Times New Roman"/>
                <w:color w:val="000000" w:themeColor="text1"/>
                <w:lang w:val="en-GB"/>
              </w:rPr>
              <w:t>Other</w:t>
            </w:r>
          </w:p>
          <w:p w14:paraId="28EDE17C" w14:textId="368382C6" w:rsidR="00A55433" w:rsidRPr="00564499" w:rsidRDefault="00564499" w:rsidP="00564499">
            <w:pPr>
              <w:spacing w:after="0" w:line="240" w:lineRule="auto"/>
              <w:ind w:left="1440"/>
              <w:rPr>
                <w:rFonts w:eastAsia="Times New Roman"/>
                <w:color w:val="000000" w:themeColor="text1"/>
              </w:rPr>
            </w:pPr>
            <w:r w:rsidRPr="00FC6780">
              <w:rPr>
                <w:rFonts w:eastAsia="Times New Roman"/>
                <w:color w:val="000000" w:themeColor="text1"/>
              </w:rPr>
              <w:t xml:space="preserve">Loss of or exposure to confidential or restricted information </w:t>
            </w:r>
          </w:p>
        </w:tc>
      </w:tr>
      <w:tr w:rsidR="002734F4" w:rsidRPr="00206D41" w14:paraId="022733C5" w14:textId="77777777" w:rsidTr="00FC6780">
        <w:trPr>
          <w:trHeight w:val="360"/>
        </w:trPr>
        <w:tc>
          <w:tcPr>
            <w:tcW w:w="1994" w:type="dxa"/>
            <w:shd w:val="clear" w:color="auto" w:fill="auto"/>
          </w:tcPr>
          <w:p w14:paraId="3F100950" w14:textId="77777777" w:rsidR="002734F4" w:rsidRPr="00206D41" w:rsidRDefault="002734F4" w:rsidP="00FC6780">
            <w:pPr>
              <w:rPr>
                <w:b/>
                <w:bCs/>
                <w:iCs/>
              </w:rPr>
            </w:pPr>
            <w:r>
              <w:rPr>
                <w:b/>
                <w:bCs/>
                <w:iCs/>
              </w:rPr>
              <w:t>TESTING FREQUENCY</w:t>
            </w:r>
          </w:p>
        </w:tc>
        <w:tc>
          <w:tcPr>
            <w:tcW w:w="7204" w:type="dxa"/>
            <w:shd w:val="clear" w:color="auto" w:fill="auto"/>
          </w:tcPr>
          <w:p w14:paraId="00BDD9B8" w14:textId="77777777" w:rsidR="003B2939" w:rsidRDefault="003B2939" w:rsidP="003B2939">
            <w:pPr>
              <w:spacing w:after="0" w:line="240" w:lineRule="auto"/>
              <w:rPr>
                <w:rFonts w:asciiTheme="minorHAnsi" w:eastAsiaTheme="minorHAnsi" w:hAnsiTheme="minorHAnsi" w:cstheme="minorBidi"/>
                <w:iCs/>
              </w:rPr>
            </w:pPr>
            <w:r>
              <w:rPr>
                <w:rFonts w:asciiTheme="minorHAnsi" w:eastAsiaTheme="minorHAnsi" w:hAnsiTheme="minorHAnsi" w:cstheme="minorBidi"/>
                <w:iCs/>
              </w:rPr>
              <w:t>Quarterly.</w:t>
            </w:r>
          </w:p>
          <w:p w14:paraId="1F39A978" w14:textId="1948E01E" w:rsidR="002734F4" w:rsidRPr="00F41CA8" w:rsidRDefault="003B2939" w:rsidP="003B2939">
            <w:pPr>
              <w:spacing w:after="0" w:line="240" w:lineRule="auto"/>
              <w:rPr>
                <w:rFonts w:asciiTheme="minorHAnsi" w:eastAsiaTheme="minorHAnsi" w:hAnsiTheme="minorHAnsi" w:cstheme="minorBidi"/>
                <w:iCs/>
              </w:rPr>
            </w:pPr>
            <w:r>
              <w:rPr>
                <w:rFonts w:asciiTheme="minorHAnsi" w:eastAsiaTheme="minorHAnsi" w:hAnsiTheme="minorHAnsi" w:cstheme="minorBidi"/>
                <w:iCs/>
              </w:rPr>
              <w:t>No calculation necessary. Data extraction from SAN US Operational Risk Event Repository of</w:t>
            </w:r>
            <w:r w:rsidRPr="00CF009C">
              <w:rPr>
                <w:rFonts w:asciiTheme="minorHAnsi" w:eastAsiaTheme="minorHAnsi" w:hAnsiTheme="minorHAnsi" w:cstheme="minorBidi"/>
                <w:iCs/>
              </w:rPr>
              <w:t xml:space="preserve"> </w:t>
            </w:r>
            <w:r>
              <w:rPr>
                <w:rFonts w:asciiTheme="minorHAnsi" w:eastAsiaTheme="minorHAnsi" w:hAnsiTheme="minorHAnsi" w:cstheme="minorBidi"/>
                <w:iCs/>
              </w:rPr>
              <w:t>o</w:t>
            </w:r>
            <w:r w:rsidRPr="00CF009C">
              <w:rPr>
                <w:rFonts w:asciiTheme="minorHAnsi" w:eastAsiaTheme="minorHAnsi" w:hAnsiTheme="minorHAnsi" w:cstheme="minorBidi"/>
                <w:iCs/>
              </w:rPr>
              <w:t xml:space="preserve">perational </w:t>
            </w:r>
            <w:r>
              <w:rPr>
                <w:rFonts w:asciiTheme="minorHAnsi" w:eastAsiaTheme="minorHAnsi" w:hAnsiTheme="minorHAnsi" w:cstheme="minorBidi"/>
                <w:iCs/>
              </w:rPr>
              <w:t>r</w:t>
            </w:r>
            <w:r w:rsidRPr="00CF009C">
              <w:rPr>
                <w:rFonts w:asciiTheme="minorHAnsi" w:eastAsiaTheme="minorHAnsi" w:hAnsiTheme="minorHAnsi" w:cstheme="minorBidi"/>
                <w:iCs/>
              </w:rPr>
              <w:t xml:space="preserve">isk </w:t>
            </w:r>
            <w:r>
              <w:rPr>
                <w:rFonts w:asciiTheme="minorHAnsi" w:eastAsiaTheme="minorHAnsi" w:hAnsiTheme="minorHAnsi" w:cstheme="minorBidi"/>
                <w:iCs/>
              </w:rPr>
              <w:t>e</w:t>
            </w:r>
            <w:r w:rsidRPr="00CF009C">
              <w:rPr>
                <w:rFonts w:asciiTheme="minorHAnsi" w:eastAsiaTheme="minorHAnsi" w:hAnsiTheme="minorHAnsi" w:cstheme="minorBidi"/>
                <w:iCs/>
              </w:rPr>
              <w:t xml:space="preserve">vents with </w:t>
            </w:r>
            <w:r>
              <w:rPr>
                <w:rFonts w:asciiTheme="minorHAnsi" w:eastAsiaTheme="minorHAnsi" w:hAnsiTheme="minorHAnsi" w:cstheme="minorBidi"/>
                <w:iCs/>
              </w:rPr>
              <w:t>impacts as defined above.</w:t>
            </w:r>
          </w:p>
        </w:tc>
      </w:tr>
      <w:tr w:rsidR="002734F4" w:rsidRPr="00206D41" w14:paraId="7B1F61A2" w14:textId="77777777" w:rsidTr="00FC6780">
        <w:trPr>
          <w:trHeight w:val="525"/>
        </w:trPr>
        <w:tc>
          <w:tcPr>
            <w:tcW w:w="1994" w:type="dxa"/>
            <w:shd w:val="clear" w:color="auto" w:fill="auto"/>
          </w:tcPr>
          <w:p w14:paraId="34F9B182" w14:textId="77777777" w:rsidR="002734F4" w:rsidRPr="00206D41" w:rsidRDefault="002734F4" w:rsidP="002734F4">
            <w:pPr>
              <w:rPr>
                <w:b/>
                <w:bCs/>
                <w:iCs/>
              </w:rPr>
            </w:pPr>
            <w:r w:rsidRPr="00206D41">
              <w:rPr>
                <w:b/>
                <w:bCs/>
                <w:iCs/>
              </w:rPr>
              <w:t>SOURCE OF INFORMATION</w:t>
            </w:r>
          </w:p>
        </w:tc>
        <w:tc>
          <w:tcPr>
            <w:tcW w:w="7204" w:type="dxa"/>
            <w:shd w:val="clear" w:color="auto" w:fill="auto"/>
          </w:tcPr>
          <w:p w14:paraId="3AE7948A" w14:textId="77777777" w:rsidR="003B2939" w:rsidRPr="004B12A4" w:rsidRDefault="003B2939" w:rsidP="003B2939">
            <w:pPr>
              <w:numPr>
                <w:ilvl w:val="0"/>
                <w:numId w:val="37"/>
              </w:numPr>
              <w:spacing w:after="0" w:line="240" w:lineRule="auto"/>
              <w:ind w:left="252" w:hanging="252"/>
              <w:contextualSpacing/>
              <w:rPr>
                <w:rFonts w:eastAsiaTheme="minorHAnsi" w:cstheme="minorBidi"/>
                <w:bCs/>
                <w:iCs/>
                <w:szCs w:val="24"/>
                <w:lang w:val="en-GB"/>
              </w:rPr>
            </w:pPr>
            <w:r w:rsidRPr="004B12A4">
              <w:rPr>
                <w:rFonts w:eastAsiaTheme="minorHAnsi" w:cstheme="minorBidi"/>
                <w:bCs/>
                <w:iCs/>
                <w:szCs w:val="24"/>
                <w:lang w:val="en-GB"/>
              </w:rPr>
              <w:t xml:space="preserve">Data provided by : </w:t>
            </w:r>
            <w:r>
              <w:rPr>
                <w:rFonts w:eastAsiaTheme="minorHAnsi" w:cstheme="minorBidi"/>
                <w:bCs/>
                <w:iCs/>
                <w:szCs w:val="24"/>
                <w:lang w:val="en-GB"/>
              </w:rPr>
              <w:t>SHUSA Operational Risk Management</w:t>
            </w:r>
          </w:p>
          <w:p w14:paraId="613A386A" w14:textId="77777777" w:rsidR="003B2939" w:rsidRPr="004B12A4" w:rsidRDefault="003B2939" w:rsidP="003B2939">
            <w:pPr>
              <w:numPr>
                <w:ilvl w:val="0"/>
                <w:numId w:val="38"/>
              </w:numPr>
              <w:spacing w:after="0" w:line="240" w:lineRule="auto"/>
              <w:contextualSpacing/>
              <w:rPr>
                <w:rFonts w:eastAsiaTheme="minorHAnsi" w:cstheme="minorBidi"/>
                <w:bCs/>
                <w:iCs/>
                <w:szCs w:val="24"/>
                <w:lang w:val="en-GB"/>
              </w:rPr>
            </w:pPr>
            <w:r w:rsidRPr="004B12A4">
              <w:rPr>
                <w:rFonts w:eastAsiaTheme="minorHAnsi" w:cstheme="minorBidi"/>
                <w:bCs/>
                <w:iCs/>
                <w:szCs w:val="24"/>
                <w:lang w:val="en-GB"/>
              </w:rPr>
              <w:t xml:space="preserve">Source System : </w:t>
            </w:r>
            <w:r>
              <w:rPr>
                <w:rFonts w:eastAsiaTheme="minorHAnsi" w:cstheme="minorBidi"/>
                <w:bCs/>
                <w:iCs/>
                <w:szCs w:val="24"/>
                <w:lang w:val="en-GB"/>
              </w:rPr>
              <w:t>SAN US Operational Risk Event Repository</w:t>
            </w:r>
          </w:p>
          <w:p w14:paraId="3B1A4D97" w14:textId="27AEF2E7" w:rsidR="002734F4" w:rsidRPr="003B2939" w:rsidRDefault="003B2939" w:rsidP="003B2939">
            <w:pPr>
              <w:pStyle w:val="ListParagraph"/>
              <w:numPr>
                <w:ilvl w:val="0"/>
                <w:numId w:val="41"/>
              </w:numPr>
              <w:tabs>
                <w:tab w:val="left" w:pos="1152"/>
              </w:tabs>
              <w:spacing w:after="0" w:line="240" w:lineRule="auto"/>
              <w:ind w:hanging="18"/>
              <w:rPr>
                <w:bCs/>
                <w:iCs/>
                <w:color w:val="FF0000"/>
              </w:rPr>
            </w:pPr>
            <w:r w:rsidRPr="008E2152">
              <w:rPr>
                <w:rFonts w:ascii="Calibri" w:hAnsi="Calibri"/>
                <w:bCs/>
                <w:iCs/>
              </w:rPr>
              <w:t xml:space="preserve">Data Provided : </w:t>
            </w:r>
            <w:r>
              <w:rPr>
                <w:rFonts w:ascii="Calibri" w:hAnsi="Calibri"/>
                <w:bCs/>
                <w:iCs/>
              </w:rPr>
              <w:t>Absolute number of escalated operational risk events that meet the material event impact thresholds within the period</w:t>
            </w:r>
          </w:p>
        </w:tc>
      </w:tr>
    </w:tbl>
    <w:p w14:paraId="7DF18480" w14:textId="77777777" w:rsidR="00AD2CAD" w:rsidRDefault="00AD2CAD" w:rsidP="00AD2CAD">
      <w:pPr>
        <w:pStyle w:val="SANUS1"/>
      </w:pPr>
      <w:bookmarkStart w:id="1259" w:name="_Toc452541752"/>
      <w:bookmarkStart w:id="1260" w:name="_Toc452543827"/>
      <w:bookmarkStart w:id="1261" w:name="_Toc452544398"/>
      <w:bookmarkStart w:id="1262" w:name="_Toc452544973"/>
      <w:bookmarkStart w:id="1263" w:name="_Toc452541753"/>
      <w:bookmarkStart w:id="1264" w:name="_Toc452543828"/>
      <w:bookmarkStart w:id="1265" w:name="_Toc452544399"/>
      <w:bookmarkStart w:id="1266" w:name="_Toc452544974"/>
      <w:bookmarkStart w:id="1267" w:name="_Toc452541754"/>
      <w:bookmarkStart w:id="1268" w:name="_Toc452543829"/>
      <w:bookmarkStart w:id="1269" w:name="_Toc452544400"/>
      <w:bookmarkStart w:id="1270" w:name="_Toc452544975"/>
      <w:bookmarkStart w:id="1271" w:name="_Toc452541755"/>
      <w:bookmarkStart w:id="1272" w:name="_Toc452543830"/>
      <w:bookmarkStart w:id="1273" w:name="_Toc452544401"/>
      <w:bookmarkStart w:id="1274" w:name="_Toc452544976"/>
      <w:bookmarkStart w:id="1275" w:name="_Toc452541756"/>
      <w:bookmarkStart w:id="1276" w:name="_Toc452543831"/>
      <w:bookmarkStart w:id="1277" w:name="_Toc452544402"/>
      <w:bookmarkStart w:id="1278" w:name="_Toc452544977"/>
      <w:bookmarkStart w:id="1279" w:name="_Toc452541757"/>
      <w:bookmarkStart w:id="1280" w:name="_Toc452543832"/>
      <w:bookmarkStart w:id="1281" w:name="_Toc452544403"/>
      <w:bookmarkStart w:id="1282" w:name="_Toc452544978"/>
      <w:bookmarkStart w:id="1283" w:name="_Toc452541758"/>
      <w:bookmarkStart w:id="1284" w:name="_Toc452543833"/>
      <w:bookmarkStart w:id="1285" w:name="_Toc452544404"/>
      <w:bookmarkStart w:id="1286" w:name="_Toc452544979"/>
      <w:bookmarkStart w:id="1287" w:name="_Toc452541759"/>
      <w:bookmarkStart w:id="1288" w:name="_Toc452543834"/>
      <w:bookmarkStart w:id="1289" w:name="_Toc452544405"/>
      <w:bookmarkStart w:id="1290" w:name="_Toc452544980"/>
      <w:bookmarkStart w:id="1291" w:name="_Toc439841792"/>
      <w:bookmarkStart w:id="1292" w:name="_Toc439841793"/>
      <w:bookmarkStart w:id="1293" w:name="_Toc439841794"/>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bookmarkEnd w:id="1287"/>
      <w:bookmarkEnd w:id="1288"/>
      <w:bookmarkEnd w:id="1289"/>
      <w:bookmarkEnd w:id="1290"/>
      <w:bookmarkEnd w:id="1291"/>
      <w:bookmarkEnd w:id="1292"/>
      <w:bookmarkEnd w:id="1293"/>
    </w:p>
    <w:p w14:paraId="1BDBB445" w14:textId="77777777" w:rsidR="00564499" w:rsidRDefault="00564499" w:rsidP="00AD2CAD">
      <w:pPr>
        <w:pStyle w:val="SANUS1"/>
      </w:pPr>
    </w:p>
    <w:p w14:paraId="569F706A" w14:textId="77777777" w:rsidR="00564499" w:rsidRDefault="00564499" w:rsidP="00AD2CAD">
      <w:pPr>
        <w:pStyle w:val="SANUS1"/>
      </w:pPr>
    </w:p>
    <w:p w14:paraId="3DA878EF" w14:textId="77777777" w:rsidR="00564499" w:rsidRDefault="00564499" w:rsidP="00AD2CAD">
      <w:pPr>
        <w:pStyle w:val="SANUS1"/>
      </w:pPr>
    </w:p>
    <w:p w14:paraId="03344E48" w14:textId="77777777" w:rsidR="00564499" w:rsidRDefault="00564499" w:rsidP="00AD2CAD">
      <w:pPr>
        <w:pStyle w:val="SANUS1"/>
      </w:pPr>
    </w:p>
    <w:p w14:paraId="08ABD163" w14:textId="77777777" w:rsidR="00564499" w:rsidRDefault="00564499" w:rsidP="00AD2CAD">
      <w:pPr>
        <w:pStyle w:val="SANUS1"/>
      </w:pPr>
    </w:p>
    <w:p w14:paraId="428C8368" w14:textId="77777777" w:rsidR="00564499" w:rsidRDefault="00564499" w:rsidP="00AD2CAD">
      <w:pPr>
        <w:pStyle w:val="SANUS1"/>
      </w:pPr>
    </w:p>
    <w:p w14:paraId="2399FF58" w14:textId="77777777" w:rsidR="00564499" w:rsidRDefault="00564499" w:rsidP="00AD2CAD">
      <w:pPr>
        <w:pStyle w:val="SANUS1"/>
      </w:pPr>
    </w:p>
    <w:p w14:paraId="65E5A3F7" w14:textId="77777777" w:rsidR="00564499" w:rsidRDefault="00564499" w:rsidP="00AD2CAD">
      <w:pPr>
        <w:pStyle w:val="SANUS1"/>
      </w:pPr>
    </w:p>
    <w:p w14:paraId="35D02222" w14:textId="77777777" w:rsidR="00564499" w:rsidRDefault="00564499" w:rsidP="00AD2CAD">
      <w:pPr>
        <w:pStyle w:val="SANUS1"/>
      </w:pPr>
    </w:p>
    <w:p w14:paraId="690EED27" w14:textId="77777777" w:rsidR="00AD2CAD" w:rsidRDefault="00AD2CAD" w:rsidP="00AD2CAD">
      <w:pPr>
        <w:pStyle w:val="SANUS1"/>
        <w:numPr>
          <w:ilvl w:val="0"/>
          <w:numId w:val="1"/>
        </w:numPr>
      </w:pPr>
      <w:bookmarkStart w:id="1294" w:name="_Toc453849311"/>
      <w:r>
        <w:t>Model risk metrics</w:t>
      </w:r>
      <w:bookmarkEnd w:id="1294"/>
    </w:p>
    <w:p w14:paraId="7CACEAD9" w14:textId="77777777" w:rsidR="00452843" w:rsidRPr="0028126A" w:rsidRDefault="001A5A3C" w:rsidP="00FC6780">
      <w:pPr>
        <w:pStyle w:val="SANUS2"/>
        <w:numPr>
          <w:ilvl w:val="1"/>
          <w:numId w:val="1"/>
        </w:numPr>
        <w:ind w:left="720" w:hanging="720"/>
      </w:pPr>
      <w:bookmarkStart w:id="1295" w:name="_Toc452544407"/>
      <w:bookmarkStart w:id="1296" w:name="_Toc453849312"/>
      <w:r>
        <w:t>Backlog of Tier 1 models not appropriately approved</w:t>
      </w:r>
      <w:bookmarkEnd w:id="1295"/>
      <w:bookmarkEnd w:id="1296"/>
    </w:p>
    <w:tbl>
      <w:tblPr>
        <w:tblpPr w:leftFromText="180" w:rightFromText="180" w:vertAnchor="text" w:tblpX="168" w:tblpY="1"/>
        <w:tblOverlap w:val="never"/>
        <w:tblW w:w="9198"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000" w:firstRow="0" w:lastRow="0" w:firstColumn="0" w:lastColumn="0" w:noHBand="0" w:noVBand="0"/>
      </w:tblPr>
      <w:tblGrid>
        <w:gridCol w:w="1728"/>
        <w:gridCol w:w="7470"/>
      </w:tblGrid>
      <w:tr w:rsidR="00452843" w:rsidRPr="00206D41" w14:paraId="2880C8B0" w14:textId="77777777" w:rsidTr="00CA2BDC">
        <w:trPr>
          <w:trHeight w:val="462"/>
        </w:trPr>
        <w:tc>
          <w:tcPr>
            <w:tcW w:w="1728" w:type="dxa"/>
            <w:shd w:val="clear" w:color="auto" w:fill="auto"/>
          </w:tcPr>
          <w:p w14:paraId="10BA8670" w14:textId="77777777" w:rsidR="00452843" w:rsidRPr="00206D41" w:rsidRDefault="00452843" w:rsidP="007E122B">
            <w:pPr>
              <w:rPr>
                <w:b/>
                <w:bCs/>
                <w:iCs/>
              </w:rPr>
            </w:pPr>
            <w:r w:rsidRPr="00206D41">
              <w:rPr>
                <w:b/>
                <w:bCs/>
                <w:iCs/>
              </w:rPr>
              <w:t>METRIC</w:t>
            </w:r>
          </w:p>
        </w:tc>
        <w:tc>
          <w:tcPr>
            <w:tcW w:w="7470" w:type="dxa"/>
            <w:shd w:val="clear" w:color="auto" w:fill="auto"/>
          </w:tcPr>
          <w:p w14:paraId="5EC4370D" w14:textId="77777777" w:rsidR="00452843" w:rsidRPr="00206D41" w:rsidRDefault="0028126A" w:rsidP="00CA2BDC">
            <w:pPr>
              <w:spacing w:after="0" w:line="240" w:lineRule="auto"/>
              <w:rPr>
                <w:bCs/>
                <w:iCs/>
              </w:rPr>
            </w:pPr>
            <w:r>
              <w:t>The n</w:t>
            </w:r>
            <w:r w:rsidR="00452843" w:rsidRPr="00540909">
              <w:rPr>
                <w:lang w:val="en-GB"/>
              </w:rPr>
              <w:t>umber of</w:t>
            </w:r>
            <w:r w:rsidR="00452843">
              <w:rPr>
                <w:lang w:val="en-GB"/>
              </w:rPr>
              <w:t xml:space="preserve"> legacy Tier 1 models used in production without appropriate approvals</w:t>
            </w:r>
            <w:r w:rsidR="003752FF">
              <w:rPr>
                <w:lang w:val="en-GB"/>
              </w:rPr>
              <w:t xml:space="preserve">. </w:t>
            </w:r>
          </w:p>
        </w:tc>
      </w:tr>
      <w:tr w:rsidR="00452843" w:rsidRPr="00206D41" w14:paraId="29C25475" w14:textId="77777777" w:rsidTr="00CA2BDC">
        <w:trPr>
          <w:trHeight w:val="462"/>
        </w:trPr>
        <w:tc>
          <w:tcPr>
            <w:tcW w:w="1728" w:type="dxa"/>
            <w:shd w:val="clear" w:color="auto" w:fill="auto"/>
          </w:tcPr>
          <w:p w14:paraId="6F9FCF0B" w14:textId="77777777" w:rsidR="00452843" w:rsidRPr="00206D41" w:rsidRDefault="00CF009C" w:rsidP="007E122B">
            <w:pPr>
              <w:rPr>
                <w:b/>
                <w:bCs/>
                <w:iCs/>
              </w:rPr>
            </w:pPr>
            <w:r>
              <w:rPr>
                <w:b/>
                <w:bCs/>
                <w:iCs/>
              </w:rPr>
              <w:t>RISK TYPE</w:t>
            </w:r>
          </w:p>
        </w:tc>
        <w:tc>
          <w:tcPr>
            <w:tcW w:w="7470" w:type="dxa"/>
            <w:shd w:val="clear" w:color="auto" w:fill="auto"/>
          </w:tcPr>
          <w:p w14:paraId="60D6C14B" w14:textId="77777777" w:rsidR="00452843" w:rsidRPr="00206D41" w:rsidRDefault="00DA4D26" w:rsidP="007E122B">
            <w:pPr>
              <w:spacing w:after="0" w:line="240" w:lineRule="auto"/>
              <w:rPr>
                <w:bCs/>
                <w:iCs/>
              </w:rPr>
            </w:pPr>
            <w:r>
              <w:rPr>
                <w:bCs/>
                <w:iCs/>
              </w:rPr>
              <w:t>Model Risk</w:t>
            </w:r>
          </w:p>
        </w:tc>
      </w:tr>
      <w:tr w:rsidR="0084494E" w:rsidRPr="00206D41" w14:paraId="6692C79F" w14:textId="77777777" w:rsidTr="00CA2BDC">
        <w:trPr>
          <w:trHeight w:val="462"/>
        </w:trPr>
        <w:tc>
          <w:tcPr>
            <w:tcW w:w="1728" w:type="dxa"/>
            <w:shd w:val="clear" w:color="auto" w:fill="auto"/>
          </w:tcPr>
          <w:p w14:paraId="1F2EC9CC" w14:textId="77777777" w:rsidR="0084494E" w:rsidRDefault="0084494E" w:rsidP="007E122B">
            <w:pPr>
              <w:rPr>
                <w:b/>
                <w:bCs/>
                <w:iCs/>
              </w:rPr>
            </w:pPr>
            <w:r>
              <w:rPr>
                <w:b/>
                <w:bCs/>
                <w:iCs/>
              </w:rPr>
              <w:t>RATIONALE</w:t>
            </w:r>
          </w:p>
        </w:tc>
        <w:tc>
          <w:tcPr>
            <w:tcW w:w="7470" w:type="dxa"/>
            <w:shd w:val="clear" w:color="auto" w:fill="auto"/>
          </w:tcPr>
          <w:p w14:paraId="610060E9" w14:textId="77777777" w:rsidR="0084494E" w:rsidRDefault="000964AC" w:rsidP="000964AC">
            <w:pPr>
              <w:spacing w:after="0" w:line="240" w:lineRule="auto"/>
              <w:rPr>
                <w:bCs/>
                <w:iCs/>
              </w:rPr>
            </w:pPr>
            <w:r>
              <w:rPr>
                <w:bCs/>
                <w:iCs/>
              </w:rPr>
              <w:t>Tracks</w:t>
            </w:r>
            <w:r w:rsidR="00B13255" w:rsidRPr="00B13255">
              <w:rPr>
                <w:bCs/>
                <w:iCs/>
              </w:rPr>
              <w:t xml:space="preserve"> progress against the schedule for clearing the large validation backlog</w:t>
            </w:r>
            <w:r>
              <w:rPr>
                <w:bCs/>
                <w:iCs/>
              </w:rPr>
              <w:t>; important given regulatory concerns about model risk management at SHUSA</w:t>
            </w:r>
          </w:p>
        </w:tc>
      </w:tr>
      <w:tr w:rsidR="00AD2CAD" w:rsidRPr="00206D41" w14:paraId="548E411E" w14:textId="77777777" w:rsidTr="006B6E1C">
        <w:trPr>
          <w:trHeight w:val="270"/>
        </w:trPr>
        <w:tc>
          <w:tcPr>
            <w:tcW w:w="1728" w:type="dxa"/>
            <w:shd w:val="clear" w:color="auto" w:fill="auto"/>
          </w:tcPr>
          <w:p w14:paraId="28011E11" w14:textId="77777777" w:rsidR="00AD2CAD" w:rsidRPr="00206D41" w:rsidRDefault="00AD2CAD" w:rsidP="007E122B">
            <w:pPr>
              <w:rPr>
                <w:b/>
                <w:bCs/>
                <w:iCs/>
              </w:rPr>
            </w:pPr>
            <w:r>
              <w:rPr>
                <w:b/>
                <w:bCs/>
                <w:iCs/>
              </w:rPr>
              <w:t xml:space="preserve">ENTITY </w:t>
            </w:r>
          </w:p>
        </w:tc>
        <w:tc>
          <w:tcPr>
            <w:tcW w:w="7470" w:type="dxa"/>
            <w:shd w:val="clear" w:color="auto" w:fill="auto"/>
          </w:tcPr>
          <w:p w14:paraId="4DEB3CF4" w14:textId="77777777" w:rsidR="00AD2CAD" w:rsidRPr="00CF009C" w:rsidRDefault="00AD2CAD" w:rsidP="007603E9">
            <w:pPr>
              <w:spacing w:after="0" w:line="240" w:lineRule="auto"/>
              <w:rPr>
                <w:b/>
                <w:bCs/>
                <w:iCs/>
              </w:rPr>
            </w:pPr>
            <w:r w:rsidRPr="00CF009C">
              <w:rPr>
                <w:b/>
                <w:bCs/>
                <w:iCs/>
              </w:rPr>
              <w:t>SHUSA</w:t>
            </w:r>
          </w:p>
        </w:tc>
      </w:tr>
      <w:tr w:rsidR="00AD2CAD" w:rsidRPr="00206D41" w14:paraId="02F69A4A" w14:textId="77777777" w:rsidTr="006B6E1C">
        <w:trPr>
          <w:trHeight w:val="270"/>
        </w:trPr>
        <w:tc>
          <w:tcPr>
            <w:tcW w:w="1728" w:type="dxa"/>
            <w:shd w:val="clear" w:color="auto" w:fill="auto"/>
          </w:tcPr>
          <w:p w14:paraId="22749C76" w14:textId="0924975A" w:rsidR="00AD2CAD" w:rsidRPr="00206D41" w:rsidRDefault="00511F11" w:rsidP="002734F4">
            <w:pPr>
              <w:rPr>
                <w:b/>
                <w:bCs/>
                <w:iCs/>
              </w:rPr>
            </w:pPr>
            <w:r>
              <w:rPr>
                <w:rFonts w:asciiTheme="minorHAnsi" w:hAnsiTheme="minorHAnsi"/>
                <w:b/>
                <w:bCs/>
                <w:iCs/>
              </w:rPr>
              <w:t>METRIC PROVIDER</w:t>
            </w:r>
          </w:p>
        </w:tc>
        <w:tc>
          <w:tcPr>
            <w:tcW w:w="7470" w:type="dxa"/>
            <w:shd w:val="clear" w:color="auto" w:fill="auto"/>
          </w:tcPr>
          <w:p w14:paraId="6EA31F59" w14:textId="693287F0" w:rsidR="00AD2CAD" w:rsidRPr="00CF009C" w:rsidRDefault="003B2939" w:rsidP="002734F4">
            <w:pPr>
              <w:spacing w:after="0" w:line="240" w:lineRule="auto"/>
              <w:rPr>
                <w:b/>
                <w:bCs/>
                <w:iCs/>
              </w:rPr>
            </w:pPr>
            <w:r w:rsidRPr="003B2939">
              <w:rPr>
                <w:b/>
                <w:bCs/>
                <w:iCs/>
              </w:rPr>
              <w:t>SHUSA Model Risk Management</w:t>
            </w:r>
          </w:p>
        </w:tc>
      </w:tr>
      <w:tr w:rsidR="002734F4" w:rsidRPr="00206D41" w14:paraId="439FD463" w14:textId="77777777" w:rsidTr="00CA2BDC">
        <w:trPr>
          <w:cantSplit/>
          <w:trHeight w:val="360"/>
        </w:trPr>
        <w:tc>
          <w:tcPr>
            <w:tcW w:w="1728" w:type="dxa"/>
            <w:shd w:val="clear" w:color="auto" w:fill="auto"/>
          </w:tcPr>
          <w:p w14:paraId="5A14F8BC" w14:textId="77777777" w:rsidR="002734F4" w:rsidRPr="00206D41" w:rsidRDefault="002734F4" w:rsidP="00FC6780">
            <w:pPr>
              <w:rPr>
                <w:b/>
                <w:bCs/>
                <w:iCs/>
              </w:rPr>
            </w:pPr>
            <w:r w:rsidRPr="00062285">
              <w:rPr>
                <w:b/>
                <w:bCs/>
                <w:iCs/>
              </w:rPr>
              <w:t>TRIGGER AND LIMIT SETTING</w:t>
            </w:r>
          </w:p>
        </w:tc>
        <w:tc>
          <w:tcPr>
            <w:tcW w:w="7470" w:type="dxa"/>
            <w:shd w:val="clear" w:color="auto" w:fill="auto"/>
          </w:tcPr>
          <w:p w14:paraId="719725B3" w14:textId="77777777" w:rsidR="002734F4" w:rsidRDefault="002734F4" w:rsidP="002734F4">
            <w:pPr>
              <w:spacing w:after="0" w:line="240" w:lineRule="auto"/>
              <w:rPr>
                <w:lang w:val="en-GB"/>
              </w:rPr>
            </w:pPr>
            <w:r>
              <w:rPr>
                <w:lang w:val="en-GB"/>
              </w:rPr>
              <w:t>The metric is set with 6 months targets for validation of models linked to agreed remediation plans.</w:t>
            </w:r>
          </w:p>
          <w:p w14:paraId="4E8E4953" w14:textId="77777777" w:rsidR="002734F4" w:rsidRDefault="002734F4" w:rsidP="002734F4">
            <w:pPr>
              <w:spacing w:after="0" w:line="240" w:lineRule="auto"/>
              <w:rPr>
                <w:rFonts w:asciiTheme="minorHAnsi" w:eastAsiaTheme="minorHAnsi" w:hAnsiTheme="minorHAnsi" w:cstheme="minorBidi"/>
                <w:iCs/>
              </w:rPr>
            </w:pPr>
            <w:r>
              <w:rPr>
                <w:lang w:val="en-GB"/>
              </w:rPr>
              <w:t>A breach of the metric occurs if the target is not reached within the allocated quarter.</w:t>
            </w:r>
          </w:p>
        </w:tc>
      </w:tr>
      <w:tr w:rsidR="002734F4" w:rsidRPr="00206D41" w14:paraId="2E1110A2" w14:textId="77777777" w:rsidTr="00CA2BDC">
        <w:trPr>
          <w:cantSplit/>
          <w:trHeight w:val="360"/>
        </w:trPr>
        <w:tc>
          <w:tcPr>
            <w:tcW w:w="1728" w:type="dxa"/>
            <w:shd w:val="clear" w:color="auto" w:fill="auto"/>
          </w:tcPr>
          <w:p w14:paraId="65A3AEA2" w14:textId="77777777" w:rsidR="002734F4" w:rsidRPr="00206D41" w:rsidRDefault="002734F4" w:rsidP="00FC6780">
            <w:pPr>
              <w:rPr>
                <w:b/>
                <w:bCs/>
                <w:iCs/>
              </w:rPr>
            </w:pPr>
            <w:r>
              <w:rPr>
                <w:b/>
                <w:bCs/>
                <w:iCs/>
              </w:rPr>
              <w:t>TESTING FREQUENCY</w:t>
            </w:r>
          </w:p>
        </w:tc>
        <w:tc>
          <w:tcPr>
            <w:tcW w:w="7470" w:type="dxa"/>
            <w:shd w:val="clear" w:color="auto" w:fill="auto"/>
          </w:tcPr>
          <w:p w14:paraId="536F606E" w14:textId="77777777" w:rsidR="002734F4" w:rsidRDefault="002734F4" w:rsidP="002734F4">
            <w:pPr>
              <w:spacing w:after="0" w:line="240" w:lineRule="auto"/>
              <w:rPr>
                <w:rFonts w:asciiTheme="minorHAnsi" w:eastAsiaTheme="minorHAnsi" w:hAnsiTheme="minorHAnsi" w:cstheme="minorBidi"/>
                <w:iCs/>
              </w:rPr>
            </w:pPr>
            <w:r>
              <w:rPr>
                <w:rFonts w:asciiTheme="minorHAnsi" w:eastAsiaTheme="minorHAnsi" w:hAnsiTheme="minorHAnsi" w:cstheme="minorBidi"/>
                <w:iCs/>
              </w:rPr>
              <w:t>Monthly</w:t>
            </w:r>
          </w:p>
          <w:p w14:paraId="72D34528" w14:textId="77777777" w:rsidR="002734F4" w:rsidRPr="00E2205B" w:rsidRDefault="002734F4" w:rsidP="002734F4">
            <w:pPr>
              <w:spacing w:after="0" w:line="240" w:lineRule="auto"/>
              <w:rPr>
                <w:rFonts w:asciiTheme="minorHAnsi" w:eastAsiaTheme="minorHAnsi" w:hAnsiTheme="minorHAnsi" w:cstheme="minorBidi"/>
                <w:iCs/>
              </w:rPr>
            </w:pPr>
            <w:r>
              <w:rPr>
                <w:rFonts w:asciiTheme="minorHAnsi" w:eastAsiaTheme="minorHAnsi" w:hAnsiTheme="minorHAnsi" w:cstheme="minorBidi"/>
                <w:iCs/>
              </w:rPr>
              <w:t>No calculation necessary – t</w:t>
            </w:r>
            <w:r w:rsidRPr="00CF009C">
              <w:rPr>
                <w:rFonts w:asciiTheme="minorHAnsi" w:eastAsiaTheme="minorHAnsi" w:hAnsiTheme="minorHAnsi" w:cstheme="minorBidi"/>
                <w:iCs/>
              </w:rPr>
              <w:t xml:space="preserve">he number of </w:t>
            </w:r>
            <w:r>
              <w:rPr>
                <w:rFonts w:asciiTheme="minorHAnsi" w:eastAsiaTheme="minorHAnsi" w:hAnsiTheme="minorHAnsi" w:cstheme="minorBidi"/>
                <w:iCs/>
              </w:rPr>
              <w:t>Tier 1 (highest risk) model used</w:t>
            </w:r>
            <w:r w:rsidRPr="00CF009C">
              <w:rPr>
                <w:rFonts w:asciiTheme="minorHAnsi" w:eastAsiaTheme="minorHAnsi" w:hAnsiTheme="minorHAnsi" w:cstheme="minorBidi"/>
                <w:iCs/>
              </w:rPr>
              <w:t xml:space="preserve"> in producti</w:t>
            </w:r>
            <w:r>
              <w:rPr>
                <w:rFonts w:asciiTheme="minorHAnsi" w:eastAsiaTheme="minorHAnsi" w:hAnsiTheme="minorHAnsi" w:cstheme="minorBidi"/>
                <w:iCs/>
              </w:rPr>
              <w:t>on without appropriate approvals, as recorded in the MRMG database.</w:t>
            </w:r>
          </w:p>
        </w:tc>
      </w:tr>
      <w:tr w:rsidR="002734F4" w:rsidRPr="00206D41" w14:paraId="35725635" w14:textId="77777777" w:rsidTr="00CA2BDC">
        <w:trPr>
          <w:trHeight w:val="525"/>
        </w:trPr>
        <w:tc>
          <w:tcPr>
            <w:tcW w:w="1728" w:type="dxa"/>
            <w:shd w:val="clear" w:color="auto" w:fill="auto"/>
          </w:tcPr>
          <w:p w14:paraId="5FB7EF7D" w14:textId="77777777" w:rsidR="002734F4" w:rsidRPr="00DD4D28" w:rsidRDefault="002734F4" w:rsidP="002734F4">
            <w:pPr>
              <w:rPr>
                <w:b/>
                <w:bCs/>
                <w:iCs/>
              </w:rPr>
            </w:pPr>
            <w:r w:rsidRPr="00DD4D28">
              <w:rPr>
                <w:b/>
                <w:bCs/>
                <w:iCs/>
              </w:rPr>
              <w:t>SOURCE OF INFORMATION</w:t>
            </w:r>
          </w:p>
        </w:tc>
        <w:tc>
          <w:tcPr>
            <w:tcW w:w="7470" w:type="dxa"/>
            <w:shd w:val="clear" w:color="auto" w:fill="auto"/>
          </w:tcPr>
          <w:p w14:paraId="2E6B8A0B" w14:textId="77777777" w:rsidR="002734F4" w:rsidRPr="00891A38" w:rsidRDefault="002734F4" w:rsidP="002734F4">
            <w:pPr>
              <w:rPr>
                <w:rFonts w:cs="Arial"/>
              </w:rPr>
            </w:pPr>
            <w:r w:rsidRPr="00C05360">
              <w:rPr>
                <w:rFonts w:cs="Arial"/>
              </w:rPr>
              <w:t>The model inventory database is a Sequel Server back</w:t>
            </w:r>
            <w:r w:rsidR="00AD2CAD">
              <w:rPr>
                <w:rFonts w:cs="Arial"/>
              </w:rPr>
              <w:t>-</w:t>
            </w:r>
            <w:r w:rsidRPr="00C05360">
              <w:rPr>
                <w:rFonts w:cs="Arial"/>
              </w:rPr>
              <w:t>end, with InfoPath frontend forms where MRMG tracks all pertinent details associated to the model lifecycle. This includes:</w:t>
            </w:r>
            <w:r w:rsidRPr="00C0721C">
              <w:rPr>
                <w:rFonts w:cs="Arial"/>
              </w:rPr>
              <w:t xml:space="preserve"> </w:t>
            </w:r>
          </w:p>
          <w:p w14:paraId="6E9B9698" w14:textId="77777777" w:rsidR="002734F4" w:rsidRPr="00C05360" w:rsidRDefault="002734F4" w:rsidP="002734F4">
            <w:pPr>
              <w:pStyle w:val="ListParagraph"/>
              <w:numPr>
                <w:ilvl w:val="0"/>
                <w:numId w:val="36"/>
              </w:numPr>
              <w:rPr>
                <w:rFonts w:cs="Arial"/>
              </w:rPr>
            </w:pPr>
            <w:r w:rsidRPr="00C05360">
              <w:rPr>
                <w:rFonts w:cs="Arial"/>
              </w:rPr>
              <w:t>Model / non-model use detail</w:t>
            </w:r>
          </w:p>
          <w:p w14:paraId="61ED33D0" w14:textId="77777777" w:rsidR="002734F4" w:rsidRPr="00C05360" w:rsidRDefault="002734F4" w:rsidP="002734F4">
            <w:pPr>
              <w:pStyle w:val="ListParagraph"/>
              <w:numPr>
                <w:ilvl w:val="0"/>
                <w:numId w:val="36"/>
              </w:numPr>
              <w:rPr>
                <w:rFonts w:cs="Arial"/>
              </w:rPr>
            </w:pPr>
            <w:r w:rsidRPr="00C05360">
              <w:rPr>
                <w:rFonts w:cs="Arial"/>
              </w:rPr>
              <w:t>Approval dates</w:t>
            </w:r>
          </w:p>
          <w:p w14:paraId="63E9904C" w14:textId="77777777" w:rsidR="002734F4" w:rsidRPr="00C05360" w:rsidRDefault="002734F4" w:rsidP="002734F4">
            <w:pPr>
              <w:pStyle w:val="ListParagraph"/>
              <w:numPr>
                <w:ilvl w:val="0"/>
                <w:numId w:val="36"/>
              </w:numPr>
              <w:rPr>
                <w:rFonts w:cs="Arial"/>
              </w:rPr>
            </w:pPr>
            <w:r w:rsidRPr="00C05360">
              <w:rPr>
                <w:rFonts w:cs="Arial"/>
              </w:rPr>
              <w:t>Validation history</w:t>
            </w:r>
          </w:p>
          <w:p w14:paraId="1251965E" w14:textId="77777777" w:rsidR="002734F4" w:rsidRPr="00C05360" w:rsidRDefault="002734F4" w:rsidP="002734F4">
            <w:pPr>
              <w:pStyle w:val="ListParagraph"/>
              <w:numPr>
                <w:ilvl w:val="0"/>
                <w:numId w:val="36"/>
              </w:numPr>
              <w:rPr>
                <w:rFonts w:cs="Arial"/>
              </w:rPr>
            </w:pPr>
            <w:r w:rsidRPr="00C05360">
              <w:rPr>
                <w:rFonts w:cs="Arial"/>
              </w:rPr>
              <w:t>Findings remediation detail</w:t>
            </w:r>
          </w:p>
          <w:p w14:paraId="5F02570F" w14:textId="77777777" w:rsidR="002734F4" w:rsidRPr="00C05360" w:rsidRDefault="002734F4" w:rsidP="002734F4">
            <w:pPr>
              <w:pStyle w:val="ListParagraph"/>
              <w:numPr>
                <w:ilvl w:val="0"/>
                <w:numId w:val="36"/>
              </w:numPr>
              <w:rPr>
                <w:rFonts w:cs="Arial"/>
              </w:rPr>
            </w:pPr>
            <w:r w:rsidRPr="00C05360">
              <w:rPr>
                <w:rFonts w:cs="Arial"/>
              </w:rPr>
              <w:t>Change / decommissioning / reactivation requests</w:t>
            </w:r>
          </w:p>
          <w:p w14:paraId="77D2BC27" w14:textId="77777777" w:rsidR="002734F4" w:rsidRPr="00C05360" w:rsidRDefault="002734F4" w:rsidP="002734F4">
            <w:pPr>
              <w:pStyle w:val="ListParagraph"/>
              <w:numPr>
                <w:ilvl w:val="0"/>
                <w:numId w:val="36"/>
              </w:numPr>
              <w:rPr>
                <w:rFonts w:cs="Arial"/>
              </w:rPr>
            </w:pPr>
            <w:r w:rsidRPr="00C05360">
              <w:rPr>
                <w:rFonts w:cs="Arial"/>
              </w:rPr>
              <w:t>Ongoing monitoring issues</w:t>
            </w:r>
          </w:p>
          <w:p w14:paraId="6A891EF9" w14:textId="77777777" w:rsidR="002734F4" w:rsidRPr="00C05360" w:rsidRDefault="002734F4" w:rsidP="002734F4">
            <w:pPr>
              <w:pStyle w:val="ListParagraph"/>
              <w:numPr>
                <w:ilvl w:val="0"/>
                <w:numId w:val="36"/>
              </w:numPr>
              <w:rPr>
                <w:rFonts w:cs="Arial"/>
              </w:rPr>
            </w:pPr>
            <w:r w:rsidRPr="00C05360">
              <w:rPr>
                <w:rFonts w:cs="Arial"/>
              </w:rPr>
              <w:t>Policy exception detail</w:t>
            </w:r>
          </w:p>
          <w:p w14:paraId="29762B92" w14:textId="77777777" w:rsidR="002734F4" w:rsidRPr="00C05360" w:rsidRDefault="002734F4" w:rsidP="002734F4">
            <w:pPr>
              <w:pStyle w:val="ListParagraph"/>
              <w:numPr>
                <w:ilvl w:val="0"/>
                <w:numId w:val="36"/>
              </w:numPr>
              <w:rPr>
                <w:rFonts w:ascii="Arial" w:hAnsi="Arial" w:cs="Arial"/>
                <w:sz w:val="20"/>
                <w:szCs w:val="20"/>
              </w:rPr>
            </w:pPr>
            <w:r w:rsidRPr="00C05360">
              <w:rPr>
                <w:rFonts w:cs="Arial"/>
              </w:rPr>
              <w:t>Annual review</w:t>
            </w:r>
            <w:r w:rsidRPr="00C05360">
              <w:rPr>
                <w:rFonts w:ascii="Arial" w:hAnsi="Arial" w:cs="Arial"/>
                <w:sz w:val="20"/>
                <w:szCs w:val="20"/>
              </w:rPr>
              <w:t xml:space="preserve"> </w:t>
            </w:r>
          </w:p>
        </w:tc>
      </w:tr>
    </w:tbl>
    <w:p w14:paraId="7E6204BE" w14:textId="77777777" w:rsidR="00191471" w:rsidRDefault="00191471" w:rsidP="002450B1">
      <w:pPr>
        <w:tabs>
          <w:tab w:val="left" w:pos="4378"/>
        </w:tabs>
        <w:spacing w:after="0"/>
        <w:rPr>
          <w:rFonts w:asciiTheme="minorHAnsi" w:eastAsiaTheme="minorHAnsi" w:hAnsiTheme="minorHAnsi" w:cstheme="minorBidi"/>
          <w:b/>
          <w:iCs/>
          <w:sz w:val="24"/>
        </w:rPr>
      </w:pPr>
    </w:p>
    <w:p w14:paraId="115CF6E5" w14:textId="77777777" w:rsidR="00E2205B" w:rsidRDefault="00E2205B" w:rsidP="002450B1">
      <w:pPr>
        <w:tabs>
          <w:tab w:val="left" w:pos="4378"/>
        </w:tabs>
        <w:spacing w:after="0"/>
        <w:rPr>
          <w:rFonts w:asciiTheme="minorHAnsi" w:eastAsiaTheme="minorHAnsi" w:hAnsiTheme="minorHAnsi" w:cstheme="minorBidi"/>
          <w:b/>
          <w:iCs/>
          <w:sz w:val="24"/>
        </w:rPr>
      </w:pPr>
    </w:p>
    <w:p w14:paraId="7DA95ADC" w14:textId="77777777" w:rsidR="003B2939" w:rsidRDefault="003B2939" w:rsidP="002450B1">
      <w:pPr>
        <w:tabs>
          <w:tab w:val="left" w:pos="4378"/>
        </w:tabs>
        <w:spacing w:after="0"/>
        <w:rPr>
          <w:rFonts w:asciiTheme="minorHAnsi" w:eastAsiaTheme="minorHAnsi" w:hAnsiTheme="minorHAnsi" w:cstheme="minorBidi"/>
          <w:b/>
          <w:iCs/>
          <w:sz w:val="24"/>
        </w:rPr>
      </w:pPr>
    </w:p>
    <w:p w14:paraId="650FAD0B" w14:textId="77777777" w:rsidR="003B2939" w:rsidRDefault="003B2939" w:rsidP="002450B1">
      <w:pPr>
        <w:tabs>
          <w:tab w:val="left" w:pos="4378"/>
        </w:tabs>
        <w:spacing w:after="0"/>
        <w:rPr>
          <w:rFonts w:asciiTheme="minorHAnsi" w:eastAsiaTheme="minorHAnsi" w:hAnsiTheme="minorHAnsi" w:cstheme="minorBidi"/>
          <w:b/>
          <w:iCs/>
          <w:sz w:val="24"/>
        </w:rPr>
      </w:pPr>
    </w:p>
    <w:p w14:paraId="256E7A68" w14:textId="77777777" w:rsidR="003B2939" w:rsidRDefault="003B2939" w:rsidP="002450B1">
      <w:pPr>
        <w:tabs>
          <w:tab w:val="left" w:pos="4378"/>
        </w:tabs>
        <w:spacing w:after="0"/>
        <w:rPr>
          <w:rFonts w:asciiTheme="minorHAnsi" w:eastAsiaTheme="minorHAnsi" w:hAnsiTheme="minorHAnsi" w:cstheme="minorBidi"/>
          <w:b/>
          <w:iCs/>
          <w:sz w:val="24"/>
        </w:rPr>
      </w:pPr>
    </w:p>
    <w:p w14:paraId="1A5AA17B" w14:textId="77777777" w:rsidR="003B2939" w:rsidRDefault="003B2939" w:rsidP="002450B1">
      <w:pPr>
        <w:tabs>
          <w:tab w:val="left" w:pos="4378"/>
        </w:tabs>
        <w:spacing w:after="0"/>
        <w:rPr>
          <w:rFonts w:asciiTheme="minorHAnsi" w:eastAsiaTheme="minorHAnsi" w:hAnsiTheme="minorHAnsi" w:cstheme="minorBidi"/>
          <w:b/>
          <w:iCs/>
          <w:sz w:val="24"/>
        </w:rPr>
      </w:pPr>
    </w:p>
    <w:p w14:paraId="5295DF3F" w14:textId="77777777" w:rsidR="003B2939" w:rsidRDefault="003B2939" w:rsidP="002450B1">
      <w:pPr>
        <w:tabs>
          <w:tab w:val="left" w:pos="4378"/>
        </w:tabs>
        <w:spacing w:after="0"/>
        <w:rPr>
          <w:rFonts w:asciiTheme="minorHAnsi" w:eastAsiaTheme="minorHAnsi" w:hAnsiTheme="minorHAnsi" w:cstheme="minorBidi"/>
          <w:b/>
          <w:iCs/>
          <w:sz w:val="24"/>
        </w:rPr>
      </w:pPr>
    </w:p>
    <w:p w14:paraId="36786B0F" w14:textId="77777777" w:rsidR="003D15E8" w:rsidRPr="005F51C4" w:rsidRDefault="00A43D45" w:rsidP="003D15E8">
      <w:pPr>
        <w:pStyle w:val="SANUS1"/>
        <w:numPr>
          <w:ilvl w:val="0"/>
          <w:numId w:val="1"/>
        </w:numPr>
      </w:pPr>
      <w:bookmarkStart w:id="1297" w:name="_Toc439165577"/>
      <w:bookmarkStart w:id="1298" w:name="_Toc439165858"/>
      <w:bookmarkStart w:id="1299" w:name="_Toc439841797"/>
      <w:bookmarkStart w:id="1300" w:name="_Toc439165578"/>
      <w:bookmarkStart w:id="1301" w:name="_Toc439165859"/>
      <w:bookmarkStart w:id="1302" w:name="_Toc439841798"/>
      <w:bookmarkStart w:id="1303" w:name="_Toc439165579"/>
      <w:bookmarkStart w:id="1304" w:name="_Toc439165860"/>
      <w:bookmarkStart w:id="1305" w:name="_Toc439841799"/>
      <w:bookmarkStart w:id="1306" w:name="_Toc439165580"/>
      <w:bookmarkStart w:id="1307" w:name="_Toc439165861"/>
      <w:bookmarkStart w:id="1308" w:name="_Toc439841800"/>
      <w:bookmarkStart w:id="1309" w:name="_Toc439165581"/>
      <w:bookmarkStart w:id="1310" w:name="_Toc439165862"/>
      <w:bookmarkStart w:id="1311" w:name="_Toc439841801"/>
      <w:bookmarkStart w:id="1312" w:name="_Toc439165582"/>
      <w:bookmarkStart w:id="1313" w:name="_Toc439165863"/>
      <w:bookmarkStart w:id="1314" w:name="_Toc439841802"/>
      <w:bookmarkStart w:id="1315" w:name="_Toc439165583"/>
      <w:bookmarkStart w:id="1316" w:name="_Toc439165864"/>
      <w:bookmarkStart w:id="1317" w:name="_Toc439841803"/>
      <w:bookmarkStart w:id="1318" w:name="_Toc439165584"/>
      <w:bookmarkStart w:id="1319" w:name="_Toc439165865"/>
      <w:bookmarkStart w:id="1320" w:name="_Toc439841804"/>
      <w:bookmarkStart w:id="1321" w:name="_Toc439165585"/>
      <w:bookmarkStart w:id="1322" w:name="_Toc439165866"/>
      <w:bookmarkStart w:id="1323" w:name="_Toc439841805"/>
      <w:bookmarkStart w:id="1324" w:name="_Toc439165586"/>
      <w:bookmarkStart w:id="1325" w:name="_Toc439165867"/>
      <w:bookmarkStart w:id="1326" w:name="_Toc439841806"/>
      <w:bookmarkStart w:id="1327" w:name="_Toc439165587"/>
      <w:bookmarkStart w:id="1328" w:name="_Toc439165868"/>
      <w:bookmarkStart w:id="1329" w:name="_Toc439841807"/>
      <w:bookmarkStart w:id="1330" w:name="_Toc439165588"/>
      <w:bookmarkStart w:id="1331" w:name="_Toc439165869"/>
      <w:bookmarkStart w:id="1332" w:name="_Toc439841808"/>
      <w:bookmarkStart w:id="1333" w:name="_Toc439165589"/>
      <w:bookmarkStart w:id="1334" w:name="_Toc439165870"/>
      <w:bookmarkStart w:id="1335" w:name="_Toc439841809"/>
      <w:bookmarkStart w:id="1336" w:name="_Toc439165590"/>
      <w:bookmarkStart w:id="1337" w:name="_Toc439165871"/>
      <w:bookmarkStart w:id="1338" w:name="_Toc439841810"/>
      <w:bookmarkStart w:id="1339" w:name="_Toc439165591"/>
      <w:bookmarkStart w:id="1340" w:name="_Toc439165872"/>
      <w:bookmarkStart w:id="1341" w:name="_Toc439841811"/>
      <w:bookmarkStart w:id="1342" w:name="_Toc452544408"/>
      <w:bookmarkStart w:id="1343" w:name="_Toc453849313"/>
      <w:bookmarkEnd w:id="1297"/>
      <w:bookmarkEnd w:id="1298"/>
      <w:bookmarkEnd w:id="1299"/>
      <w:bookmarkEnd w:id="1300"/>
      <w:bookmarkEnd w:id="1301"/>
      <w:bookmarkEnd w:id="1302"/>
      <w:bookmarkEnd w:id="1303"/>
      <w:bookmarkEnd w:id="1304"/>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r>
        <w:t>Compliance and reputational risk metrics</w:t>
      </w:r>
      <w:bookmarkEnd w:id="1342"/>
      <w:bookmarkEnd w:id="1343"/>
    </w:p>
    <w:p w14:paraId="44AFFD4F" w14:textId="77777777" w:rsidR="00FF3878" w:rsidRPr="0028126A" w:rsidRDefault="0003172F" w:rsidP="00FC6780">
      <w:pPr>
        <w:pStyle w:val="SANUS2"/>
        <w:numPr>
          <w:ilvl w:val="1"/>
          <w:numId w:val="1"/>
        </w:numPr>
        <w:ind w:left="540" w:hanging="540"/>
      </w:pPr>
      <w:bookmarkStart w:id="1344" w:name="_Toc452544409"/>
      <w:bookmarkStart w:id="1345" w:name="_Toc453849314"/>
      <w:r>
        <w:t>Open</w:t>
      </w:r>
      <w:r w:rsidR="001A5A3C">
        <w:t xml:space="preserve"> Matters Requiring Immediate Attention (MRIAs) </w:t>
      </w:r>
      <w:r>
        <w:t>and other equivalent matters requiring immediate attention</w:t>
      </w:r>
      <w:bookmarkEnd w:id="1344"/>
      <w:bookmarkEnd w:id="1345"/>
    </w:p>
    <w:tbl>
      <w:tblPr>
        <w:tblpPr w:leftFromText="180" w:rightFromText="180" w:vertAnchor="text" w:tblpX="168" w:tblpY="1"/>
        <w:tblOverlap w:val="never"/>
        <w:tblW w:w="9198"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000" w:firstRow="0" w:lastRow="0" w:firstColumn="0" w:lastColumn="0" w:noHBand="0" w:noVBand="0"/>
      </w:tblPr>
      <w:tblGrid>
        <w:gridCol w:w="1728"/>
        <w:gridCol w:w="7470"/>
      </w:tblGrid>
      <w:tr w:rsidR="00FF3878" w:rsidRPr="00206D41" w14:paraId="079EB1D3" w14:textId="77777777" w:rsidTr="00CA2BDC">
        <w:trPr>
          <w:trHeight w:val="462"/>
        </w:trPr>
        <w:tc>
          <w:tcPr>
            <w:tcW w:w="1728" w:type="dxa"/>
            <w:shd w:val="clear" w:color="auto" w:fill="auto"/>
          </w:tcPr>
          <w:p w14:paraId="2E9597E4" w14:textId="77777777" w:rsidR="00FF3878" w:rsidRPr="00206D41" w:rsidRDefault="0028126A" w:rsidP="007E122B">
            <w:pPr>
              <w:rPr>
                <w:b/>
                <w:bCs/>
                <w:iCs/>
              </w:rPr>
            </w:pPr>
            <w:r>
              <w:rPr>
                <w:b/>
                <w:bCs/>
                <w:iCs/>
              </w:rPr>
              <w:t>DEFINITION</w:t>
            </w:r>
          </w:p>
        </w:tc>
        <w:tc>
          <w:tcPr>
            <w:tcW w:w="7470" w:type="dxa"/>
            <w:shd w:val="clear" w:color="auto" w:fill="auto"/>
          </w:tcPr>
          <w:p w14:paraId="3BF0D7A7" w14:textId="77777777" w:rsidR="000C1B36" w:rsidRDefault="000C1B36" w:rsidP="000C1B36">
            <w:pPr>
              <w:spacing w:after="0" w:line="240" w:lineRule="auto"/>
            </w:pPr>
            <w:r w:rsidRPr="00634281">
              <w:t>The total number of open MRIAs issued by the Federal Reserve to all Santander entities</w:t>
            </w:r>
            <w:r>
              <w:t xml:space="preserve"> operating</w:t>
            </w:r>
            <w:r w:rsidRPr="00634281">
              <w:t xml:space="preserve"> in the US</w:t>
            </w:r>
            <w:r>
              <w:t xml:space="preserve"> and over which the FRB has jurisdiction</w:t>
            </w:r>
            <w:r w:rsidR="00B45C31">
              <w:t>, and all other matters of equivalent gravity requiring immediate attention</w:t>
            </w:r>
            <w:r w:rsidRPr="00634281">
              <w:t>.</w:t>
            </w:r>
          </w:p>
          <w:p w14:paraId="218DE2A2" w14:textId="77777777" w:rsidR="000C1B36" w:rsidRDefault="000C1B36" w:rsidP="000C1B36">
            <w:pPr>
              <w:spacing w:after="0" w:line="240" w:lineRule="auto"/>
            </w:pPr>
          </w:p>
          <w:p w14:paraId="5B3C26D5" w14:textId="77777777" w:rsidR="000C1B36" w:rsidRDefault="000C1B36" w:rsidP="000C1B36">
            <w:pPr>
              <w:spacing w:after="0" w:line="240" w:lineRule="auto"/>
            </w:pPr>
            <w:r>
              <w:t xml:space="preserve">MRIAs are matters of significant importance and urgency that the Federal Reserve requires an organization to address immediately and include: matters that have the potential to pose significant risk to the organization’s safety and soundness; matters that represent significant instances of noncompliance with laws or regulations;  repeat criticisms that have escalated in importance due to insufficient attention or action by the organization; and, in the case of consumer compliance examinations, matters that have the potential to cause significant consumer harm. </w:t>
            </w:r>
          </w:p>
          <w:p w14:paraId="2DAAAC3F" w14:textId="77777777" w:rsidR="00FF3878" w:rsidRPr="00DA4D26" w:rsidRDefault="00FF3878" w:rsidP="00DA4D26">
            <w:pPr>
              <w:spacing w:after="0" w:line="240" w:lineRule="auto"/>
            </w:pPr>
          </w:p>
        </w:tc>
      </w:tr>
      <w:tr w:rsidR="00FF3878" w:rsidRPr="00206D41" w14:paraId="72AB04CF" w14:textId="77777777" w:rsidTr="00CA2BDC">
        <w:trPr>
          <w:trHeight w:val="462"/>
        </w:trPr>
        <w:tc>
          <w:tcPr>
            <w:tcW w:w="1728" w:type="dxa"/>
            <w:shd w:val="clear" w:color="auto" w:fill="auto"/>
          </w:tcPr>
          <w:p w14:paraId="6E18A352" w14:textId="77777777" w:rsidR="00FF3878" w:rsidRPr="00206D41" w:rsidRDefault="0028126A" w:rsidP="007E122B">
            <w:pPr>
              <w:rPr>
                <w:b/>
                <w:bCs/>
                <w:iCs/>
              </w:rPr>
            </w:pPr>
            <w:r>
              <w:rPr>
                <w:b/>
                <w:bCs/>
                <w:iCs/>
              </w:rPr>
              <w:t>RISK TYPE</w:t>
            </w:r>
          </w:p>
        </w:tc>
        <w:tc>
          <w:tcPr>
            <w:tcW w:w="7470" w:type="dxa"/>
            <w:shd w:val="clear" w:color="auto" w:fill="auto"/>
          </w:tcPr>
          <w:p w14:paraId="423E7F6B" w14:textId="77777777" w:rsidR="00FF3878" w:rsidRPr="00206D41" w:rsidRDefault="0028126A" w:rsidP="007E122B">
            <w:pPr>
              <w:spacing w:after="0" w:line="240" w:lineRule="auto"/>
              <w:rPr>
                <w:bCs/>
                <w:iCs/>
              </w:rPr>
            </w:pPr>
            <w:r>
              <w:rPr>
                <w:bCs/>
                <w:iCs/>
              </w:rPr>
              <w:t>Compliance</w:t>
            </w:r>
            <w:r w:rsidR="00DA4D26">
              <w:rPr>
                <w:bCs/>
                <w:iCs/>
              </w:rPr>
              <w:t xml:space="preserve"> / Reputational</w:t>
            </w:r>
            <w:r>
              <w:rPr>
                <w:bCs/>
                <w:iCs/>
              </w:rPr>
              <w:t xml:space="preserve"> Risk</w:t>
            </w:r>
          </w:p>
        </w:tc>
      </w:tr>
      <w:tr w:rsidR="0084494E" w:rsidRPr="00206D41" w14:paraId="456E8577" w14:textId="77777777" w:rsidTr="00CA2BDC">
        <w:trPr>
          <w:trHeight w:val="462"/>
        </w:trPr>
        <w:tc>
          <w:tcPr>
            <w:tcW w:w="1728" w:type="dxa"/>
            <w:shd w:val="clear" w:color="auto" w:fill="auto"/>
          </w:tcPr>
          <w:p w14:paraId="25E46A58" w14:textId="77777777" w:rsidR="0084494E" w:rsidRDefault="0084494E" w:rsidP="007E122B">
            <w:pPr>
              <w:rPr>
                <w:b/>
                <w:bCs/>
                <w:iCs/>
              </w:rPr>
            </w:pPr>
            <w:r>
              <w:rPr>
                <w:b/>
                <w:bCs/>
                <w:iCs/>
              </w:rPr>
              <w:t>RATIONALE</w:t>
            </w:r>
          </w:p>
        </w:tc>
        <w:tc>
          <w:tcPr>
            <w:tcW w:w="7470" w:type="dxa"/>
            <w:shd w:val="clear" w:color="auto" w:fill="auto"/>
          </w:tcPr>
          <w:p w14:paraId="46D0703C" w14:textId="77777777" w:rsidR="0084494E" w:rsidRDefault="000964AC" w:rsidP="000964AC">
            <w:pPr>
              <w:spacing w:after="0" w:line="240" w:lineRule="auto"/>
              <w:rPr>
                <w:bCs/>
                <w:iCs/>
              </w:rPr>
            </w:pPr>
            <w:r>
              <w:rPr>
                <w:bCs/>
                <w:iCs/>
              </w:rPr>
              <w:t xml:space="preserve">It is </w:t>
            </w:r>
            <w:r w:rsidRPr="000964AC">
              <w:rPr>
                <w:bCs/>
                <w:iCs/>
              </w:rPr>
              <w:t>vital for SHUSA to restore the confidence of regulators and other external stakeholders</w:t>
            </w:r>
            <w:r>
              <w:rPr>
                <w:bCs/>
                <w:iCs/>
              </w:rPr>
              <w:t>; metric send</w:t>
            </w:r>
            <w:r w:rsidRPr="000964AC">
              <w:rPr>
                <w:bCs/>
                <w:iCs/>
              </w:rPr>
              <w:t xml:space="preserve"> a strong tone from the Board </w:t>
            </w:r>
            <w:r>
              <w:rPr>
                <w:bCs/>
                <w:iCs/>
              </w:rPr>
              <w:t>about focus on regulatory compliance</w:t>
            </w:r>
          </w:p>
        </w:tc>
      </w:tr>
      <w:tr w:rsidR="00AD2CAD" w:rsidRPr="00206D41" w14:paraId="1B0123E8" w14:textId="77777777" w:rsidTr="006B6E1C">
        <w:trPr>
          <w:trHeight w:val="270"/>
        </w:trPr>
        <w:tc>
          <w:tcPr>
            <w:tcW w:w="1728" w:type="dxa"/>
            <w:shd w:val="clear" w:color="auto" w:fill="auto"/>
          </w:tcPr>
          <w:p w14:paraId="3C02EDA3" w14:textId="77777777" w:rsidR="00AD2CAD" w:rsidRPr="00206D41" w:rsidRDefault="00AD2CAD" w:rsidP="007E122B">
            <w:pPr>
              <w:rPr>
                <w:b/>
                <w:bCs/>
                <w:iCs/>
              </w:rPr>
            </w:pPr>
            <w:r>
              <w:rPr>
                <w:b/>
                <w:bCs/>
                <w:iCs/>
              </w:rPr>
              <w:t>ENTITY</w:t>
            </w:r>
          </w:p>
        </w:tc>
        <w:tc>
          <w:tcPr>
            <w:tcW w:w="7470" w:type="dxa"/>
            <w:shd w:val="clear" w:color="auto" w:fill="auto"/>
          </w:tcPr>
          <w:p w14:paraId="57636406" w14:textId="5AA264A7" w:rsidR="00AD2CAD" w:rsidRPr="0028126A" w:rsidRDefault="00AD2CAD" w:rsidP="007603E9">
            <w:pPr>
              <w:spacing w:after="0" w:line="240" w:lineRule="auto"/>
              <w:rPr>
                <w:b/>
                <w:bCs/>
                <w:iCs/>
              </w:rPr>
            </w:pPr>
            <w:r w:rsidRPr="0028126A">
              <w:rPr>
                <w:b/>
                <w:bCs/>
                <w:iCs/>
              </w:rPr>
              <w:t>SHUSA</w:t>
            </w:r>
            <w:r w:rsidR="003B2939">
              <w:rPr>
                <w:b/>
                <w:bCs/>
                <w:iCs/>
              </w:rPr>
              <w:t>, SBNA</w:t>
            </w:r>
          </w:p>
        </w:tc>
      </w:tr>
      <w:tr w:rsidR="00AD2CAD" w:rsidRPr="00206D41" w14:paraId="7EFA2D7A" w14:textId="77777777" w:rsidTr="006B6E1C">
        <w:trPr>
          <w:trHeight w:val="270"/>
        </w:trPr>
        <w:tc>
          <w:tcPr>
            <w:tcW w:w="1728" w:type="dxa"/>
            <w:shd w:val="clear" w:color="auto" w:fill="auto"/>
          </w:tcPr>
          <w:p w14:paraId="13960403" w14:textId="3364CC35" w:rsidR="00AD2CAD" w:rsidRPr="00206D41" w:rsidRDefault="00511F11" w:rsidP="002734F4">
            <w:pPr>
              <w:rPr>
                <w:b/>
                <w:bCs/>
                <w:iCs/>
              </w:rPr>
            </w:pPr>
            <w:r>
              <w:rPr>
                <w:rFonts w:asciiTheme="minorHAnsi" w:hAnsiTheme="minorHAnsi"/>
                <w:b/>
                <w:bCs/>
                <w:iCs/>
              </w:rPr>
              <w:t>METRIC PROVIDER</w:t>
            </w:r>
          </w:p>
        </w:tc>
        <w:tc>
          <w:tcPr>
            <w:tcW w:w="7470" w:type="dxa"/>
            <w:shd w:val="clear" w:color="auto" w:fill="auto"/>
          </w:tcPr>
          <w:p w14:paraId="7D2491CC" w14:textId="2804F052" w:rsidR="00AD2CAD" w:rsidRPr="0028126A" w:rsidRDefault="003B2939" w:rsidP="002734F4">
            <w:pPr>
              <w:spacing w:after="0" w:line="240" w:lineRule="auto"/>
              <w:rPr>
                <w:b/>
                <w:bCs/>
                <w:iCs/>
              </w:rPr>
            </w:pPr>
            <w:r w:rsidRPr="003B2939">
              <w:rPr>
                <w:b/>
                <w:bCs/>
                <w:iCs/>
              </w:rPr>
              <w:t>SHUSA Chief Compliance Officer</w:t>
            </w:r>
          </w:p>
        </w:tc>
      </w:tr>
      <w:tr w:rsidR="002734F4" w:rsidRPr="00206D41" w14:paraId="6C00AC92" w14:textId="77777777" w:rsidTr="00CA2BDC">
        <w:trPr>
          <w:trHeight w:val="360"/>
        </w:trPr>
        <w:tc>
          <w:tcPr>
            <w:tcW w:w="1728" w:type="dxa"/>
            <w:shd w:val="clear" w:color="auto" w:fill="auto"/>
          </w:tcPr>
          <w:p w14:paraId="5425AF48" w14:textId="77777777" w:rsidR="002734F4" w:rsidRPr="00206D41" w:rsidRDefault="002734F4" w:rsidP="00FC6780">
            <w:pPr>
              <w:rPr>
                <w:b/>
                <w:bCs/>
                <w:iCs/>
              </w:rPr>
            </w:pPr>
            <w:r w:rsidRPr="00062285">
              <w:rPr>
                <w:b/>
                <w:bCs/>
                <w:iCs/>
              </w:rPr>
              <w:t>TRIGGER AND LIMIT SETTING</w:t>
            </w:r>
          </w:p>
        </w:tc>
        <w:tc>
          <w:tcPr>
            <w:tcW w:w="7470" w:type="dxa"/>
            <w:shd w:val="clear" w:color="auto" w:fill="auto"/>
          </w:tcPr>
          <w:p w14:paraId="44C245E8" w14:textId="77777777" w:rsidR="002734F4" w:rsidRDefault="002734F4" w:rsidP="002734F4">
            <w:pPr>
              <w:spacing w:after="0" w:line="240" w:lineRule="auto"/>
              <w:rPr>
                <w:rFonts w:asciiTheme="minorHAnsi" w:eastAsiaTheme="minorHAnsi" w:hAnsiTheme="minorHAnsi" w:cstheme="minorBidi"/>
                <w:iCs/>
              </w:rPr>
            </w:pPr>
            <w:r>
              <w:rPr>
                <w:rFonts w:asciiTheme="minorHAnsi" w:eastAsiaTheme="minorHAnsi" w:hAnsiTheme="minorHAnsi" w:cstheme="minorBidi"/>
                <w:iCs/>
              </w:rPr>
              <w:t>This metric has no amber trigger and the red limit is set at zero.</w:t>
            </w:r>
          </w:p>
        </w:tc>
      </w:tr>
      <w:tr w:rsidR="002734F4" w:rsidRPr="00206D41" w14:paraId="556B3863" w14:textId="77777777" w:rsidTr="00CA2BDC">
        <w:trPr>
          <w:trHeight w:val="510"/>
        </w:trPr>
        <w:tc>
          <w:tcPr>
            <w:tcW w:w="1728" w:type="dxa"/>
            <w:shd w:val="clear" w:color="auto" w:fill="auto"/>
          </w:tcPr>
          <w:p w14:paraId="70E94E54" w14:textId="77777777" w:rsidR="002734F4" w:rsidRPr="00206D41" w:rsidRDefault="002734F4" w:rsidP="00FC6780">
            <w:pPr>
              <w:rPr>
                <w:b/>
                <w:bCs/>
                <w:iCs/>
              </w:rPr>
            </w:pPr>
            <w:r>
              <w:rPr>
                <w:b/>
                <w:bCs/>
                <w:iCs/>
              </w:rPr>
              <w:t xml:space="preserve">TESTING </w:t>
            </w:r>
            <w:r w:rsidRPr="00206D41">
              <w:rPr>
                <w:b/>
                <w:bCs/>
                <w:iCs/>
              </w:rPr>
              <w:t>FREQUENCY</w:t>
            </w:r>
          </w:p>
        </w:tc>
        <w:tc>
          <w:tcPr>
            <w:tcW w:w="7470" w:type="dxa"/>
            <w:shd w:val="clear" w:color="auto" w:fill="auto"/>
          </w:tcPr>
          <w:p w14:paraId="416EDEEE" w14:textId="77777777" w:rsidR="002734F4" w:rsidRPr="00206D41" w:rsidRDefault="002734F4" w:rsidP="002734F4">
            <w:r w:rsidRPr="00206D41">
              <w:rPr>
                <w:rFonts w:asciiTheme="minorHAnsi" w:eastAsiaTheme="minorHAnsi" w:hAnsiTheme="minorHAnsi" w:cstheme="minorBidi"/>
                <w:iCs/>
              </w:rPr>
              <w:t>Monthly</w:t>
            </w:r>
          </w:p>
        </w:tc>
      </w:tr>
      <w:tr w:rsidR="002734F4" w:rsidRPr="00206D41" w14:paraId="1FD31D3A" w14:textId="77777777" w:rsidTr="00CA2BDC">
        <w:trPr>
          <w:trHeight w:val="525"/>
        </w:trPr>
        <w:tc>
          <w:tcPr>
            <w:tcW w:w="1728" w:type="dxa"/>
            <w:shd w:val="clear" w:color="auto" w:fill="auto"/>
          </w:tcPr>
          <w:p w14:paraId="0D5F0556" w14:textId="77777777" w:rsidR="002734F4" w:rsidRPr="00206D41" w:rsidRDefault="002734F4" w:rsidP="002734F4">
            <w:pPr>
              <w:rPr>
                <w:b/>
                <w:bCs/>
                <w:iCs/>
              </w:rPr>
            </w:pPr>
            <w:r w:rsidRPr="00206D41">
              <w:rPr>
                <w:b/>
                <w:bCs/>
                <w:iCs/>
              </w:rPr>
              <w:t>SOURCE OF INFORMATION</w:t>
            </w:r>
          </w:p>
        </w:tc>
        <w:tc>
          <w:tcPr>
            <w:tcW w:w="7470" w:type="dxa"/>
            <w:shd w:val="clear" w:color="auto" w:fill="auto"/>
          </w:tcPr>
          <w:p w14:paraId="115C5FC7" w14:textId="77777777" w:rsidR="002734F4" w:rsidRPr="00206D41" w:rsidRDefault="002734F4" w:rsidP="002734F4">
            <w:pPr>
              <w:spacing w:after="0" w:line="240" w:lineRule="auto"/>
              <w:rPr>
                <w:bCs/>
                <w:iCs/>
              </w:rPr>
            </w:pPr>
            <w:r>
              <w:rPr>
                <w:bCs/>
                <w:iCs/>
              </w:rPr>
              <w:t>MRIAs are identified in Federal Reserve examination or inspection reports, supervisory letters or other supervisory communications and are recorded and tracked by SHUSA Regulatory Affairs in an Excel file.</w:t>
            </w:r>
          </w:p>
        </w:tc>
      </w:tr>
    </w:tbl>
    <w:p w14:paraId="0114FBF0" w14:textId="77777777" w:rsidR="00BA5AA9" w:rsidRDefault="00BA5AA9" w:rsidP="00AD2CAD">
      <w:pPr>
        <w:pStyle w:val="SANUS1"/>
      </w:pPr>
      <w:bookmarkStart w:id="1346" w:name="_Toc452541764"/>
      <w:bookmarkStart w:id="1347" w:name="_Toc452543839"/>
      <w:bookmarkStart w:id="1348" w:name="_Toc452544410"/>
      <w:bookmarkStart w:id="1349" w:name="_Toc452544985"/>
      <w:bookmarkStart w:id="1350" w:name="_Toc452541765"/>
      <w:bookmarkStart w:id="1351" w:name="_Toc452543840"/>
      <w:bookmarkStart w:id="1352" w:name="_Toc452544411"/>
      <w:bookmarkStart w:id="1353" w:name="_Toc452544986"/>
      <w:bookmarkStart w:id="1354" w:name="_Toc452541777"/>
      <w:bookmarkStart w:id="1355" w:name="_Toc452543852"/>
      <w:bookmarkStart w:id="1356" w:name="_Toc452544423"/>
      <w:bookmarkStart w:id="1357" w:name="_Toc452544998"/>
      <w:bookmarkStart w:id="1358" w:name="_Toc452541787"/>
      <w:bookmarkStart w:id="1359" w:name="_Toc452543862"/>
      <w:bookmarkStart w:id="1360" w:name="_Toc452544433"/>
      <w:bookmarkStart w:id="1361" w:name="_Toc452545008"/>
      <w:bookmarkStart w:id="1362" w:name="_Toc452541809"/>
      <w:bookmarkStart w:id="1363" w:name="_Toc452543884"/>
      <w:bookmarkStart w:id="1364" w:name="_Toc452544455"/>
      <w:bookmarkStart w:id="1365" w:name="_Toc452545030"/>
      <w:bookmarkStart w:id="1366" w:name="_Toc452541810"/>
      <w:bookmarkStart w:id="1367" w:name="_Toc452543885"/>
      <w:bookmarkStart w:id="1368" w:name="_Toc452544456"/>
      <w:bookmarkStart w:id="1369" w:name="_Toc452545031"/>
      <w:bookmarkStart w:id="1370" w:name="_Toc452541824"/>
      <w:bookmarkStart w:id="1371" w:name="_Toc452543899"/>
      <w:bookmarkStart w:id="1372" w:name="_Toc452544470"/>
      <w:bookmarkStart w:id="1373" w:name="_Toc452545045"/>
      <w:bookmarkStart w:id="1374" w:name="_Toc452541834"/>
      <w:bookmarkStart w:id="1375" w:name="_Toc452543909"/>
      <w:bookmarkStart w:id="1376" w:name="_Toc452544480"/>
      <w:bookmarkStart w:id="1377" w:name="_Toc452545055"/>
      <w:bookmarkStart w:id="1378" w:name="_Toc452541853"/>
      <w:bookmarkStart w:id="1379" w:name="_Toc452543928"/>
      <w:bookmarkStart w:id="1380" w:name="_Toc452544499"/>
      <w:bookmarkStart w:id="1381" w:name="_Toc452545074"/>
      <w:bookmarkStart w:id="1382" w:name="_Toc452541854"/>
      <w:bookmarkStart w:id="1383" w:name="_Toc452543929"/>
      <w:bookmarkStart w:id="1384" w:name="_Toc452544500"/>
      <w:bookmarkStart w:id="1385" w:name="_Toc452545075"/>
      <w:bookmarkStart w:id="1386" w:name="_Toc452541866"/>
      <w:bookmarkStart w:id="1387" w:name="_Toc452543941"/>
      <w:bookmarkStart w:id="1388" w:name="_Toc452544512"/>
      <w:bookmarkStart w:id="1389" w:name="_Toc452545087"/>
      <w:bookmarkStart w:id="1390" w:name="_Toc452541876"/>
      <w:bookmarkStart w:id="1391" w:name="_Toc452543951"/>
      <w:bookmarkStart w:id="1392" w:name="_Toc452544522"/>
      <w:bookmarkStart w:id="1393" w:name="_Toc452545097"/>
      <w:bookmarkStart w:id="1394" w:name="_Toc452541890"/>
      <w:bookmarkStart w:id="1395" w:name="_Toc452543965"/>
      <w:bookmarkStart w:id="1396" w:name="_Toc452544536"/>
      <w:bookmarkStart w:id="1397" w:name="_Toc452545111"/>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p>
    <w:p w14:paraId="1D11CCB4" w14:textId="77777777" w:rsidR="00BF35BF" w:rsidRDefault="00BF35BF" w:rsidP="00AD2CAD">
      <w:pPr>
        <w:pStyle w:val="SANUS1"/>
      </w:pPr>
    </w:p>
    <w:p w14:paraId="4EE6D6CE" w14:textId="77777777" w:rsidR="00BF35BF" w:rsidRDefault="00BF35BF" w:rsidP="00AD2CAD">
      <w:pPr>
        <w:pStyle w:val="SANUS1"/>
      </w:pPr>
    </w:p>
    <w:p w14:paraId="08CB71C5" w14:textId="77777777" w:rsidR="00BF35BF" w:rsidRDefault="00BF35BF" w:rsidP="00AD2CAD">
      <w:pPr>
        <w:pStyle w:val="SANUS1"/>
      </w:pPr>
    </w:p>
    <w:p w14:paraId="7FD854F3" w14:textId="77777777" w:rsidR="00BF35BF" w:rsidRDefault="00BF35BF" w:rsidP="00AD2CAD">
      <w:pPr>
        <w:pStyle w:val="SANUS1"/>
      </w:pPr>
    </w:p>
    <w:p w14:paraId="14A0E0B4" w14:textId="77777777" w:rsidR="00F470E4" w:rsidRDefault="00F470E4" w:rsidP="00C05360">
      <w:pPr>
        <w:pStyle w:val="SANUS1"/>
        <w:numPr>
          <w:ilvl w:val="0"/>
          <w:numId w:val="1"/>
        </w:numPr>
      </w:pPr>
      <w:bookmarkStart w:id="1398" w:name="_Toc452541891"/>
      <w:bookmarkStart w:id="1399" w:name="_Toc452543966"/>
      <w:bookmarkStart w:id="1400" w:name="_Toc452544537"/>
      <w:bookmarkStart w:id="1401" w:name="_Toc452545112"/>
      <w:bookmarkStart w:id="1402" w:name="_Toc452541892"/>
      <w:bookmarkStart w:id="1403" w:name="_Toc452543967"/>
      <w:bookmarkStart w:id="1404" w:name="_Toc452544538"/>
      <w:bookmarkStart w:id="1405" w:name="_Toc452545113"/>
      <w:bookmarkStart w:id="1406" w:name="_Toc452541893"/>
      <w:bookmarkStart w:id="1407" w:name="_Toc452543968"/>
      <w:bookmarkStart w:id="1408" w:name="_Toc452544539"/>
      <w:bookmarkStart w:id="1409" w:name="_Toc452545114"/>
      <w:bookmarkStart w:id="1410" w:name="_Toc452541894"/>
      <w:bookmarkStart w:id="1411" w:name="_Toc452543969"/>
      <w:bookmarkStart w:id="1412" w:name="_Toc452544540"/>
      <w:bookmarkStart w:id="1413" w:name="_Toc452545115"/>
      <w:bookmarkStart w:id="1414" w:name="_Toc452541895"/>
      <w:bookmarkStart w:id="1415" w:name="_Toc452543970"/>
      <w:bookmarkStart w:id="1416" w:name="_Toc452544541"/>
      <w:bookmarkStart w:id="1417" w:name="_Toc452545116"/>
      <w:bookmarkStart w:id="1418" w:name="_Toc452541896"/>
      <w:bookmarkStart w:id="1419" w:name="_Toc452543971"/>
      <w:bookmarkStart w:id="1420" w:name="_Toc452544542"/>
      <w:bookmarkStart w:id="1421" w:name="_Toc452545117"/>
      <w:bookmarkStart w:id="1422" w:name="_Toc452541897"/>
      <w:bookmarkStart w:id="1423" w:name="_Toc452543972"/>
      <w:bookmarkStart w:id="1424" w:name="_Toc452544543"/>
      <w:bookmarkStart w:id="1425" w:name="_Toc452545118"/>
      <w:bookmarkStart w:id="1426" w:name="_Toc452541898"/>
      <w:bookmarkStart w:id="1427" w:name="_Toc452543973"/>
      <w:bookmarkStart w:id="1428" w:name="_Toc452544544"/>
      <w:bookmarkStart w:id="1429" w:name="_Toc452545119"/>
      <w:bookmarkStart w:id="1430" w:name="_Toc439841817"/>
      <w:bookmarkStart w:id="1431" w:name="_Toc439841818"/>
      <w:bookmarkStart w:id="1432" w:name="_Toc439165595"/>
      <w:bookmarkStart w:id="1433" w:name="_Toc439165876"/>
      <w:bookmarkStart w:id="1434" w:name="_Toc439841819"/>
      <w:bookmarkStart w:id="1435" w:name="_Toc439165596"/>
      <w:bookmarkStart w:id="1436" w:name="_Toc439165877"/>
      <w:bookmarkStart w:id="1437" w:name="_Toc439841820"/>
      <w:bookmarkStart w:id="1438" w:name="_Toc439165597"/>
      <w:bookmarkStart w:id="1439" w:name="_Toc439165878"/>
      <w:bookmarkStart w:id="1440" w:name="_Toc439841821"/>
      <w:bookmarkStart w:id="1441" w:name="_Toc452544545"/>
      <w:bookmarkStart w:id="1442" w:name="_Toc453849315"/>
      <w:bookmarkEnd w:id="1398"/>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r>
        <w:t>Document Administration</w:t>
      </w:r>
      <w:bookmarkEnd w:id="1441"/>
      <w:bookmarkEnd w:id="1442"/>
    </w:p>
    <w:p w14:paraId="7AD9134F" w14:textId="77777777" w:rsidR="00F470E4" w:rsidRDefault="00F470E4" w:rsidP="00954954">
      <w:pPr>
        <w:pStyle w:val="SANUS2"/>
        <w:numPr>
          <w:ilvl w:val="1"/>
          <w:numId w:val="3"/>
        </w:numPr>
        <w:tabs>
          <w:tab w:val="left" w:pos="1170"/>
        </w:tabs>
        <w:ind w:left="360"/>
      </w:pPr>
      <w:bookmarkStart w:id="1443" w:name="_Toc452544546"/>
      <w:bookmarkStart w:id="1444" w:name="_Toc453849316"/>
      <w:r>
        <w:t>Ownership and Authorship</w:t>
      </w:r>
      <w:bookmarkEnd w:id="1443"/>
      <w:bookmarkEnd w:id="1444"/>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232"/>
        <w:gridCol w:w="1105"/>
        <w:gridCol w:w="1708"/>
        <w:gridCol w:w="2141"/>
        <w:gridCol w:w="3390"/>
      </w:tblGrid>
      <w:tr w:rsidR="00F470E4" w:rsidRPr="00E267FF" w14:paraId="791A4726" w14:textId="77777777" w:rsidTr="00742E2C">
        <w:trPr>
          <w:trHeight w:val="246"/>
        </w:trPr>
        <w:tc>
          <w:tcPr>
            <w:tcW w:w="643" w:type="pct"/>
            <w:tcBorders>
              <w:top w:val="single" w:sz="6" w:space="0" w:color="auto"/>
              <w:left w:val="single" w:sz="6" w:space="0" w:color="auto"/>
              <w:bottom w:val="single" w:sz="6" w:space="0" w:color="auto"/>
              <w:right w:val="single" w:sz="6" w:space="0" w:color="auto"/>
            </w:tcBorders>
            <w:shd w:val="clear" w:color="auto" w:fill="FF0000"/>
            <w:vAlign w:val="center"/>
          </w:tcPr>
          <w:p w14:paraId="74C6A732" w14:textId="77777777" w:rsidR="00F470E4" w:rsidRPr="00E267FF" w:rsidRDefault="00F470E4" w:rsidP="00742E2C">
            <w:pPr>
              <w:overflowPunct w:val="0"/>
              <w:autoSpaceDE w:val="0"/>
              <w:autoSpaceDN w:val="0"/>
              <w:adjustRightInd w:val="0"/>
              <w:spacing w:before="120" w:after="0"/>
              <w:jc w:val="both"/>
              <w:textAlignment w:val="baseline"/>
              <w:rPr>
                <w:rFonts w:eastAsia="Times New Roman" w:cs="Calibri"/>
                <w:b/>
                <w:bCs/>
                <w:snapToGrid w:val="0"/>
                <w:color w:val="FFFFFF"/>
                <w:sz w:val="20"/>
                <w:szCs w:val="20"/>
              </w:rPr>
            </w:pPr>
            <w:r w:rsidRPr="00E267FF">
              <w:rPr>
                <w:rFonts w:eastAsia="Times New Roman" w:cs="Calibri"/>
                <w:b/>
                <w:bCs/>
                <w:snapToGrid w:val="0"/>
                <w:color w:val="FFFFFF"/>
                <w:sz w:val="20"/>
                <w:szCs w:val="20"/>
              </w:rPr>
              <w:t>Version</w:t>
            </w:r>
          </w:p>
        </w:tc>
        <w:tc>
          <w:tcPr>
            <w:tcW w:w="577" w:type="pct"/>
            <w:tcBorders>
              <w:top w:val="single" w:sz="6" w:space="0" w:color="auto"/>
              <w:left w:val="single" w:sz="6" w:space="0" w:color="auto"/>
              <w:bottom w:val="single" w:sz="6" w:space="0" w:color="auto"/>
              <w:right w:val="single" w:sz="6" w:space="0" w:color="auto"/>
            </w:tcBorders>
            <w:shd w:val="clear" w:color="auto" w:fill="FF0000"/>
          </w:tcPr>
          <w:p w14:paraId="04091FC8" w14:textId="77777777" w:rsidR="00F470E4" w:rsidRPr="00E267FF" w:rsidRDefault="00F470E4" w:rsidP="00742E2C">
            <w:pPr>
              <w:overflowPunct w:val="0"/>
              <w:autoSpaceDE w:val="0"/>
              <w:autoSpaceDN w:val="0"/>
              <w:adjustRightInd w:val="0"/>
              <w:spacing w:before="120" w:after="0"/>
              <w:jc w:val="both"/>
              <w:textAlignment w:val="baseline"/>
              <w:rPr>
                <w:rFonts w:eastAsia="Times New Roman" w:cs="Calibri"/>
                <w:b/>
                <w:bCs/>
                <w:snapToGrid w:val="0"/>
                <w:color w:val="FFFFFF"/>
                <w:sz w:val="20"/>
                <w:szCs w:val="20"/>
              </w:rPr>
            </w:pPr>
            <w:r w:rsidRPr="00E267FF">
              <w:rPr>
                <w:rFonts w:eastAsia="Times New Roman" w:cs="Calibri"/>
                <w:b/>
                <w:bCs/>
                <w:snapToGrid w:val="0"/>
                <w:color w:val="FFFFFF"/>
                <w:sz w:val="20"/>
                <w:szCs w:val="20"/>
              </w:rPr>
              <w:t>Date</w:t>
            </w:r>
          </w:p>
        </w:tc>
        <w:tc>
          <w:tcPr>
            <w:tcW w:w="892" w:type="pct"/>
            <w:tcBorders>
              <w:top w:val="single" w:sz="6" w:space="0" w:color="auto"/>
              <w:left w:val="single" w:sz="6" w:space="0" w:color="auto"/>
              <w:bottom w:val="single" w:sz="6" w:space="0" w:color="auto"/>
              <w:right w:val="single" w:sz="6" w:space="0" w:color="auto"/>
            </w:tcBorders>
            <w:shd w:val="clear" w:color="auto" w:fill="FF0000"/>
            <w:vAlign w:val="center"/>
          </w:tcPr>
          <w:p w14:paraId="6D14DD72" w14:textId="77777777" w:rsidR="00F470E4" w:rsidRPr="00E267FF" w:rsidRDefault="00F470E4" w:rsidP="00742E2C">
            <w:pPr>
              <w:overflowPunct w:val="0"/>
              <w:autoSpaceDE w:val="0"/>
              <w:autoSpaceDN w:val="0"/>
              <w:adjustRightInd w:val="0"/>
              <w:spacing w:before="120" w:after="0"/>
              <w:jc w:val="both"/>
              <w:textAlignment w:val="baseline"/>
              <w:rPr>
                <w:rFonts w:eastAsia="Times New Roman" w:cs="Calibri"/>
                <w:b/>
                <w:bCs/>
                <w:snapToGrid w:val="0"/>
                <w:color w:val="FFFFFF"/>
                <w:sz w:val="20"/>
                <w:szCs w:val="20"/>
              </w:rPr>
            </w:pPr>
            <w:r w:rsidRPr="00E267FF">
              <w:rPr>
                <w:rFonts w:eastAsia="Times New Roman" w:cs="Calibri"/>
                <w:b/>
                <w:bCs/>
                <w:snapToGrid w:val="0"/>
                <w:color w:val="FFFFFF"/>
                <w:sz w:val="20"/>
                <w:szCs w:val="20"/>
              </w:rPr>
              <w:t>Author</w:t>
            </w:r>
          </w:p>
        </w:tc>
        <w:tc>
          <w:tcPr>
            <w:tcW w:w="1118" w:type="pct"/>
            <w:tcBorders>
              <w:top w:val="single" w:sz="6" w:space="0" w:color="auto"/>
              <w:left w:val="single" w:sz="6" w:space="0" w:color="auto"/>
              <w:bottom w:val="single" w:sz="6" w:space="0" w:color="auto"/>
              <w:right w:val="single" w:sz="6" w:space="0" w:color="auto"/>
            </w:tcBorders>
            <w:shd w:val="clear" w:color="auto" w:fill="FF0000"/>
          </w:tcPr>
          <w:p w14:paraId="54805B8B" w14:textId="77777777" w:rsidR="00F470E4" w:rsidRPr="00E267FF" w:rsidRDefault="00F470E4" w:rsidP="00742E2C">
            <w:pPr>
              <w:overflowPunct w:val="0"/>
              <w:autoSpaceDE w:val="0"/>
              <w:autoSpaceDN w:val="0"/>
              <w:adjustRightInd w:val="0"/>
              <w:spacing w:before="120" w:after="0"/>
              <w:jc w:val="both"/>
              <w:textAlignment w:val="baseline"/>
              <w:rPr>
                <w:rFonts w:eastAsia="Times New Roman" w:cs="Calibri"/>
                <w:b/>
                <w:bCs/>
                <w:snapToGrid w:val="0"/>
                <w:color w:val="FFFFFF"/>
                <w:sz w:val="20"/>
                <w:szCs w:val="20"/>
              </w:rPr>
            </w:pPr>
            <w:r w:rsidRPr="00E267FF">
              <w:rPr>
                <w:rFonts w:eastAsia="Times New Roman" w:cs="Calibri"/>
                <w:b/>
                <w:bCs/>
                <w:snapToGrid w:val="0"/>
                <w:color w:val="FFFFFF"/>
                <w:sz w:val="20"/>
                <w:szCs w:val="20"/>
              </w:rPr>
              <w:t>Owner</w:t>
            </w:r>
          </w:p>
        </w:tc>
        <w:tc>
          <w:tcPr>
            <w:tcW w:w="1770" w:type="pct"/>
            <w:tcBorders>
              <w:top w:val="single" w:sz="6" w:space="0" w:color="auto"/>
              <w:left w:val="single" w:sz="6" w:space="0" w:color="auto"/>
              <w:bottom w:val="single" w:sz="6" w:space="0" w:color="auto"/>
              <w:right w:val="single" w:sz="6" w:space="0" w:color="auto"/>
            </w:tcBorders>
            <w:shd w:val="clear" w:color="auto" w:fill="FF0000"/>
          </w:tcPr>
          <w:p w14:paraId="5B44CA85" w14:textId="77777777" w:rsidR="00F470E4" w:rsidRPr="00E267FF" w:rsidRDefault="00F470E4" w:rsidP="00742E2C">
            <w:pPr>
              <w:overflowPunct w:val="0"/>
              <w:autoSpaceDE w:val="0"/>
              <w:autoSpaceDN w:val="0"/>
              <w:adjustRightInd w:val="0"/>
              <w:spacing w:before="120" w:after="0"/>
              <w:jc w:val="both"/>
              <w:textAlignment w:val="baseline"/>
              <w:rPr>
                <w:rFonts w:eastAsia="Times New Roman" w:cs="Calibri"/>
                <w:b/>
                <w:bCs/>
                <w:snapToGrid w:val="0"/>
                <w:color w:val="FFFFFF"/>
                <w:sz w:val="20"/>
                <w:szCs w:val="20"/>
              </w:rPr>
            </w:pPr>
            <w:r w:rsidRPr="00E267FF">
              <w:rPr>
                <w:rFonts w:eastAsia="Times New Roman" w:cs="Calibri"/>
                <w:b/>
                <w:bCs/>
                <w:snapToGrid w:val="0"/>
                <w:color w:val="FFFFFF"/>
                <w:sz w:val="20"/>
                <w:szCs w:val="20"/>
              </w:rPr>
              <w:t>Change</w:t>
            </w:r>
          </w:p>
        </w:tc>
      </w:tr>
      <w:tr w:rsidR="00F470E4" w:rsidRPr="00E267FF" w14:paraId="5438644D" w14:textId="77777777" w:rsidTr="00742E2C">
        <w:trPr>
          <w:trHeight w:val="206"/>
        </w:trPr>
        <w:tc>
          <w:tcPr>
            <w:tcW w:w="643" w:type="pct"/>
            <w:tcBorders>
              <w:top w:val="single" w:sz="6" w:space="0" w:color="auto"/>
              <w:left w:val="single" w:sz="6" w:space="0" w:color="auto"/>
              <w:bottom w:val="single" w:sz="6" w:space="0" w:color="auto"/>
              <w:right w:val="single" w:sz="6" w:space="0" w:color="auto"/>
            </w:tcBorders>
          </w:tcPr>
          <w:p w14:paraId="00288029" w14:textId="77777777" w:rsidR="00F470E4" w:rsidRPr="00E267FF" w:rsidRDefault="00F470E4" w:rsidP="00742E2C">
            <w:pPr>
              <w:overflowPunct w:val="0"/>
              <w:autoSpaceDE w:val="0"/>
              <w:autoSpaceDN w:val="0"/>
              <w:adjustRightInd w:val="0"/>
              <w:spacing w:before="120" w:after="0"/>
              <w:jc w:val="both"/>
              <w:textAlignment w:val="baseline"/>
              <w:rPr>
                <w:rFonts w:eastAsia="Times New Roman" w:cs="Calibri"/>
                <w:snapToGrid w:val="0"/>
                <w:sz w:val="20"/>
                <w:szCs w:val="20"/>
              </w:rPr>
            </w:pPr>
            <w:r w:rsidRPr="00E267FF">
              <w:rPr>
                <w:rFonts w:eastAsia="Times New Roman" w:cs="Calibri"/>
                <w:snapToGrid w:val="0"/>
                <w:sz w:val="20"/>
                <w:szCs w:val="20"/>
              </w:rPr>
              <w:t>1.0</w:t>
            </w:r>
          </w:p>
        </w:tc>
        <w:tc>
          <w:tcPr>
            <w:tcW w:w="577" w:type="pct"/>
            <w:tcBorders>
              <w:top w:val="single" w:sz="6" w:space="0" w:color="auto"/>
              <w:left w:val="single" w:sz="6" w:space="0" w:color="auto"/>
              <w:bottom w:val="single" w:sz="6" w:space="0" w:color="auto"/>
              <w:right w:val="single" w:sz="6" w:space="0" w:color="auto"/>
            </w:tcBorders>
          </w:tcPr>
          <w:p w14:paraId="2CC9420B" w14:textId="77777777" w:rsidR="00F470E4" w:rsidRPr="00E267FF" w:rsidRDefault="000A5700" w:rsidP="00742E2C">
            <w:pPr>
              <w:overflowPunct w:val="0"/>
              <w:autoSpaceDE w:val="0"/>
              <w:autoSpaceDN w:val="0"/>
              <w:adjustRightInd w:val="0"/>
              <w:spacing w:before="120" w:after="0"/>
              <w:jc w:val="both"/>
              <w:textAlignment w:val="baseline"/>
              <w:rPr>
                <w:rFonts w:eastAsia="Times New Roman" w:cs="Calibri"/>
                <w:snapToGrid w:val="0"/>
                <w:sz w:val="20"/>
                <w:szCs w:val="20"/>
              </w:rPr>
            </w:pPr>
            <w:r>
              <w:rPr>
                <w:rFonts w:eastAsia="Times New Roman" w:cs="Calibri"/>
                <w:snapToGrid w:val="0"/>
                <w:sz w:val="20"/>
                <w:szCs w:val="20"/>
              </w:rPr>
              <w:t>January 2016</w:t>
            </w:r>
          </w:p>
        </w:tc>
        <w:tc>
          <w:tcPr>
            <w:tcW w:w="892" w:type="pct"/>
            <w:tcBorders>
              <w:top w:val="single" w:sz="6" w:space="0" w:color="auto"/>
              <w:left w:val="single" w:sz="6" w:space="0" w:color="auto"/>
              <w:bottom w:val="single" w:sz="6" w:space="0" w:color="auto"/>
              <w:right w:val="single" w:sz="6" w:space="0" w:color="auto"/>
            </w:tcBorders>
          </w:tcPr>
          <w:p w14:paraId="3FF76CB9" w14:textId="77777777" w:rsidR="00F470E4" w:rsidRPr="00E267FF" w:rsidRDefault="000A5700" w:rsidP="00742E2C">
            <w:pPr>
              <w:overflowPunct w:val="0"/>
              <w:autoSpaceDE w:val="0"/>
              <w:autoSpaceDN w:val="0"/>
              <w:adjustRightInd w:val="0"/>
              <w:spacing w:before="120" w:after="0"/>
              <w:jc w:val="both"/>
              <w:textAlignment w:val="baseline"/>
              <w:rPr>
                <w:rFonts w:eastAsia="Times New Roman" w:cs="Calibri"/>
                <w:snapToGrid w:val="0"/>
                <w:sz w:val="20"/>
                <w:szCs w:val="20"/>
              </w:rPr>
            </w:pPr>
            <w:r>
              <w:rPr>
                <w:rFonts w:eastAsia="Times New Roman" w:cs="Calibri"/>
                <w:snapToGrid w:val="0"/>
                <w:sz w:val="20"/>
                <w:szCs w:val="20"/>
              </w:rPr>
              <w:t xml:space="preserve">SHUSA </w:t>
            </w:r>
            <w:r w:rsidR="00F470E4">
              <w:rPr>
                <w:rFonts w:eastAsia="Times New Roman" w:cs="Calibri"/>
                <w:snapToGrid w:val="0"/>
                <w:sz w:val="20"/>
                <w:szCs w:val="20"/>
              </w:rPr>
              <w:t>Risk Appetite Team</w:t>
            </w:r>
          </w:p>
        </w:tc>
        <w:tc>
          <w:tcPr>
            <w:tcW w:w="1118" w:type="pct"/>
            <w:tcBorders>
              <w:top w:val="single" w:sz="6" w:space="0" w:color="auto"/>
              <w:left w:val="single" w:sz="6" w:space="0" w:color="auto"/>
              <w:bottom w:val="single" w:sz="6" w:space="0" w:color="auto"/>
              <w:right w:val="single" w:sz="6" w:space="0" w:color="auto"/>
            </w:tcBorders>
          </w:tcPr>
          <w:p w14:paraId="1212DD6F" w14:textId="77777777" w:rsidR="00F470E4" w:rsidRPr="00E267FF" w:rsidRDefault="00F470E4" w:rsidP="00742E2C">
            <w:pPr>
              <w:overflowPunct w:val="0"/>
              <w:autoSpaceDE w:val="0"/>
              <w:autoSpaceDN w:val="0"/>
              <w:adjustRightInd w:val="0"/>
              <w:spacing w:before="120" w:after="0"/>
              <w:jc w:val="both"/>
              <w:textAlignment w:val="baseline"/>
              <w:rPr>
                <w:rFonts w:eastAsia="Times New Roman" w:cs="Calibri"/>
                <w:snapToGrid w:val="0"/>
                <w:sz w:val="20"/>
                <w:szCs w:val="20"/>
              </w:rPr>
            </w:pPr>
            <w:r w:rsidRPr="00F2499F">
              <w:rPr>
                <w:rFonts w:eastAsia="Times New Roman" w:cs="Calibri"/>
                <w:snapToGrid w:val="0"/>
                <w:sz w:val="20"/>
                <w:szCs w:val="20"/>
              </w:rPr>
              <w:t>SHUSA Risk Appetite Team</w:t>
            </w:r>
          </w:p>
        </w:tc>
        <w:tc>
          <w:tcPr>
            <w:tcW w:w="1770" w:type="pct"/>
            <w:tcBorders>
              <w:top w:val="single" w:sz="6" w:space="0" w:color="auto"/>
              <w:left w:val="single" w:sz="6" w:space="0" w:color="auto"/>
              <w:bottom w:val="single" w:sz="6" w:space="0" w:color="auto"/>
              <w:right w:val="single" w:sz="6" w:space="0" w:color="auto"/>
            </w:tcBorders>
          </w:tcPr>
          <w:p w14:paraId="78C5B833" w14:textId="77777777" w:rsidR="00F470E4" w:rsidRPr="00E267FF" w:rsidRDefault="00F470E4" w:rsidP="00742E2C">
            <w:pPr>
              <w:overflowPunct w:val="0"/>
              <w:autoSpaceDE w:val="0"/>
              <w:autoSpaceDN w:val="0"/>
              <w:adjustRightInd w:val="0"/>
              <w:spacing w:before="120" w:after="0"/>
              <w:jc w:val="both"/>
              <w:textAlignment w:val="baseline"/>
              <w:rPr>
                <w:rFonts w:eastAsia="Times New Roman" w:cs="Calibri"/>
                <w:snapToGrid w:val="0"/>
                <w:sz w:val="20"/>
                <w:szCs w:val="20"/>
              </w:rPr>
            </w:pPr>
            <w:r>
              <w:rPr>
                <w:rFonts w:eastAsia="Times New Roman" w:cs="Calibri"/>
                <w:snapToGrid w:val="0"/>
                <w:sz w:val="20"/>
                <w:szCs w:val="20"/>
              </w:rPr>
              <w:t>First SHUSA Risk Appetite Metrics Glossary</w:t>
            </w:r>
          </w:p>
        </w:tc>
      </w:tr>
      <w:tr w:rsidR="00F470E4" w:rsidRPr="00E267FF" w14:paraId="161620F4" w14:textId="77777777" w:rsidTr="00742E2C">
        <w:trPr>
          <w:trHeight w:val="339"/>
        </w:trPr>
        <w:tc>
          <w:tcPr>
            <w:tcW w:w="643" w:type="pct"/>
            <w:tcBorders>
              <w:top w:val="single" w:sz="6" w:space="0" w:color="auto"/>
              <w:left w:val="single" w:sz="6" w:space="0" w:color="auto"/>
              <w:bottom w:val="single" w:sz="6" w:space="0" w:color="auto"/>
              <w:right w:val="single" w:sz="6" w:space="0" w:color="auto"/>
            </w:tcBorders>
          </w:tcPr>
          <w:p w14:paraId="126CCDD8" w14:textId="77777777" w:rsidR="00F470E4" w:rsidRPr="00E267FF" w:rsidRDefault="00531C85" w:rsidP="00742E2C">
            <w:pPr>
              <w:overflowPunct w:val="0"/>
              <w:autoSpaceDE w:val="0"/>
              <w:autoSpaceDN w:val="0"/>
              <w:adjustRightInd w:val="0"/>
              <w:spacing w:before="120" w:after="0"/>
              <w:jc w:val="both"/>
              <w:textAlignment w:val="baseline"/>
              <w:rPr>
                <w:rFonts w:eastAsia="Times New Roman" w:cs="Calibri"/>
                <w:snapToGrid w:val="0"/>
                <w:sz w:val="20"/>
                <w:szCs w:val="20"/>
              </w:rPr>
            </w:pPr>
            <w:r>
              <w:rPr>
                <w:rFonts w:eastAsia="Times New Roman" w:cs="Calibri"/>
                <w:snapToGrid w:val="0"/>
                <w:sz w:val="20"/>
                <w:szCs w:val="20"/>
              </w:rPr>
              <w:t>2.0</w:t>
            </w:r>
          </w:p>
        </w:tc>
        <w:tc>
          <w:tcPr>
            <w:tcW w:w="577" w:type="pct"/>
            <w:tcBorders>
              <w:top w:val="single" w:sz="6" w:space="0" w:color="auto"/>
              <w:left w:val="single" w:sz="6" w:space="0" w:color="auto"/>
              <w:bottom w:val="single" w:sz="6" w:space="0" w:color="auto"/>
              <w:right w:val="single" w:sz="6" w:space="0" w:color="auto"/>
            </w:tcBorders>
          </w:tcPr>
          <w:p w14:paraId="73219236" w14:textId="77777777" w:rsidR="00F470E4" w:rsidRPr="00E267FF" w:rsidRDefault="00531C85" w:rsidP="00742E2C">
            <w:pPr>
              <w:overflowPunct w:val="0"/>
              <w:autoSpaceDE w:val="0"/>
              <w:autoSpaceDN w:val="0"/>
              <w:adjustRightInd w:val="0"/>
              <w:spacing w:before="120" w:after="0"/>
              <w:jc w:val="both"/>
              <w:textAlignment w:val="baseline"/>
              <w:rPr>
                <w:rFonts w:eastAsia="Times New Roman" w:cs="Calibri"/>
                <w:snapToGrid w:val="0"/>
                <w:sz w:val="20"/>
                <w:szCs w:val="20"/>
              </w:rPr>
            </w:pPr>
            <w:r>
              <w:rPr>
                <w:rFonts w:eastAsia="Times New Roman" w:cs="Calibri"/>
                <w:snapToGrid w:val="0"/>
                <w:sz w:val="20"/>
                <w:szCs w:val="20"/>
              </w:rPr>
              <w:t>June 2016</w:t>
            </w:r>
          </w:p>
        </w:tc>
        <w:tc>
          <w:tcPr>
            <w:tcW w:w="892" w:type="pct"/>
            <w:tcBorders>
              <w:top w:val="single" w:sz="6" w:space="0" w:color="auto"/>
              <w:left w:val="single" w:sz="6" w:space="0" w:color="auto"/>
              <w:bottom w:val="single" w:sz="6" w:space="0" w:color="auto"/>
              <w:right w:val="single" w:sz="6" w:space="0" w:color="auto"/>
            </w:tcBorders>
          </w:tcPr>
          <w:p w14:paraId="69F30B0A" w14:textId="77777777" w:rsidR="00F470E4" w:rsidRPr="00E267FF" w:rsidRDefault="00531C85" w:rsidP="00742E2C">
            <w:pPr>
              <w:overflowPunct w:val="0"/>
              <w:autoSpaceDE w:val="0"/>
              <w:autoSpaceDN w:val="0"/>
              <w:adjustRightInd w:val="0"/>
              <w:spacing w:before="120" w:after="0"/>
              <w:jc w:val="both"/>
              <w:textAlignment w:val="baseline"/>
              <w:rPr>
                <w:rFonts w:eastAsia="Times New Roman" w:cs="Calibri"/>
                <w:snapToGrid w:val="0"/>
                <w:sz w:val="20"/>
                <w:szCs w:val="20"/>
              </w:rPr>
            </w:pPr>
            <w:r>
              <w:rPr>
                <w:rFonts w:eastAsia="Times New Roman" w:cs="Calibri"/>
                <w:snapToGrid w:val="0"/>
                <w:sz w:val="20"/>
                <w:szCs w:val="20"/>
              </w:rPr>
              <w:t>SHUSA Risk Appetite Team</w:t>
            </w:r>
          </w:p>
        </w:tc>
        <w:tc>
          <w:tcPr>
            <w:tcW w:w="1118" w:type="pct"/>
            <w:tcBorders>
              <w:top w:val="single" w:sz="6" w:space="0" w:color="auto"/>
              <w:left w:val="single" w:sz="6" w:space="0" w:color="auto"/>
              <w:bottom w:val="single" w:sz="6" w:space="0" w:color="auto"/>
              <w:right w:val="single" w:sz="6" w:space="0" w:color="auto"/>
            </w:tcBorders>
          </w:tcPr>
          <w:p w14:paraId="2BFB6E5A" w14:textId="77777777" w:rsidR="00F470E4" w:rsidRPr="00E267FF" w:rsidRDefault="00531C85" w:rsidP="00742E2C">
            <w:pPr>
              <w:overflowPunct w:val="0"/>
              <w:autoSpaceDE w:val="0"/>
              <w:autoSpaceDN w:val="0"/>
              <w:adjustRightInd w:val="0"/>
              <w:spacing w:before="120" w:after="0"/>
              <w:jc w:val="both"/>
              <w:textAlignment w:val="baseline"/>
              <w:rPr>
                <w:rFonts w:eastAsia="Times New Roman" w:cs="Calibri"/>
                <w:snapToGrid w:val="0"/>
                <w:sz w:val="20"/>
                <w:szCs w:val="20"/>
              </w:rPr>
            </w:pPr>
            <w:r w:rsidRPr="00F2499F">
              <w:rPr>
                <w:rFonts w:eastAsia="Times New Roman" w:cs="Calibri"/>
                <w:snapToGrid w:val="0"/>
                <w:sz w:val="20"/>
                <w:szCs w:val="20"/>
              </w:rPr>
              <w:t>SHUSA Risk Appetite Team</w:t>
            </w:r>
          </w:p>
        </w:tc>
        <w:tc>
          <w:tcPr>
            <w:tcW w:w="1770" w:type="pct"/>
            <w:tcBorders>
              <w:top w:val="single" w:sz="6" w:space="0" w:color="auto"/>
              <w:left w:val="single" w:sz="6" w:space="0" w:color="auto"/>
              <w:bottom w:val="single" w:sz="6" w:space="0" w:color="auto"/>
              <w:right w:val="single" w:sz="6" w:space="0" w:color="auto"/>
            </w:tcBorders>
          </w:tcPr>
          <w:p w14:paraId="67C545DD" w14:textId="22476F12" w:rsidR="00F470E4" w:rsidRPr="00E267FF" w:rsidRDefault="00954954" w:rsidP="00742E2C">
            <w:pPr>
              <w:overflowPunct w:val="0"/>
              <w:autoSpaceDE w:val="0"/>
              <w:autoSpaceDN w:val="0"/>
              <w:adjustRightInd w:val="0"/>
              <w:spacing w:before="120" w:after="0"/>
              <w:jc w:val="both"/>
              <w:textAlignment w:val="baseline"/>
              <w:rPr>
                <w:rFonts w:eastAsia="Times New Roman" w:cs="Calibri"/>
                <w:snapToGrid w:val="0"/>
                <w:sz w:val="20"/>
                <w:szCs w:val="20"/>
              </w:rPr>
            </w:pPr>
            <w:r>
              <w:rPr>
                <w:rFonts w:eastAsia="Times New Roman" w:cs="Calibri"/>
                <w:snapToGrid w:val="0"/>
                <w:sz w:val="20"/>
                <w:szCs w:val="20"/>
              </w:rPr>
              <w:t xml:space="preserve">Updated to reflect the 2016 Annual setting of the RAS </w:t>
            </w:r>
          </w:p>
        </w:tc>
      </w:tr>
      <w:tr w:rsidR="00F470E4" w:rsidRPr="00E267FF" w14:paraId="5CCA9D7D" w14:textId="77777777" w:rsidTr="00742E2C">
        <w:trPr>
          <w:trHeight w:val="339"/>
        </w:trPr>
        <w:tc>
          <w:tcPr>
            <w:tcW w:w="643" w:type="pct"/>
            <w:tcBorders>
              <w:top w:val="single" w:sz="6" w:space="0" w:color="auto"/>
              <w:left w:val="single" w:sz="6" w:space="0" w:color="auto"/>
              <w:bottom w:val="single" w:sz="6" w:space="0" w:color="auto"/>
              <w:right w:val="single" w:sz="6" w:space="0" w:color="auto"/>
            </w:tcBorders>
          </w:tcPr>
          <w:p w14:paraId="69FAF92B" w14:textId="77777777" w:rsidR="00F470E4" w:rsidRPr="00E267FF" w:rsidRDefault="00F470E4" w:rsidP="00742E2C">
            <w:pPr>
              <w:overflowPunct w:val="0"/>
              <w:autoSpaceDE w:val="0"/>
              <w:autoSpaceDN w:val="0"/>
              <w:adjustRightInd w:val="0"/>
              <w:spacing w:before="120" w:after="0"/>
              <w:jc w:val="both"/>
              <w:textAlignment w:val="baseline"/>
              <w:rPr>
                <w:rFonts w:eastAsia="Times New Roman" w:cs="Calibri"/>
                <w:snapToGrid w:val="0"/>
                <w:sz w:val="20"/>
                <w:szCs w:val="20"/>
              </w:rPr>
            </w:pPr>
          </w:p>
        </w:tc>
        <w:tc>
          <w:tcPr>
            <w:tcW w:w="577" w:type="pct"/>
            <w:tcBorders>
              <w:top w:val="single" w:sz="6" w:space="0" w:color="auto"/>
              <w:left w:val="single" w:sz="6" w:space="0" w:color="auto"/>
              <w:bottom w:val="single" w:sz="6" w:space="0" w:color="auto"/>
              <w:right w:val="single" w:sz="6" w:space="0" w:color="auto"/>
            </w:tcBorders>
          </w:tcPr>
          <w:p w14:paraId="5C35E03A" w14:textId="77777777" w:rsidR="00F470E4" w:rsidRPr="00E267FF" w:rsidRDefault="00F470E4" w:rsidP="00742E2C">
            <w:pPr>
              <w:overflowPunct w:val="0"/>
              <w:autoSpaceDE w:val="0"/>
              <w:autoSpaceDN w:val="0"/>
              <w:adjustRightInd w:val="0"/>
              <w:spacing w:before="120" w:after="0"/>
              <w:jc w:val="both"/>
              <w:textAlignment w:val="baseline"/>
              <w:rPr>
                <w:rFonts w:eastAsia="Times New Roman" w:cs="Calibri"/>
                <w:snapToGrid w:val="0"/>
                <w:sz w:val="20"/>
                <w:szCs w:val="20"/>
              </w:rPr>
            </w:pPr>
          </w:p>
        </w:tc>
        <w:tc>
          <w:tcPr>
            <w:tcW w:w="892" w:type="pct"/>
            <w:tcBorders>
              <w:top w:val="single" w:sz="6" w:space="0" w:color="auto"/>
              <w:left w:val="single" w:sz="6" w:space="0" w:color="auto"/>
              <w:bottom w:val="single" w:sz="6" w:space="0" w:color="auto"/>
              <w:right w:val="single" w:sz="6" w:space="0" w:color="auto"/>
            </w:tcBorders>
          </w:tcPr>
          <w:p w14:paraId="19E809B5" w14:textId="77777777" w:rsidR="00F470E4" w:rsidRPr="00E267FF" w:rsidRDefault="00F470E4" w:rsidP="00742E2C">
            <w:pPr>
              <w:overflowPunct w:val="0"/>
              <w:autoSpaceDE w:val="0"/>
              <w:autoSpaceDN w:val="0"/>
              <w:adjustRightInd w:val="0"/>
              <w:spacing w:before="120" w:after="0"/>
              <w:jc w:val="both"/>
              <w:textAlignment w:val="baseline"/>
              <w:rPr>
                <w:rFonts w:eastAsia="Times New Roman" w:cs="Calibri"/>
                <w:snapToGrid w:val="0"/>
                <w:sz w:val="20"/>
                <w:szCs w:val="20"/>
              </w:rPr>
            </w:pPr>
          </w:p>
        </w:tc>
        <w:tc>
          <w:tcPr>
            <w:tcW w:w="1118" w:type="pct"/>
            <w:tcBorders>
              <w:top w:val="single" w:sz="6" w:space="0" w:color="auto"/>
              <w:left w:val="single" w:sz="6" w:space="0" w:color="auto"/>
              <w:bottom w:val="single" w:sz="6" w:space="0" w:color="auto"/>
              <w:right w:val="single" w:sz="6" w:space="0" w:color="auto"/>
            </w:tcBorders>
          </w:tcPr>
          <w:p w14:paraId="75C92929" w14:textId="77777777" w:rsidR="00F470E4" w:rsidRPr="00E267FF" w:rsidRDefault="00F470E4" w:rsidP="00742E2C">
            <w:pPr>
              <w:overflowPunct w:val="0"/>
              <w:autoSpaceDE w:val="0"/>
              <w:autoSpaceDN w:val="0"/>
              <w:adjustRightInd w:val="0"/>
              <w:spacing w:before="120" w:after="0"/>
              <w:jc w:val="both"/>
              <w:textAlignment w:val="baseline"/>
              <w:rPr>
                <w:rFonts w:eastAsia="Times New Roman" w:cs="Calibri"/>
                <w:snapToGrid w:val="0"/>
                <w:sz w:val="20"/>
                <w:szCs w:val="20"/>
              </w:rPr>
            </w:pPr>
          </w:p>
        </w:tc>
        <w:tc>
          <w:tcPr>
            <w:tcW w:w="1770" w:type="pct"/>
            <w:tcBorders>
              <w:top w:val="single" w:sz="6" w:space="0" w:color="auto"/>
              <w:left w:val="single" w:sz="6" w:space="0" w:color="auto"/>
              <w:bottom w:val="single" w:sz="6" w:space="0" w:color="auto"/>
              <w:right w:val="single" w:sz="6" w:space="0" w:color="auto"/>
            </w:tcBorders>
          </w:tcPr>
          <w:p w14:paraId="413D03E1" w14:textId="77777777" w:rsidR="00F470E4" w:rsidRPr="00E267FF" w:rsidRDefault="00F470E4" w:rsidP="00742E2C">
            <w:pPr>
              <w:overflowPunct w:val="0"/>
              <w:autoSpaceDE w:val="0"/>
              <w:autoSpaceDN w:val="0"/>
              <w:adjustRightInd w:val="0"/>
              <w:spacing w:before="120" w:after="0"/>
              <w:jc w:val="both"/>
              <w:textAlignment w:val="baseline"/>
              <w:rPr>
                <w:rFonts w:eastAsia="Times New Roman" w:cs="Calibri"/>
                <w:snapToGrid w:val="0"/>
                <w:sz w:val="20"/>
                <w:szCs w:val="20"/>
              </w:rPr>
            </w:pPr>
          </w:p>
        </w:tc>
      </w:tr>
    </w:tbl>
    <w:p w14:paraId="64089A93" w14:textId="77777777" w:rsidR="00F470E4" w:rsidRDefault="00F470E4" w:rsidP="00954954">
      <w:pPr>
        <w:pStyle w:val="SANUS2"/>
        <w:numPr>
          <w:ilvl w:val="1"/>
          <w:numId w:val="3"/>
        </w:numPr>
        <w:tabs>
          <w:tab w:val="left" w:pos="1170"/>
        </w:tabs>
        <w:ind w:left="360"/>
      </w:pPr>
      <w:bookmarkStart w:id="1445" w:name="_Toc452544547"/>
      <w:bookmarkStart w:id="1446" w:name="_Toc453849317"/>
      <w:r>
        <w:t>Sign Off</w:t>
      </w:r>
      <w:bookmarkEnd w:id="1445"/>
      <w:bookmarkEnd w:id="1446"/>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4100"/>
        <w:gridCol w:w="3172"/>
        <w:gridCol w:w="2304"/>
      </w:tblGrid>
      <w:tr w:rsidR="00F470E4" w:rsidRPr="00E267FF" w14:paraId="664007F1" w14:textId="77777777" w:rsidTr="00742E2C">
        <w:trPr>
          <w:trHeight w:val="246"/>
        </w:trPr>
        <w:tc>
          <w:tcPr>
            <w:tcW w:w="2141" w:type="pct"/>
            <w:tcBorders>
              <w:top w:val="single" w:sz="6" w:space="0" w:color="auto"/>
              <w:left w:val="single" w:sz="6" w:space="0" w:color="auto"/>
              <w:bottom w:val="single" w:sz="6" w:space="0" w:color="auto"/>
              <w:right w:val="single" w:sz="6" w:space="0" w:color="auto"/>
            </w:tcBorders>
            <w:shd w:val="clear" w:color="auto" w:fill="FF0000"/>
            <w:vAlign w:val="center"/>
          </w:tcPr>
          <w:p w14:paraId="391EF542" w14:textId="77777777" w:rsidR="00F470E4" w:rsidRPr="00E267FF" w:rsidRDefault="00F470E4" w:rsidP="00742E2C">
            <w:pPr>
              <w:overflowPunct w:val="0"/>
              <w:autoSpaceDE w:val="0"/>
              <w:autoSpaceDN w:val="0"/>
              <w:adjustRightInd w:val="0"/>
              <w:spacing w:before="120" w:after="0"/>
              <w:jc w:val="both"/>
              <w:textAlignment w:val="baseline"/>
              <w:rPr>
                <w:rFonts w:eastAsia="Times New Roman" w:cs="Calibri"/>
                <w:b/>
                <w:bCs/>
                <w:snapToGrid w:val="0"/>
                <w:color w:val="FFFFFF"/>
                <w:sz w:val="20"/>
                <w:szCs w:val="20"/>
              </w:rPr>
            </w:pPr>
            <w:r w:rsidRPr="00E267FF">
              <w:rPr>
                <w:rFonts w:eastAsia="Times New Roman" w:cs="Calibri"/>
                <w:b/>
                <w:bCs/>
                <w:snapToGrid w:val="0"/>
                <w:color w:val="FFFFFF"/>
                <w:sz w:val="20"/>
                <w:szCs w:val="20"/>
              </w:rPr>
              <w:t>Approving Body</w:t>
            </w:r>
          </w:p>
        </w:tc>
        <w:tc>
          <w:tcPr>
            <w:tcW w:w="1656" w:type="pct"/>
            <w:tcBorders>
              <w:top w:val="single" w:sz="6" w:space="0" w:color="auto"/>
              <w:left w:val="single" w:sz="6" w:space="0" w:color="auto"/>
              <w:bottom w:val="single" w:sz="6" w:space="0" w:color="auto"/>
              <w:right w:val="single" w:sz="6" w:space="0" w:color="auto"/>
            </w:tcBorders>
            <w:shd w:val="clear" w:color="auto" w:fill="FF0000"/>
            <w:vAlign w:val="center"/>
          </w:tcPr>
          <w:p w14:paraId="73B3C87A" w14:textId="77777777" w:rsidR="00F470E4" w:rsidRPr="00E267FF" w:rsidRDefault="00F470E4" w:rsidP="00742E2C">
            <w:pPr>
              <w:overflowPunct w:val="0"/>
              <w:autoSpaceDE w:val="0"/>
              <w:autoSpaceDN w:val="0"/>
              <w:adjustRightInd w:val="0"/>
              <w:spacing w:before="120" w:after="0"/>
              <w:jc w:val="both"/>
              <w:textAlignment w:val="baseline"/>
              <w:rPr>
                <w:rFonts w:eastAsia="Times New Roman" w:cs="Calibri"/>
                <w:b/>
                <w:bCs/>
                <w:snapToGrid w:val="0"/>
                <w:color w:val="FFFFFF"/>
                <w:sz w:val="20"/>
                <w:szCs w:val="20"/>
              </w:rPr>
            </w:pPr>
            <w:r w:rsidRPr="00E267FF">
              <w:rPr>
                <w:rFonts w:eastAsia="Times New Roman" w:cs="Calibri"/>
                <w:b/>
                <w:bCs/>
                <w:snapToGrid w:val="0"/>
                <w:color w:val="FFFFFF"/>
                <w:sz w:val="20"/>
                <w:szCs w:val="20"/>
              </w:rPr>
              <w:t xml:space="preserve">Governance Committee Approval or Endorsement </w:t>
            </w:r>
          </w:p>
        </w:tc>
        <w:tc>
          <w:tcPr>
            <w:tcW w:w="1203" w:type="pct"/>
            <w:tcBorders>
              <w:top w:val="single" w:sz="6" w:space="0" w:color="auto"/>
              <w:left w:val="single" w:sz="6" w:space="0" w:color="auto"/>
              <w:bottom w:val="single" w:sz="6" w:space="0" w:color="auto"/>
              <w:right w:val="single" w:sz="6" w:space="0" w:color="auto"/>
            </w:tcBorders>
            <w:shd w:val="clear" w:color="auto" w:fill="FF0000"/>
            <w:vAlign w:val="center"/>
          </w:tcPr>
          <w:p w14:paraId="531EF8EA" w14:textId="77777777" w:rsidR="00F470E4" w:rsidRPr="00E267FF" w:rsidRDefault="00F470E4" w:rsidP="00742E2C">
            <w:pPr>
              <w:overflowPunct w:val="0"/>
              <w:autoSpaceDE w:val="0"/>
              <w:autoSpaceDN w:val="0"/>
              <w:adjustRightInd w:val="0"/>
              <w:spacing w:before="120" w:after="0"/>
              <w:jc w:val="both"/>
              <w:textAlignment w:val="baseline"/>
              <w:rPr>
                <w:rFonts w:eastAsia="Times New Roman" w:cs="Calibri"/>
                <w:b/>
                <w:bCs/>
                <w:snapToGrid w:val="0"/>
                <w:color w:val="FFFFFF"/>
                <w:sz w:val="20"/>
                <w:szCs w:val="20"/>
              </w:rPr>
            </w:pPr>
            <w:r w:rsidRPr="00E267FF">
              <w:rPr>
                <w:rFonts w:eastAsia="Times New Roman" w:cs="Calibri"/>
                <w:b/>
                <w:bCs/>
                <w:snapToGrid w:val="0"/>
                <w:color w:val="FFFFFF"/>
                <w:sz w:val="20"/>
                <w:szCs w:val="20"/>
              </w:rPr>
              <w:t>Final Approval Date</w:t>
            </w:r>
          </w:p>
        </w:tc>
      </w:tr>
      <w:tr w:rsidR="00F470E4" w:rsidRPr="00E267FF" w14:paraId="3E1525F3" w14:textId="77777777" w:rsidTr="00742E2C">
        <w:trPr>
          <w:trHeight w:val="300"/>
        </w:trPr>
        <w:tc>
          <w:tcPr>
            <w:tcW w:w="2141" w:type="pct"/>
            <w:tcBorders>
              <w:top w:val="single" w:sz="6" w:space="0" w:color="auto"/>
              <w:left w:val="single" w:sz="6" w:space="0" w:color="auto"/>
              <w:bottom w:val="single" w:sz="6" w:space="0" w:color="auto"/>
              <w:right w:val="single" w:sz="6" w:space="0" w:color="auto"/>
            </w:tcBorders>
          </w:tcPr>
          <w:p w14:paraId="417D87B6" w14:textId="77777777" w:rsidR="00F470E4" w:rsidRPr="00E267FF" w:rsidRDefault="00F470E4" w:rsidP="000A5700">
            <w:pPr>
              <w:overflowPunct w:val="0"/>
              <w:autoSpaceDE w:val="0"/>
              <w:autoSpaceDN w:val="0"/>
              <w:adjustRightInd w:val="0"/>
              <w:spacing w:before="120" w:after="0"/>
              <w:jc w:val="both"/>
              <w:textAlignment w:val="baseline"/>
              <w:rPr>
                <w:rFonts w:eastAsia="Times New Roman" w:cs="Calibri"/>
                <w:snapToGrid w:val="0"/>
                <w:sz w:val="20"/>
                <w:szCs w:val="20"/>
              </w:rPr>
            </w:pPr>
            <w:r>
              <w:rPr>
                <w:rFonts w:eastAsia="Times New Roman" w:cs="Calibri"/>
                <w:snapToGrid w:val="0"/>
                <w:sz w:val="20"/>
                <w:szCs w:val="20"/>
              </w:rPr>
              <w:t xml:space="preserve">SHUSA </w:t>
            </w:r>
            <w:r w:rsidR="000A5700">
              <w:rPr>
                <w:rFonts w:eastAsia="Times New Roman" w:cs="Calibri"/>
                <w:snapToGrid w:val="0"/>
                <w:sz w:val="20"/>
                <w:szCs w:val="20"/>
              </w:rPr>
              <w:t xml:space="preserve">Director of Risk Appetite </w:t>
            </w:r>
          </w:p>
        </w:tc>
        <w:tc>
          <w:tcPr>
            <w:tcW w:w="1656" w:type="pct"/>
            <w:tcBorders>
              <w:top w:val="single" w:sz="6" w:space="0" w:color="auto"/>
              <w:left w:val="single" w:sz="6" w:space="0" w:color="auto"/>
              <w:bottom w:val="single" w:sz="6" w:space="0" w:color="auto"/>
              <w:right w:val="single" w:sz="6" w:space="0" w:color="auto"/>
            </w:tcBorders>
          </w:tcPr>
          <w:p w14:paraId="07CC1ED2" w14:textId="77777777" w:rsidR="00F470E4" w:rsidRPr="00E267FF" w:rsidRDefault="00F470E4" w:rsidP="00742E2C">
            <w:pPr>
              <w:overflowPunct w:val="0"/>
              <w:autoSpaceDE w:val="0"/>
              <w:autoSpaceDN w:val="0"/>
              <w:adjustRightInd w:val="0"/>
              <w:spacing w:before="120" w:after="0"/>
              <w:jc w:val="both"/>
              <w:textAlignment w:val="baseline"/>
              <w:rPr>
                <w:rFonts w:eastAsia="Times New Roman" w:cs="Calibri"/>
                <w:snapToGrid w:val="0"/>
                <w:sz w:val="20"/>
                <w:szCs w:val="20"/>
              </w:rPr>
            </w:pPr>
            <w:r>
              <w:rPr>
                <w:rFonts w:eastAsia="Times New Roman" w:cs="Calibri"/>
                <w:snapToGrid w:val="0"/>
                <w:sz w:val="20"/>
                <w:szCs w:val="20"/>
              </w:rPr>
              <w:t>N/A</w:t>
            </w:r>
          </w:p>
        </w:tc>
        <w:tc>
          <w:tcPr>
            <w:tcW w:w="1203" w:type="pct"/>
            <w:tcBorders>
              <w:top w:val="single" w:sz="6" w:space="0" w:color="auto"/>
              <w:left w:val="single" w:sz="6" w:space="0" w:color="auto"/>
              <w:bottom w:val="single" w:sz="6" w:space="0" w:color="auto"/>
              <w:right w:val="single" w:sz="6" w:space="0" w:color="auto"/>
            </w:tcBorders>
          </w:tcPr>
          <w:p w14:paraId="3CC71FA1" w14:textId="77777777" w:rsidR="00F470E4" w:rsidRPr="00E267FF" w:rsidRDefault="009C2DD0" w:rsidP="00742E2C">
            <w:pPr>
              <w:overflowPunct w:val="0"/>
              <w:autoSpaceDE w:val="0"/>
              <w:autoSpaceDN w:val="0"/>
              <w:adjustRightInd w:val="0"/>
              <w:spacing w:before="120" w:after="0"/>
              <w:jc w:val="both"/>
              <w:textAlignment w:val="baseline"/>
              <w:rPr>
                <w:rFonts w:eastAsia="Times New Roman" w:cs="Calibri"/>
                <w:snapToGrid w:val="0"/>
                <w:sz w:val="20"/>
                <w:szCs w:val="20"/>
              </w:rPr>
            </w:pPr>
            <w:r>
              <w:rPr>
                <w:rFonts w:eastAsia="Times New Roman" w:cs="Calibri"/>
                <w:snapToGrid w:val="0"/>
                <w:sz w:val="20"/>
                <w:szCs w:val="20"/>
              </w:rPr>
              <w:t>January 28, 2016</w:t>
            </w:r>
          </w:p>
        </w:tc>
      </w:tr>
      <w:tr w:rsidR="00F470E4" w:rsidRPr="00E267FF" w14:paraId="7BD1B125" w14:textId="77777777" w:rsidTr="00742E2C">
        <w:trPr>
          <w:trHeight w:val="72"/>
        </w:trPr>
        <w:tc>
          <w:tcPr>
            <w:tcW w:w="2141" w:type="pct"/>
            <w:tcBorders>
              <w:top w:val="single" w:sz="6" w:space="0" w:color="auto"/>
              <w:left w:val="single" w:sz="6" w:space="0" w:color="auto"/>
              <w:bottom w:val="single" w:sz="6" w:space="0" w:color="auto"/>
              <w:right w:val="single" w:sz="6" w:space="0" w:color="auto"/>
            </w:tcBorders>
          </w:tcPr>
          <w:p w14:paraId="4C5DB989" w14:textId="297CD916" w:rsidR="00F470E4" w:rsidRPr="00E267FF" w:rsidRDefault="00954954" w:rsidP="00742E2C">
            <w:pPr>
              <w:overflowPunct w:val="0"/>
              <w:autoSpaceDE w:val="0"/>
              <w:autoSpaceDN w:val="0"/>
              <w:adjustRightInd w:val="0"/>
              <w:spacing w:before="120" w:after="0"/>
              <w:jc w:val="both"/>
              <w:textAlignment w:val="baseline"/>
              <w:rPr>
                <w:rFonts w:eastAsia="Times New Roman" w:cs="Calibri"/>
                <w:snapToGrid w:val="0"/>
                <w:sz w:val="20"/>
                <w:szCs w:val="20"/>
              </w:rPr>
            </w:pPr>
            <w:r>
              <w:rPr>
                <w:rFonts w:eastAsia="Times New Roman" w:cs="Calibri"/>
                <w:snapToGrid w:val="0"/>
                <w:sz w:val="20"/>
                <w:szCs w:val="20"/>
              </w:rPr>
              <w:t xml:space="preserve">SHUSA Director of Risk Appetite </w:t>
            </w:r>
          </w:p>
        </w:tc>
        <w:tc>
          <w:tcPr>
            <w:tcW w:w="1656" w:type="pct"/>
            <w:tcBorders>
              <w:top w:val="single" w:sz="6" w:space="0" w:color="auto"/>
              <w:left w:val="single" w:sz="6" w:space="0" w:color="auto"/>
              <w:bottom w:val="single" w:sz="6" w:space="0" w:color="auto"/>
              <w:right w:val="single" w:sz="6" w:space="0" w:color="auto"/>
            </w:tcBorders>
          </w:tcPr>
          <w:p w14:paraId="42A3A9F1" w14:textId="77777777" w:rsidR="00F470E4" w:rsidRPr="00E267FF" w:rsidRDefault="00F470E4" w:rsidP="00742E2C">
            <w:pPr>
              <w:overflowPunct w:val="0"/>
              <w:autoSpaceDE w:val="0"/>
              <w:autoSpaceDN w:val="0"/>
              <w:adjustRightInd w:val="0"/>
              <w:spacing w:before="120" w:after="0"/>
              <w:jc w:val="both"/>
              <w:textAlignment w:val="baseline"/>
              <w:rPr>
                <w:rFonts w:eastAsia="Times New Roman" w:cs="Calibri"/>
                <w:snapToGrid w:val="0"/>
                <w:sz w:val="20"/>
                <w:szCs w:val="20"/>
              </w:rPr>
            </w:pPr>
          </w:p>
        </w:tc>
        <w:tc>
          <w:tcPr>
            <w:tcW w:w="1203" w:type="pct"/>
            <w:tcBorders>
              <w:top w:val="single" w:sz="6" w:space="0" w:color="auto"/>
              <w:left w:val="single" w:sz="6" w:space="0" w:color="auto"/>
              <w:bottom w:val="single" w:sz="6" w:space="0" w:color="auto"/>
              <w:right w:val="single" w:sz="6" w:space="0" w:color="auto"/>
            </w:tcBorders>
          </w:tcPr>
          <w:p w14:paraId="1BBB4EFB" w14:textId="77777777" w:rsidR="00F470E4" w:rsidRPr="00E267FF" w:rsidRDefault="00F470E4" w:rsidP="00742E2C">
            <w:pPr>
              <w:overflowPunct w:val="0"/>
              <w:autoSpaceDE w:val="0"/>
              <w:autoSpaceDN w:val="0"/>
              <w:adjustRightInd w:val="0"/>
              <w:spacing w:before="120" w:after="0"/>
              <w:jc w:val="both"/>
              <w:textAlignment w:val="baseline"/>
              <w:rPr>
                <w:rFonts w:eastAsia="Times New Roman" w:cs="Calibri"/>
                <w:snapToGrid w:val="0"/>
                <w:sz w:val="20"/>
                <w:szCs w:val="20"/>
              </w:rPr>
            </w:pPr>
          </w:p>
        </w:tc>
      </w:tr>
      <w:tr w:rsidR="00F470E4" w:rsidRPr="00E267FF" w14:paraId="0EADF91D" w14:textId="77777777" w:rsidTr="00742E2C">
        <w:trPr>
          <w:trHeight w:val="300"/>
        </w:trPr>
        <w:tc>
          <w:tcPr>
            <w:tcW w:w="2141" w:type="pct"/>
            <w:tcBorders>
              <w:top w:val="single" w:sz="6" w:space="0" w:color="auto"/>
              <w:left w:val="single" w:sz="6" w:space="0" w:color="auto"/>
              <w:bottom w:val="single" w:sz="6" w:space="0" w:color="auto"/>
              <w:right w:val="single" w:sz="6" w:space="0" w:color="auto"/>
            </w:tcBorders>
          </w:tcPr>
          <w:p w14:paraId="3685E0F6" w14:textId="77777777" w:rsidR="00F470E4" w:rsidRPr="00E267FF" w:rsidRDefault="00F470E4" w:rsidP="00742E2C">
            <w:pPr>
              <w:overflowPunct w:val="0"/>
              <w:autoSpaceDE w:val="0"/>
              <w:autoSpaceDN w:val="0"/>
              <w:adjustRightInd w:val="0"/>
              <w:spacing w:before="120" w:after="0"/>
              <w:jc w:val="both"/>
              <w:textAlignment w:val="baseline"/>
              <w:rPr>
                <w:rFonts w:eastAsia="Times New Roman" w:cs="Calibri"/>
                <w:snapToGrid w:val="0"/>
                <w:sz w:val="20"/>
                <w:szCs w:val="20"/>
              </w:rPr>
            </w:pPr>
          </w:p>
        </w:tc>
        <w:tc>
          <w:tcPr>
            <w:tcW w:w="1656" w:type="pct"/>
            <w:tcBorders>
              <w:top w:val="single" w:sz="6" w:space="0" w:color="auto"/>
              <w:left w:val="single" w:sz="6" w:space="0" w:color="auto"/>
              <w:bottom w:val="single" w:sz="6" w:space="0" w:color="auto"/>
              <w:right w:val="single" w:sz="6" w:space="0" w:color="auto"/>
            </w:tcBorders>
          </w:tcPr>
          <w:p w14:paraId="49141568" w14:textId="77777777" w:rsidR="00F470E4" w:rsidRPr="00E267FF" w:rsidRDefault="00F470E4" w:rsidP="00742E2C">
            <w:pPr>
              <w:overflowPunct w:val="0"/>
              <w:autoSpaceDE w:val="0"/>
              <w:autoSpaceDN w:val="0"/>
              <w:adjustRightInd w:val="0"/>
              <w:spacing w:before="120" w:after="0"/>
              <w:jc w:val="both"/>
              <w:textAlignment w:val="baseline"/>
              <w:rPr>
                <w:rFonts w:eastAsia="Times New Roman" w:cs="Calibri"/>
                <w:snapToGrid w:val="0"/>
                <w:sz w:val="20"/>
                <w:szCs w:val="20"/>
              </w:rPr>
            </w:pPr>
          </w:p>
        </w:tc>
        <w:tc>
          <w:tcPr>
            <w:tcW w:w="1203" w:type="pct"/>
            <w:tcBorders>
              <w:top w:val="single" w:sz="6" w:space="0" w:color="auto"/>
              <w:left w:val="single" w:sz="6" w:space="0" w:color="auto"/>
              <w:bottom w:val="single" w:sz="6" w:space="0" w:color="auto"/>
              <w:right w:val="single" w:sz="6" w:space="0" w:color="auto"/>
            </w:tcBorders>
          </w:tcPr>
          <w:p w14:paraId="22862108" w14:textId="77777777" w:rsidR="00F470E4" w:rsidRPr="00E267FF" w:rsidRDefault="00F470E4" w:rsidP="00742E2C">
            <w:pPr>
              <w:overflowPunct w:val="0"/>
              <w:autoSpaceDE w:val="0"/>
              <w:autoSpaceDN w:val="0"/>
              <w:adjustRightInd w:val="0"/>
              <w:spacing w:before="120" w:after="0"/>
              <w:jc w:val="both"/>
              <w:textAlignment w:val="baseline"/>
              <w:rPr>
                <w:rFonts w:eastAsia="Times New Roman" w:cs="Calibri"/>
                <w:snapToGrid w:val="0"/>
                <w:sz w:val="20"/>
                <w:szCs w:val="20"/>
              </w:rPr>
            </w:pPr>
          </w:p>
        </w:tc>
      </w:tr>
    </w:tbl>
    <w:p w14:paraId="4ABC869A" w14:textId="77777777" w:rsidR="00D1581D" w:rsidRDefault="00D1581D" w:rsidP="00D1581D">
      <w:pPr>
        <w:pStyle w:val="SANUS1"/>
      </w:pPr>
      <w:bookmarkStart w:id="1447" w:name="_Toc452544567"/>
    </w:p>
    <w:p w14:paraId="3D849F02" w14:textId="77777777" w:rsidR="00D1581D" w:rsidRDefault="00D1581D" w:rsidP="00D1581D">
      <w:pPr>
        <w:pStyle w:val="SANUS1"/>
      </w:pPr>
    </w:p>
    <w:p w14:paraId="23D4DA22" w14:textId="77777777" w:rsidR="00D1581D" w:rsidRDefault="00D1581D" w:rsidP="00D1581D">
      <w:pPr>
        <w:pStyle w:val="SANUS1"/>
      </w:pPr>
    </w:p>
    <w:p w14:paraId="37C10BFD" w14:textId="77777777" w:rsidR="00D1581D" w:rsidRDefault="00D1581D" w:rsidP="00D1581D">
      <w:pPr>
        <w:pStyle w:val="SANUS1"/>
      </w:pPr>
    </w:p>
    <w:p w14:paraId="03F5C740" w14:textId="77777777" w:rsidR="00D1581D" w:rsidRDefault="00D1581D" w:rsidP="00D1581D">
      <w:pPr>
        <w:pStyle w:val="SANUS1"/>
      </w:pPr>
    </w:p>
    <w:p w14:paraId="06E989AB" w14:textId="77777777" w:rsidR="00D1581D" w:rsidRDefault="00D1581D" w:rsidP="00D1581D">
      <w:pPr>
        <w:pStyle w:val="SANUS1"/>
      </w:pPr>
    </w:p>
    <w:p w14:paraId="48530710" w14:textId="77777777" w:rsidR="00D1581D" w:rsidRDefault="00D1581D" w:rsidP="00D1581D">
      <w:pPr>
        <w:pStyle w:val="SANUS1"/>
      </w:pPr>
    </w:p>
    <w:p w14:paraId="3442D584" w14:textId="77777777" w:rsidR="00D1581D" w:rsidRDefault="00D1581D" w:rsidP="00D1581D">
      <w:pPr>
        <w:pStyle w:val="SANUS1"/>
      </w:pPr>
    </w:p>
    <w:p w14:paraId="03060797" w14:textId="77777777" w:rsidR="00D1581D" w:rsidRDefault="00D1581D" w:rsidP="00D1581D">
      <w:pPr>
        <w:pStyle w:val="SANUS1"/>
      </w:pPr>
    </w:p>
    <w:p w14:paraId="195DEF25" w14:textId="77777777" w:rsidR="00D1581D" w:rsidRDefault="00D1581D" w:rsidP="00D1581D">
      <w:pPr>
        <w:pStyle w:val="SANUS1"/>
      </w:pPr>
    </w:p>
    <w:p w14:paraId="43AC1644" w14:textId="77777777" w:rsidR="00D1581D" w:rsidRDefault="00D1581D" w:rsidP="00D1581D">
      <w:pPr>
        <w:pStyle w:val="SANUS1"/>
      </w:pPr>
    </w:p>
    <w:p w14:paraId="3BDF058C" w14:textId="77777777" w:rsidR="00D1581D" w:rsidRDefault="00D1581D" w:rsidP="00D1581D">
      <w:pPr>
        <w:pStyle w:val="SANUS1"/>
      </w:pPr>
    </w:p>
    <w:p w14:paraId="75E49357" w14:textId="77777777" w:rsidR="00D1581D" w:rsidRDefault="00D1581D" w:rsidP="00D1581D">
      <w:pPr>
        <w:pStyle w:val="SANUS1"/>
      </w:pPr>
    </w:p>
    <w:p w14:paraId="5CF55562" w14:textId="77777777" w:rsidR="00D1581D" w:rsidRDefault="00D1581D" w:rsidP="00D1581D">
      <w:pPr>
        <w:pStyle w:val="SANUS1"/>
      </w:pPr>
    </w:p>
    <w:p w14:paraId="098330FE" w14:textId="77777777" w:rsidR="006E0711" w:rsidRDefault="006E0711" w:rsidP="00D1581D">
      <w:pPr>
        <w:pStyle w:val="SANUS1"/>
      </w:pPr>
    </w:p>
    <w:p w14:paraId="4AD97647" w14:textId="77777777" w:rsidR="00D1581D" w:rsidRDefault="00D1581D" w:rsidP="00D1581D">
      <w:pPr>
        <w:pStyle w:val="SANUS1"/>
      </w:pPr>
    </w:p>
    <w:p w14:paraId="62A66928" w14:textId="77777777" w:rsidR="00E20AC7" w:rsidRPr="00BC2121" w:rsidRDefault="00E20AC7" w:rsidP="00FC6780">
      <w:pPr>
        <w:pStyle w:val="SANUS1"/>
        <w:numPr>
          <w:ilvl w:val="0"/>
          <w:numId w:val="1"/>
        </w:numPr>
      </w:pPr>
      <w:bookmarkStart w:id="1448" w:name="_Toc453849318"/>
      <w:r w:rsidRPr="00BC2121">
        <w:t xml:space="preserve">APPENDIX </w:t>
      </w:r>
      <w:r w:rsidR="002819E7">
        <w:t>II</w:t>
      </w:r>
      <w:r w:rsidR="00FB263D" w:rsidRPr="00BC2121">
        <w:t xml:space="preserve"> </w:t>
      </w:r>
      <w:r w:rsidRPr="00BC2121">
        <w:t>– Loss in Stress metric calculation</w:t>
      </w:r>
      <w:bookmarkEnd w:id="1447"/>
      <w:bookmarkEnd w:id="1448"/>
    </w:p>
    <w:p w14:paraId="251D1AE5" w14:textId="77777777" w:rsidR="00E20AC7" w:rsidRPr="00E20AC7" w:rsidRDefault="00E20AC7" w:rsidP="00E20AC7">
      <w:pPr>
        <w:tabs>
          <w:tab w:val="num" w:pos="657"/>
        </w:tabs>
        <w:spacing w:before="120" w:after="120"/>
        <w:outlineLvl w:val="1"/>
        <w:rPr>
          <w:b/>
          <w:bCs/>
          <w:color w:val="000000" w:themeColor="text1"/>
          <w:sz w:val="24"/>
          <w:szCs w:val="24"/>
          <w:lang w:bidi="en-US"/>
        </w:rPr>
      </w:pPr>
      <w:bookmarkStart w:id="1449" w:name="_Toc428445421"/>
      <w:bookmarkStart w:id="1450" w:name="_Toc453849319"/>
      <w:r w:rsidRPr="00E20AC7">
        <w:rPr>
          <w:b/>
          <w:bCs/>
          <w:color w:val="000000" w:themeColor="text1"/>
          <w:sz w:val="24"/>
          <w:szCs w:val="24"/>
          <w:lang w:bidi="en-US"/>
        </w:rPr>
        <w:t>Loss in Stress</w:t>
      </w:r>
      <w:bookmarkEnd w:id="1449"/>
      <w:bookmarkEnd w:id="1450"/>
    </w:p>
    <w:p w14:paraId="689D843A" w14:textId="77777777" w:rsidR="00E20AC7" w:rsidRPr="00E20AC7" w:rsidRDefault="00E20AC7" w:rsidP="00E20AC7">
      <w:r w:rsidRPr="00E20AC7">
        <w:rPr>
          <w:b/>
          <w:bCs/>
          <w:i/>
          <w:iCs/>
        </w:rPr>
        <w:t xml:space="preserve">Definition: </w:t>
      </w:r>
      <w:r w:rsidRPr="00E20AC7">
        <w:t>The impact to Profit before Tax (“PBT”) that SHUSA is willing and able to assume. It is expressed as the percentage of the annual PBT that would be at risk based on an adverse stressed scenario affecting the relevant risks.</w:t>
      </w:r>
    </w:p>
    <w:p w14:paraId="7DE69862" w14:textId="77777777" w:rsidR="00E20AC7" w:rsidRDefault="00E20AC7" w:rsidP="00E20AC7">
      <w:pPr>
        <w:jc w:val="center"/>
        <w:rPr>
          <w:sz w:val="24"/>
          <w:szCs w:val="24"/>
        </w:rPr>
      </w:pPr>
      <w:r w:rsidRPr="00E20AC7">
        <w:rPr>
          <w:noProof/>
        </w:rPr>
        <w:drawing>
          <wp:inline distT="0" distB="0" distL="0" distR="0" wp14:anchorId="0865B704" wp14:editId="412AD784">
            <wp:extent cx="2261918" cy="2552131"/>
            <wp:effectExtent l="0" t="0" r="508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61968" cy="2552188"/>
                    </a:xfrm>
                    <a:prstGeom prst="rect">
                      <a:avLst/>
                    </a:prstGeom>
                    <a:noFill/>
                    <a:ln>
                      <a:noFill/>
                    </a:ln>
                  </pic:spPr>
                </pic:pic>
              </a:graphicData>
            </a:graphic>
          </wp:inline>
        </w:drawing>
      </w:r>
    </w:p>
    <w:p w14:paraId="1270D659" w14:textId="77777777" w:rsidR="005A63F2" w:rsidRPr="00E20AC7" w:rsidRDefault="005A63F2" w:rsidP="00E20AC7">
      <w:pPr>
        <w:jc w:val="center"/>
        <w:rPr>
          <w:sz w:val="24"/>
          <w:szCs w:val="24"/>
        </w:rPr>
      </w:pPr>
    </w:p>
    <w:p w14:paraId="0DDBD9CB" w14:textId="77777777" w:rsidR="00E20AC7" w:rsidRPr="00E20AC7" w:rsidRDefault="00E20AC7" w:rsidP="00E20AC7">
      <w:r w:rsidRPr="00E20AC7">
        <w:rPr>
          <w:rFonts w:asciiTheme="minorHAnsi" w:eastAsiaTheme="minorHAnsi" w:hAnsiTheme="minorHAnsi" w:cstheme="minorBidi"/>
          <w:b/>
          <w:i/>
          <w:iCs/>
        </w:rPr>
        <w:t>US calculations of Loss in Stress</w:t>
      </w:r>
      <w:r w:rsidRPr="00E20AC7">
        <w:rPr>
          <w:rFonts w:asciiTheme="minorHAnsi" w:eastAsiaTheme="minorHAnsi" w:hAnsiTheme="minorHAnsi" w:cstheme="minorBidi"/>
          <w:b/>
          <w:i/>
          <w:iCs/>
          <w:vertAlign w:val="superscript"/>
        </w:rPr>
        <w:footnoteReference w:id="15"/>
      </w:r>
      <w:r w:rsidRPr="00E20AC7">
        <w:rPr>
          <w:b/>
          <w:i/>
        </w:rPr>
        <w:t>:</w:t>
      </w:r>
      <w:r w:rsidRPr="00E20AC7">
        <w:t xml:space="preserve"> </w:t>
      </w:r>
    </w:p>
    <w:p w14:paraId="463F02D5" w14:textId="77777777" w:rsidR="00E20AC7" w:rsidRPr="00E20AC7" w:rsidRDefault="00E20AC7" w:rsidP="00AB79BD">
      <w:pPr>
        <w:numPr>
          <w:ilvl w:val="0"/>
          <w:numId w:val="29"/>
        </w:numPr>
        <w:contextualSpacing/>
        <w:rPr>
          <w:rFonts w:asciiTheme="minorHAnsi" w:eastAsiaTheme="minorHAnsi" w:hAnsiTheme="minorHAnsi" w:cstheme="minorBidi"/>
          <w:szCs w:val="24"/>
          <w:lang w:val="en-GB"/>
        </w:rPr>
      </w:pPr>
      <w:r w:rsidRPr="00E20AC7">
        <w:rPr>
          <w:rFonts w:asciiTheme="minorHAnsi" w:eastAsiaTheme="minorHAnsi" w:hAnsiTheme="minorHAnsi" w:cstheme="minorBidi"/>
          <w:szCs w:val="24"/>
          <w:u w:val="single"/>
          <w:lang w:val="en-GB"/>
        </w:rPr>
        <w:t>Calculation:</w:t>
      </w:r>
      <w:r w:rsidRPr="00E20AC7">
        <w:rPr>
          <w:rFonts w:asciiTheme="minorHAnsi" w:eastAsiaTheme="minorHAnsi" w:hAnsiTheme="minorHAnsi" w:cstheme="minorBidi"/>
          <w:szCs w:val="24"/>
          <w:lang w:val="en-GB"/>
        </w:rPr>
        <w:t xml:space="preserve"> The metric is calculated once a year, to coincide with CCAR full year. It is presented as the accumulated results over the full CCAR cycle. </w:t>
      </w:r>
    </w:p>
    <w:p w14:paraId="7A5C8728" w14:textId="77777777" w:rsidR="00E20AC7" w:rsidRPr="00E20AC7" w:rsidRDefault="00E20AC7" w:rsidP="00E20AC7">
      <w:pPr>
        <w:spacing w:after="240"/>
        <w:ind w:left="720"/>
        <w:contextualSpacing/>
        <w:rPr>
          <w:rFonts w:asciiTheme="minorHAnsi" w:eastAsiaTheme="minorHAnsi" w:hAnsiTheme="minorHAnsi" w:cstheme="minorBidi"/>
          <w:lang w:val="en-GB"/>
        </w:rPr>
      </w:pPr>
    </w:p>
    <w:p w14:paraId="4ABA0B4F" w14:textId="77777777" w:rsidR="00E20AC7" w:rsidRPr="00E20AC7" w:rsidRDefault="00E20AC7" w:rsidP="00AB79BD">
      <w:pPr>
        <w:numPr>
          <w:ilvl w:val="0"/>
          <w:numId w:val="26"/>
        </w:numPr>
        <w:spacing w:after="240"/>
        <w:contextualSpacing/>
        <w:rPr>
          <w:rFonts w:asciiTheme="minorHAnsi" w:eastAsiaTheme="minorHAnsi" w:hAnsiTheme="minorHAnsi" w:cstheme="minorBidi"/>
          <w:lang w:val="en-GB"/>
        </w:rPr>
      </w:pPr>
      <w:r w:rsidRPr="00E20AC7">
        <w:rPr>
          <w:rFonts w:asciiTheme="minorHAnsi" w:eastAsiaTheme="minorHAnsi" w:hAnsiTheme="minorHAnsi" w:cstheme="minorBidi"/>
          <w:u w:val="single"/>
          <w:lang w:val="en-GB"/>
        </w:rPr>
        <w:t xml:space="preserve">Stressed outputs: </w:t>
      </w:r>
      <w:r w:rsidRPr="00E20AC7">
        <w:rPr>
          <w:rFonts w:asciiTheme="minorHAnsi" w:eastAsiaTheme="minorHAnsi" w:hAnsiTheme="minorHAnsi" w:cstheme="minorBidi"/>
          <w:lang w:val="en-GB"/>
        </w:rPr>
        <w:t>The metric uses the outputs from the CCAR FRB Base, Adverse and Severely Adverse</w:t>
      </w:r>
      <w:r w:rsidRPr="00E20AC7">
        <w:rPr>
          <w:rFonts w:asciiTheme="minorHAnsi" w:eastAsiaTheme="minorHAnsi" w:hAnsiTheme="minorHAnsi" w:cstheme="minorBidi"/>
          <w:vertAlign w:val="superscript"/>
          <w:lang w:val="en-GB"/>
        </w:rPr>
        <w:footnoteReference w:id="16"/>
      </w:r>
      <w:r w:rsidRPr="00E20AC7">
        <w:rPr>
          <w:rFonts w:asciiTheme="minorHAnsi" w:eastAsiaTheme="minorHAnsi" w:hAnsiTheme="minorHAnsi" w:cstheme="minorBidi"/>
          <w:lang w:val="en-GB"/>
        </w:rPr>
        <w:t xml:space="preserve"> scenarios, but is submitted to Santander Group based on the FRB Adverse outputs as this scenario is closest to ICAAP.</w:t>
      </w:r>
    </w:p>
    <w:p w14:paraId="5E50A040" w14:textId="77777777" w:rsidR="00E20AC7" w:rsidRPr="00E20AC7" w:rsidRDefault="00E20AC7" w:rsidP="00E20AC7">
      <w:pPr>
        <w:spacing w:after="240"/>
        <w:ind w:left="720"/>
        <w:contextualSpacing/>
        <w:rPr>
          <w:rFonts w:asciiTheme="minorHAnsi" w:eastAsiaTheme="minorHAnsi" w:hAnsiTheme="minorHAnsi" w:cstheme="minorBidi"/>
          <w:lang w:val="en-GB"/>
        </w:rPr>
      </w:pPr>
    </w:p>
    <w:p w14:paraId="5620AD30" w14:textId="77777777" w:rsidR="00E20AC7" w:rsidRPr="00E20AC7" w:rsidRDefault="00E20AC7" w:rsidP="00AB79BD">
      <w:pPr>
        <w:numPr>
          <w:ilvl w:val="0"/>
          <w:numId w:val="26"/>
        </w:numPr>
        <w:spacing w:after="240"/>
        <w:contextualSpacing/>
        <w:rPr>
          <w:rFonts w:asciiTheme="minorHAnsi" w:eastAsiaTheme="minorHAnsi" w:hAnsiTheme="minorHAnsi" w:cstheme="minorBidi"/>
          <w:lang w:val="en-GB"/>
        </w:rPr>
      </w:pPr>
      <w:r w:rsidRPr="00E20AC7">
        <w:rPr>
          <w:rFonts w:asciiTheme="minorHAnsi" w:eastAsiaTheme="minorHAnsi" w:hAnsiTheme="minorHAnsi" w:cstheme="minorBidi"/>
          <w:u w:val="single"/>
          <w:lang w:val="en-GB"/>
        </w:rPr>
        <w:t>Stress Horizon:</w:t>
      </w:r>
      <w:r w:rsidRPr="00E20AC7">
        <w:rPr>
          <w:rFonts w:asciiTheme="minorHAnsi" w:eastAsiaTheme="minorHAnsi" w:hAnsiTheme="minorHAnsi" w:cstheme="minorBidi"/>
          <w:lang w:val="en-GB"/>
        </w:rPr>
        <w:t xml:space="preserve"> The stressed impacts to the PBT scenarios will be calculated as per CCAR, allowing for 9 quarters of adjusted losses</w:t>
      </w:r>
      <w:r w:rsidRPr="00E20AC7">
        <w:rPr>
          <w:rFonts w:asciiTheme="minorHAnsi" w:eastAsiaTheme="minorHAnsi" w:hAnsiTheme="minorHAnsi" w:cstheme="minorBidi"/>
          <w:vertAlign w:val="superscript"/>
          <w:lang w:val="en-GB"/>
        </w:rPr>
        <w:footnoteReference w:id="17"/>
      </w:r>
      <w:r w:rsidRPr="00E20AC7">
        <w:rPr>
          <w:rFonts w:asciiTheme="minorHAnsi" w:eastAsiaTheme="minorHAnsi" w:hAnsiTheme="minorHAnsi" w:cstheme="minorBidi"/>
          <w:lang w:val="en-GB"/>
        </w:rPr>
        <w:t xml:space="preserve">. </w:t>
      </w:r>
    </w:p>
    <w:p w14:paraId="3EA0E088" w14:textId="77777777" w:rsidR="00E20AC7" w:rsidRPr="00E20AC7" w:rsidRDefault="00E20AC7" w:rsidP="00E20AC7">
      <w:pPr>
        <w:spacing w:after="240"/>
        <w:ind w:left="720"/>
        <w:contextualSpacing/>
        <w:rPr>
          <w:rFonts w:asciiTheme="minorHAnsi" w:eastAsiaTheme="minorHAnsi" w:hAnsiTheme="minorHAnsi" w:cstheme="minorBidi"/>
          <w:lang w:val="en-GB"/>
        </w:rPr>
      </w:pPr>
    </w:p>
    <w:p w14:paraId="3CD28FEE" w14:textId="2D0BC4E2" w:rsidR="00E20AC7" w:rsidRPr="00E20AC7" w:rsidRDefault="00E20AC7" w:rsidP="00AB79BD">
      <w:pPr>
        <w:numPr>
          <w:ilvl w:val="0"/>
          <w:numId w:val="26"/>
        </w:numPr>
        <w:spacing w:after="240"/>
        <w:contextualSpacing/>
        <w:rPr>
          <w:rFonts w:asciiTheme="minorHAnsi" w:eastAsiaTheme="minorHAnsi" w:hAnsiTheme="minorHAnsi" w:cstheme="minorBidi"/>
          <w:szCs w:val="24"/>
          <w:lang w:val="en-GB"/>
        </w:rPr>
      </w:pPr>
      <w:r w:rsidRPr="00E20AC7">
        <w:rPr>
          <w:rFonts w:asciiTheme="minorHAnsi" w:eastAsiaTheme="minorHAnsi" w:hAnsiTheme="minorHAnsi" w:cstheme="minorBidi"/>
          <w:u w:val="single"/>
          <w:lang w:val="en-GB"/>
        </w:rPr>
        <w:t>PBT:</w:t>
      </w:r>
      <w:r w:rsidRPr="00E20AC7">
        <w:rPr>
          <w:rFonts w:asciiTheme="minorHAnsi" w:eastAsiaTheme="minorHAnsi" w:hAnsiTheme="minorHAnsi" w:cstheme="minorBidi"/>
          <w:lang w:val="en-GB"/>
        </w:rPr>
        <w:t xml:space="preserve"> The PBT that is used in this metric calculation comes from the Strategic Plan for SHUSA as agreed with Santander Group</w:t>
      </w:r>
      <w:r w:rsidRPr="00E20AC7">
        <w:rPr>
          <w:rFonts w:asciiTheme="minorHAnsi" w:eastAsiaTheme="minorHAnsi" w:hAnsiTheme="minorHAnsi" w:cstheme="minorBidi"/>
          <w:vertAlign w:val="superscript"/>
          <w:lang w:val="en-GB"/>
        </w:rPr>
        <w:footnoteReference w:id="18"/>
      </w:r>
      <w:r w:rsidRPr="00E20AC7">
        <w:rPr>
          <w:rFonts w:asciiTheme="minorHAnsi" w:eastAsiaTheme="minorHAnsi" w:hAnsiTheme="minorHAnsi" w:cstheme="minorBidi"/>
          <w:lang w:val="en-GB"/>
        </w:rPr>
        <w:t xml:space="preserve"> under IFRS accounting. The impact to the income statement is calculated for each year as the sum of the s</w:t>
      </w:r>
      <w:r w:rsidR="00E339D2">
        <w:rPr>
          <w:rFonts w:asciiTheme="minorHAnsi" w:eastAsiaTheme="minorHAnsi" w:hAnsiTheme="minorHAnsi" w:cstheme="minorBidi"/>
          <w:lang w:val="en-GB"/>
        </w:rPr>
        <w:t>tress tests described in items 13.1.1 to 13</w:t>
      </w:r>
      <w:r w:rsidRPr="00E20AC7">
        <w:rPr>
          <w:rFonts w:asciiTheme="minorHAnsi" w:eastAsiaTheme="minorHAnsi" w:hAnsiTheme="minorHAnsi" w:cstheme="minorBidi"/>
          <w:lang w:val="en-GB"/>
        </w:rPr>
        <w:t>.1.6 below.</w:t>
      </w:r>
    </w:p>
    <w:p w14:paraId="067D2D5E" w14:textId="77777777" w:rsidR="00372F8D" w:rsidRPr="00E20AC7" w:rsidRDefault="00372F8D" w:rsidP="00372F8D">
      <w:pPr>
        <w:spacing w:after="240"/>
        <w:contextualSpacing/>
        <w:rPr>
          <w:rFonts w:asciiTheme="minorHAnsi" w:eastAsiaTheme="minorHAnsi" w:hAnsiTheme="minorHAnsi" w:cstheme="minorBidi"/>
          <w:szCs w:val="24"/>
          <w:lang w:val="en-GB"/>
        </w:rPr>
      </w:pPr>
    </w:p>
    <w:p w14:paraId="0B421D28" w14:textId="77777777" w:rsidR="00E20AC7" w:rsidRPr="00E20AC7" w:rsidRDefault="00E20AC7" w:rsidP="00E20AC7">
      <w:pPr>
        <w:rPr>
          <w:lang w:val="en-GB"/>
        </w:rPr>
      </w:pPr>
      <w:r w:rsidRPr="00E20AC7">
        <w:rPr>
          <w:b/>
          <w:lang w:val="en-GB"/>
        </w:rPr>
        <w:t xml:space="preserve">Stress tests applied to the metric: </w:t>
      </w:r>
      <w:r w:rsidRPr="00E20AC7">
        <w:rPr>
          <w:lang w:val="en-GB"/>
        </w:rPr>
        <w:t>The metric stresses are divided into two categories: macroeconomic stresses and non-macroeconomic stresses. The methodology described below reflects the US calculation and, where applicable, the adjustments that are made to reconcile Group methodology to US practices.</w:t>
      </w:r>
    </w:p>
    <w:p w14:paraId="02654F3E" w14:textId="77777777" w:rsidR="00E20AC7" w:rsidRPr="00E20AC7" w:rsidRDefault="00951BBB" w:rsidP="00E20AC7">
      <w:r>
        <w:rPr>
          <w:b/>
          <w:i/>
        </w:rPr>
        <w:t xml:space="preserve"> </w:t>
      </w:r>
      <w:r w:rsidR="00E20AC7" w:rsidRPr="00E20AC7">
        <w:rPr>
          <w:b/>
          <w:i/>
        </w:rPr>
        <w:t>US Sign-off required for the metric calculation:</w:t>
      </w:r>
      <w:r w:rsidR="00E20AC7" w:rsidRPr="00E20AC7">
        <w:t xml:space="preserve"> </w:t>
      </w:r>
    </w:p>
    <w:tbl>
      <w:tblPr>
        <w:tblStyle w:val="TableGrid1"/>
        <w:tblW w:w="9648" w:type="dxa"/>
        <w:tblInd w:w="108" w:type="dxa"/>
        <w:tblLook w:val="04A0" w:firstRow="1" w:lastRow="0" w:firstColumn="1" w:lastColumn="0" w:noHBand="0" w:noVBand="1"/>
      </w:tblPr>
      <w:tblGrid>
        <w:gridCol w:w="1584"/>
        <w:gridCol w:w="1584"/>
        <w:gridCol w:w="2160"/>
        <w:gridCol w:w="2160"/>
        <w:gridCol w:w="2160"/>
      </w:tblGrid>
      <w:tr w:rsidR="00E20AC7" w:rsidRPr="00E20AC7" w14:paraId="325451A9" w14:textId="77777777" w:rsidTr="006B4051">
        <w:tc>
          <w:tcPr>
            <w:tcW w:w="1584" w:type="dxa"/>
          </w:tcPr>
          <w:p w14:paraId="039DAA7C" w14:textId="77777777" w:rsidR="00E20AC7" w:rsidRPr="00E20AC7" w:rsidRDefault="00E20AC7" w:rsidP="00E20AC7">
            <w:pPr>
              <w:contextualSpacing/>
              <w:jc w:val="center"/>
              <w:rPr>
                <w:rFonts w:asciiTheme="minorHAnsi" w:eastAsiaTheme="minorHAnsi" w:hAnsiTheme="minorHAnsi" w:cstheme="minorBidi"/>
                <w:b/>
                <w:lang w:val="en-GB"/>
              </w:rPr>
            </w:pPr>
            <w:r w:rsidRPr="00E20AC7">
              <w:rPr>
                <w:rFonts w:asciiTheme="minorHAnsi" w:eastAsiaTheme="minorHAnsi" w:hAnsiTheme="minorHAnsi" w:cstheme="minorBidi"/>
                <w:b/>
                <w:lang w:val="en-GB"/>
              </w:rPr>
              <w:t>Type of Stress</w:t>
            </w:r>
          </w:p>
        </w:tc>
        <w:tc>
          <w:tcPr>
            <w:tcW w:w="1584" w:type="dxa"/>
          </w:tcPr>
          <w:p w14:paraId="52A209ED" w14:textId="77777777" w:rsidR="00E20AC7" w:rsidRPr="00E20AC7" w:rsidRDefault="00E20AC7" w:rsidP="00E20AC7">
            <w:pPr>
              <w:contextualSpacing/>
              <w:jc w:val="center"/>
              <w:rPr>
                <w:rFonts w:asciiTheme="minorHAnsi" w:eastAsiaTheme="minorHAnsi" w:hAnsiTheme="minorHAnsi" w:cstheme="minorBidi"/>
                <w:b/>
                <w:lang w:val="en-GB"/>
              </w:rPr>
            </w:pPr>
            <w:r w:rsidRPr="00E20AC7">
              <w:rPr>
                <w:rFonts w:asciiTheme="minorHAnsi" w:eastAsiaTheme="minorHAnsi" w:hAnsiTheme="minorHAnsi" w:cstheme="minorBidi"/>
                <w:b/>
                <w:lang w:val="en-GB"/>
              </w:rPr>
              <w:t>Metric Element</w:t>
            </w:r>
          </w:p>
        </w:tc>
        <w:tc>
          <w:tcPr>
            <w:tcW w:w="2160" w:type="dxa"/>
          </w:tcPr>
          <w:p w14:paraId="2D63A062" w14:textId="77777777" w:rsidR="00E20AC7" w:rsidRPr="00E20AC7" w:rsidRDefault="00E20AC7" w:rsidP="00E20AC7">
            <w:pPr>
              <w:contextualSpacing/>
              <w:jc w:val="center"/>
              <w:rPr>
                <w:rFonts w:asciiTheme="minorHAnsi" w:eastAsiaTheme="minorHAnsi" w:hAnsiTheme="minorHAnsi" w:cstheme="minorBidi"/>
                <w:b/>
                <w:lang w:val="en-GB"/>
              </w:rPr>
            </w:pPr>
            <w:r w:rsidRPr="00E20AC7">
              <w:rPr>
                <w:rFonts w:asciiTheme="minorHAnsi" w:eastAsiaTheme="minorHAnsi" w:hAnsiTheme="minorHAnsi" w:cstheme="minorBidi"/>
                <w:b/>
                <w:lang w:val="en-GB"/>
              </w:rPr>
              <w:t>SBNA</w:t>
            </w:r>
          </w:p>
        </w:tc>
        <w:tc>
          <w:tcPr>
            <w:tcW w:w="2160" w:type="dxa"/>
          </w:tcPr>
          <w:p w14:paraId="620C8B3E" w14:textId="77777777" w:rsidR="00E20AC7" w:rsidRPr="00E20AC7" w:rsidRDefault="00E20AC7" w:rsidP="007603E9">
            <w:pPr>
              <w:contextualSpacing/>
              <w:jc w:val="center"/>
              <w:rPr>
                <w:rFonts w:asciiTheme="minorHAnsi" w:eastAsiaTheme="minorHAnsi" w:hAnsiTheme="minorHAnsi" w:cstheme="minorBidi"/>
                <w:b/>
                <w:lang w:val="en-GB"/>
              </w:rPr>
            </w:pPr>
            <w:r w:rsidRPr="00E20AC7">
              <w:rPr>
                <w:rFonts w:asciiTheme="minorHAnsi" w:eastAsiaTheme="minorHAnsi" w:hAnsiTheme="minorHAnsi" w:cstheme="minorBidi"/>
                <w:b/>
                <w:lang w:val="en-GB"/>
              </w:rPr>
              <w:t>SC</w:t>
            </w:r>
          </w:p>
        </w:tc>
        <w:tc>
          <w:tcPr>
            <w:tcW w:w="2160" w:type="dxa"/>
          </w:tcPr>
          <w:p w14:paraId="1646B9D8" w14:textId="77777777" w:rsidR="00E20AC7" w:rsidRPr="00E20AC7" w:rsidRDefault="00E20AC7" w:rsidP="00E20AC7">
            <w:pPr>
              <w:contextualSpacing/>
              <w:jc w:val="center"/>
              <w:rPr>
                <w:rFonts w:asciiTheme="minorHAnsi" w:eastAsiaTheme="minorHAnsi" w:hAnsiTheme="minorHAnsi" w:cstheme="minorBidi"/>
                <w:b/>
                <w:lang w:val="en-GB"/>
              </w:rPr>
            </w:pPr>
            <w:r w:rsidRPr="00E20AC7">
              <w:rPr>
                <w:rFonts w:asciiTheme="minorHAnsi" w:eastAsiaTheme="minorHAnsi" w:hAnsiTheme="minorHAnsi" w:cstheme="minorBidi"/>
                <w:b/>
                <w:lang w:val="en-GB"/>
              </w:rPr>
              <w:t>SHUSA</w:t>
            </w:r>
          </w:p>
        </w:tc>
      </w:tr>
      <w:tr w:rsidR="00E20AC7" w:rsidRPr="00E20AC7" w14:paraId="0403EBF8" w14:textId="77777777" w:rsidTr="006B4051">
        <w:tc>
          <w:tcPr>
            <w:tcW w:w="1584" w:type="dxa"/>
          </w:tcPr>
          <w:p w14:paraId="67CD9117" w14:textId="77777777" w:rsidR="00E20AC7" w:rsidRPr="00E20AC7" w:rsidRDefault="00E20AC7" w:rsidP="00E20AC7">
            <w:pPr>
              <w:contextualSpacing/>
              <w:jc w:val="center"/>
              <w:rPr>
                <w:rFonts w:asciiTheme="minorHAnsi" w:eastAsiaTheme="minorHAnsi" w:hAnsiTheme="minorHAnsi" w:cstheme="minorBidi"/>
                <w:b/>
                <w:lang w:val="en-GB"/>
              </w:rPr>
            </w:pPr>
          </w:p>
        </w:tc>
        <w:tc>
          <w:tcPr>
            <w:tcW w:w="1584" w:type="dxa"/>
          </w:tcPr>
          <w:p w14:paraId="5444113F" w14:textId="77777777" w:rsidR="00E20AC7" w:rsidRPr="00E20AC7" w:rsidRDefault="00E20AC7" w:rsidP="00E20AC7">
            <w:pPr>
              <w:contextualSpacing/>
              <w:jc w:val="center"/>
              <w:rPr>
                <w:rFonts w:asciiTheme="minorHAnsi" w:eastAsiaTheme="minorHAnsi" w:hAnsiTheme="minorHAnsi" w:cstheme="minorBidi"/>
                <w:b/>
                <w:lang w:val="en-GB"/>
              </w:rPr>
            </w:pPr>
            <w:r w:rsidRPr="00E20AC7">
              <w:rPr>
                <w:rFonts w:asciiTheme="minorHAnsi" w:eastAsiaTheme="minorHAnsi" w:hAnsiTheme="minorHAnsi" w:cstheme="minorBidi"/>
                <w:b/>
                <w:lang w:val="en-GB"/>
              </w:rPr>
              <w:t>Strategic Plan PBT</w:t>
            </w:r>
          </w:p>
        </w:tc>
        <w:tc>
          <w:tcPr>
            <w:tcW w:w="2160" w:type="dxa"/>
          </w:tcPr>
          <w:p w14:paraId="52567B52" w14:textId="77777777" w:rsidR="00E20AC7" w:rsidRPr="00E20AC7" w:rsidRDefault="00E20AC7" w:rsidP="00E20AC7">
            <w:pPr>
              <w:contextualSpacing/>
              <w:jc w:val="center"/>
              <w:rPr>
                <w:rFonts w:asciiTheme="minorHAnsi" w:eastAsiaTheme="minorHAnsi" w:hAnsiTheme="minorHAnsi" w:cstheme="minorBidi"/>
                <w:lang w:val="en-GB"/>
              </w:rPr>
            </w:pPr>
            <w:r w:rsidRPr="00E20AC7">
              <w:rPr>
                <w:rFonts w:asciiTheme="minorHAnsi" w:eastAsiaTheme="minorHAnsi" w:hAnsiTheme="minorHAnsi" w:cstheme="minorBidi"/>
                <w:lang w:val="en-GB"/>
              </w:rPr>
              <w:t>SHUSA Finance Capital Planning</w:t>
            </w:r>
          </w:p>
        </w:tc>
        <w:tc>
          <w:tcPr>
            <w:tcW w:w="2160" w:type="dxa"/>
          </w:tcPr>
          <w:p w14:paraId="5AC5E608" w14:textId="77777777" w:rsidR="00E20AC7" w:rsidRPr="00E20AC7" w:rsidRDefault="00E20AC7" w:rsidP="00E20AC7">
            <w:pPr>
              <w:contextualSpacing/>
              <w:jc w:val="center"/>
              <w:rPr>
                <w:rFonts w:asciiTheme="minorHAnsi" w:eastAsiaTheme="minorHAnsi" w:hAnsiTheme="minorHAnsi" w:cstheme="minorBidi"/>
                <w:lang w:val="en-GB"/>
              </w:rPr>
            </w:pPr>
            <w:r w:rsidRPr="00E20AC7">
              <w:rPr>
                <w:rFonts w:asciiTheme="minorHAnsi" w:eastAsiaTheme="minorHAnsi" w:hAnsiTheme="minorHAnsi" w:cstheme="minorBidi"/>
                <w:lang w:val="en-GB"/>
              </w:rPr>
              <w:t>SHUSA Finance Capital Planning</w:t>
            </w:r>
          </w:p>
        </w:tc>
        <w:tc>
          <w:tcPr>
            <w:tcW w:w="2160" w:type="dxa"/>
          </w:tcPr>
          <w:p w14:paraId="7516BAA9" w14:textId="77777777" w:rsidR="00E20AC7" w:rsidRPr="00E20AC7" w:rsidRDefault="00E20AC7" w:rsidP="00E20AC7">
            <w:pPr>
              <w:contextualSpacing/>
              <w:jc w:val="center"/>
              <w:rPr>
                <w:rFonts w:asciiTheme="minorHAnsi" w:eastAsiaTheme="minorHAnsi" w:hAnsiTheme="minorHAnsi" w:cstheme="minorBidi"/>
                <w:lang w:val="en-GB"/>
              </w:rPr>
            </w:pPr>
            <w:r w:rsidRPr="00E20AC7">
              <w:rPr>
                <w:rFonts w:asciiTheme="minorHAnsi" w:eastAsiaTheme="minorHAnsi" w:hAnsiTheme="minorHAnsi" w:cstheme="minorBidi"/>
                <w:lang w:val="en-GB"/>
              </w:rPr>
              <w:t>SHUSA Finance Capital Planning</w:t>
            </w:r>
          </w:p>
        </w:tc>
      </w:tr>
      <w:tr w:rsidR="00E20AC7" w:rsidRPr="00E20AC7" w14:paraId="6B113F1C" w14:textId="77777777" w:rsidTr="006B4051">
        <w:tc>
          <w:tcPr>
            <w:tcW w:w="1584" w:type="dxa"/>
          </w:tcPr>
          <w:p w14:paraId="25804543" w14:textId="77777777" w:rsidR="00E20AC7" w:rsidRPr="00E20AC7" w:rsidRDefault="00E20AC7" w:rsidP="00E20AC7">
            <w:pPr>
              <w:contextualSpacing/>
              <w:jc w:val="center"/>
              <w:rPr>
                <w:rFonts w:asciiTheme="minorHAnsi" w:eastAsiaTheme="minorHAnsi" w:hAnsiTheme="minorHAnsi" w:cstheme="minorBidi"/>
                <w:b/>
                <w:lang w:val="en-GB"/>
              </w:rPr>
            </w:pPr>
            <w:r w:rsidRPr="00E20AC7">
              <w:rPr>
                <w:rFonts w:asciiTheme="minorHAnsi" w:eastAsiaTheme="minorHAnsi" w:hAnsiTheme="minorHAnsi" w:cstheme="minorBidi"/>
                <w:b/>
                <w:lang w:val="en-GB"/>
              </w:rPr>
              <w:t>Macroeconomic Stress</w:t>
            </w:r>
          </w:p>
        </w:tc>
        <w:tc>
          <w:tcPr>
            <w:tcW w:w="1584" w:type="dxa"/>
          </w:tcPr>
          <w:p w14:paraId="44EDEFB6" w14:textId="77777777" w:rsidR="00E20AC7" w:rsidRPr="00E20AC7" w:rsidRDefault="00E20AC7" w:rsidP="00E20AC7">
            <w:pPr>
              <w:contextualSpacing/>
              <w:jc w:val="center"/>
              <w:rPr>
                <w:rFonts w:asciiTheme="minorHAnsi" w:eastAsiaTheme="minorHAnsi" w:hAnsiTheme="minorHAnsi" w:cstheme="minorBidi"/>
                <w:b/>
                <w:lang w:val="en-GB"/>
              </w:rPr>
            </w:pPr>
            <w:r w:rsidRPr="00E20AC7">
              <w:rPr>
                <w:rFonts w:asciiTheme="minorHAnsi" w:eastAsiaTheme="minorHAnsi" w:hAnsiTheme="minorHAnsi" w:cstheme="minorBidi"/>
                <w:b/>
                <w:lang w:val="en-GB"/>
              </w:rPr>
              <w:t>PPNR</w:t>
            </w:r>
          </w:p>
          <w:p w14:paraId="7711E0D2" w14:textId="77777777" w:rsidR="00E20AC7" w:rsidRPr="00E20AC7" w:rsidRDefault="00E20AC7" w:rsidP="00E20AC7">
            <w:pPr>
              <w:contextualSpacing/>
              <w:jc w:val="center"/>
              <w:rPr>
                <w:rFonts w:asciiTheme="minorHAnsi" w:eastAsiaTheme="minorHAnsi" w:hAnsiTheme="minorHAnsi" w:cstheme="minorBidi"/>
                <w:b/>
                <w:lang w:val="en-GB"/>
              </w:rPr>
            </w:pPr>
            <w:r w:rsidRPr="00E20AC7">
              <w:rPr>
                <w:rFonts w:asciiTheme="minorHAnsi" w:eastAsiaTheme="minorHAnsi" w:hAnsiTheme="minorHAnsi" w:cstheme="minorBidi"/>
                <w:b/>
                <w:lang w:val="en-GB"/>
              </w:rPr>
              <w:t>Baseline &amp; Stressed</w:t>
            </w:r>
          </w:p>
        </w:tc>
        <w:tc>
          <w:tcPr>
            <w:tcW w:w="2160" w:type="dxa"/>
          </w:tcPr>
          <w:p w14:paraId="03EAD1FA" w14:textId="77777777" w:rsidR="00E20AC7" w:rsidRPr="00E20AC7" w:rsidRDefault="00E20AC7" w:rsidP="00E20AC7">
            <w:pPr>
              <w:contextualSpacing/>
              <w:jc w:val="center"/>
              <w:rPr>
                <w:rFonts w:asciiTheme="minorHAnsi" w:eastAsiaTheme="minorHAnsi" w:hAnsiTheme="minorHAnsi" w:cstheme="minorBidi"/>
                <w:lang w:val="en-GB"/>
              </w:rPr>
            </w:pPr>
            <w:r w:rsidRPr="00E20AC7">
              <w:rPr>
                <w:rFonts w:asciiTheme="minorHAnsi" w:eastAsiaTheme="minorHAnsi" w:hAnsiTheme="minorHAnsi" w:cstheme="minorBidi"/>
                <w:lang w:val="en-GB"/>
              </w:rPr>
              <w:t xml:space="preserve">SHUSA Finance Capital Planning – </w:t>
            </w:r>
          </w:p>
          <w:p w14:paraId="628616B2" w14:textId="77777777" w:rsidR="00E20AC7" w:rsidRPr="00E20AC7" w:rsidRDefault="00E20AC7" w:rsidP="00E20AC7">
            <w:pPr>
              <w:contextualSpacing/>
              <w:jc w:val="center"/>
              <w:rPr>
                <w:rFonts w:asciiTheme="minorHAnsi" w:eastAsiaTheme="minorHAnsi" w:hAnsiTheme="minorHAnsi" w:cstheme="minorBidi"/>
                <w:lang w:val="en-GB"/>
              </w:rPr>
            </w:pPr>
            <w:r w:rsidRPr="00E20AC7">
              <w:rPr>
                <w:rFonts w:asciiTheme="minorHAnsi" w:eastAsiaTheme="minorHAnsi" w:hAnsiTheme="minorHAnsi" w:cstheme="minorBidi"/>
                <w:lang w:val="en-GB"/>
              </w:rPr>
              <w:t>Strategic Plan and CCAR Output</w:t>
            </w:r>
          </w:p>
        </w:tc>
        <w:tc>
          <w:tcPr>
            <w:tcW w:w="2160" w:type="dxa"/>
          </w:tcPr>
          <w:p w14:paraId="4D219151" w14:textId="77777777" w:rsidR="00E20AC7" w:rsidRPr="00E20AC7" w:rsidRDefault="00E20AC7" w:rsidP="00E20AC7">
            <w:pPr>
              <w:contextualSpacing/>
              <w:jc w:val="center"/>
              <w:rPr>
                <w:rFonts w:asciiTheme="minorHAnsi" w:eastAsiaTheme="minorHAnsi" w:hAnsiTheme="minorHAnsi" w:cstheme="minorBidi"/>
                <w:lang w:val="en-GB"/>
              </w:rPr>
            </w:pPr>
            <w:r w:rsidRPr="00E20AC7">
              <w:rPr>
                <w:rFonts w:asciiTheme="minorHAnsi" w:eastAsiaTheme="minorHAnsi" w:hAnsiTheme="minorHAnsi" w:cstheme="minorBidi"/>
                <w:lang w:val="en-GB"/>
              </w:rPr>
              <w:t xml:space="preserve">SHUSA Finance Capital Planning – </w:t>
            </w:r>
          </w:p>
          <w:p w14:paraId="1BD0A46C" w14:textId="77777777" w:rsidR="00E20AC7" w:rsidRPr="00E20AC7" w:rsidRDefault="00E20AC7" w:rsidP="00E20AC7">
            <w:pPr>
              <w:contextualSpacing/>
              <w:jc w:val="center"/>
              <w:rPr>
                <w:rFonts w:asciiTheme="minorHAnsi" w:eastAsiaTheme="minorHAnsi" w:hAnsiTheme="minorHAnsi" w:cstheme="minorBidi"/>
                <w:lang w:val="en-GB"/>
              </w:rPr>
            </w:pPr>
            <w:r w:rsidRPr="00E20AC7">
              <w:rPr>
                <w:rFonts w:asciiTheme="minorHAnsi" w:eastAsiaTheme="minorHAnsi" w:hAnsiTheme="minorHAnsi" w:cstheme="minorBidi"/>
                <w:lang w:val="en-GB"/>
              </w:rPr>
              <w:t>Strategic Plan and CCAR Output</w:t>
            </w:r>
          </w:p>
        </w:tc>
        <w:tc>
          <w:tcPr>
            <w:tcW w:w="2160" w:type="dxa"/>
          </w:tcPr>
          <w:p w14:paraId="2E408E77" w14:textId="77777777" w:rsidR="00E20AC7" w:rsidRPr="00E20AC7" w:rsidRDefault="00E20AC7" w:rsidP="00E20AC7">
            <w:pPr>
              <w:contextualSpacing/>
              <w:jc w:val="center"/>
              <w:rPr>
                <w:rFonts w:asciiTheme="minorHAnsi" w:eastAsiaTheme="minorHAnsi" w:hAnsiTheme="minorHAnsi" w:cstheme="minorBidi"/>
                <w:lang w:val="en-GB"/>
              </w:rPr>
            </w:pPr>
            <w:r w:rsidRPr="00E20AC7">
              <w:rPr>
                <w:rFonts w:asciiTheme="minorHAnsi" w:eastAsiaTheme="minorHAnsi" w:hAnsiTheme="minorHAnsi" w:cstheme="minorBidi"/>
                <w:lang w:val="en-GB"/>
              </w:rPr>
              <w:t xml:space="preserve">SHUSA Finance Capital Planning – </w:t>
            </w:r>
          </w:p>
          <w:p w14:paraId="7DA62CCA" w14:textId="77777777" w:rsidR="00E20AC7" w:rsidRPr="00E20AC7" w:rsidRDefault="00E20AC7" w:rsidP="00E20AC7">
            <w:pPr>
              <w:contextualSpacing/>
              <w:jc w:val="center"/>
              <w:rPr>
                <w:rFonts w:asciiTheme="minorHAnsi" w:eastAsiaTheme="minorHAnsi" w:hAnsiTheme="minorHAnsi" w:cstheme="minorBidi"/>
                <w:lang w:val="en-GB"/>
              </w:rPr>
            </w:pPr>
            <w:r w:rsidRPr="00E20AC7">
              <w:rPr>
                <w:rFonts w:asciiTheme="minorHAnsi" w:eastAsiaTheme="minorHAnsi" w:hAnsiTheme="minorHAnsi" w:cstheme="minorBidi"/>
                <w:lang w:val="en-GB"/>
              </w:rPr>
              <w:t>Strategic Plan and CCAR Output</w:t>
            </w:r>
          </w:p>
        </w:tc>
      </w:tr>
      <w:tr w:rsidR="00E20AC7" w:rsidRPr="00E20AC7" w14:paraId="5B2A5A63" w14:textId="77777777" w:rsidTr="006B4051">
        <w:tc>
          <w:tcPr>
            <w:tcW w:w="1584" w:type="dxa"/>
          </w:tcPr>
          <w:p w14:paraId="5C2B45B4" w14:textId="77777777" w:rsidR="00E20AC7" w:rsidRPr="00E20AC7" w:rsidRDefault="00E20AC7" w:rsidP="00E20AC7">
            <w:pPr>
              <w:contextualSpacing/>
              <w:jc w:val="center"/>
              <w:rPr>
                <w:rFonts w:asciiTheme="minorHAnsi" w:eastAsiaTheme="minorHAnsi" w:hAnsiTheme="minorHAnsi" w:cstheme="minorBidi"/>
                <w:b/>
                <w:lang w:val="en-GB"/>
              </w:rPr>
            </w:pPr>
            <w:r w:rsidRPr="00E20AC7">
              <w:rPr>
                <w:rFonts w:asciiTheme="minorHAnsi" w:eastAsiaTheme="minorHAnsi" w:hAnsiTheme="minorHAnsi" w:cstheme="minorBidi"/>
                <w:b/>
                <w:lang w:val="en-GB"/>
              </w:rPr>
              <w:t>Macroeconomic Stress</w:t>
            </w:r>
          </w:p>
        </w:tc>
        <w:tc>
          <w:tcPr>
            <w:tcW w:w="1584" w:type="dxa"/>
          </w:tcPr>
          <w:p w14:paraId="031DE37C" w14:textId="77777777" w:rsidR="00E20AC7" w:rsidRPr="00E20AC7" w:rsidRDefault="00E20AC7" w:rsidP="00E20AC7">
            <w:pPr>
              <w:contextualSpacing/>
              <w:jc w:val="center"/>
              <w:rPr>
                <w:rFonts w:asciiTheme="minorHAnsi" w:eastAsiaTheme="minorHAnsi" w:hAnsiTheme="minorHAnsi" w:cstheme="minorBidi"/>
                <w:b/>
                <w:lang w:val="en-GB"/>
              </w:rPr>
            </w:pPr>
            <w:r w:rsidRPr="00E20AC7">
              <w:rPr>
                <w:rFonts w:asciiTheme="minorHAnsi" w:eastAsiaTheme="minorHAnsi" w:hAnsiTheme="minorHAnsi" w:cstheme="minorBidi"/>
                <w:b/>
                <w:lang w:val="en-GB"/>
              </w:rPr>
              <w:t>Provisions</w:t>
            </w:r>
          </w:p>
        </w:tc>
        <w:tc>
          <w:tcPr>
            <w:tcW w:w="2160" w:type="dxa"/>
          </w:tcPr>
          <w:p w14:paraId="2CACBE66" w14:textId="77777777" w:rsidR="00E20AC7" w:rsidRPr="00E20AC7" w:rsidRDefault="00E20AC7" w:rsidP="00E20AC7">
            <w:pPr>
              <w:contextualSpacing/>
              <w:jc w:val="center"/>
              <w:rPr>
                <w:rFonts w:asciiTheme="minorHAnsi" w:eastAsiaTheme="minorHAnsi" w:hAnsiTheme="minorHAnsi" w:cstheme="minorBidi"/>
                <w:lang w:val="en-GB"/>
              </w:rPr>
            </w:pPr>
            <w:r w:rsidRPr="00E20AC7">
              <w:rPr>
                <w:rFonts w:asciiTheme="minorHAnsi" w:eastAsiaTheme="minorHAnsi" w:hAnsiTheme="minorHAnsi" w:cstheme="minorBidi"/>
                <w:lang w:val="en-GB"/>
              </w:rPr>
              <w:t xml:space="preserve">SBNA Solvency &amp; SHUSA Finance Capital Planning – </w:t>
            </w:r>
          </w:p>
          <w:p w14:paraId="7A112B4A" w14:textId="77777777" w:rsidR="00E20AC7" w:rsidRPr="00E20AC7" w:rsidRDefault="00E20AC7" w:rsidP="00E20AC7">
            <w:pPr>
              <w:contextualSpacing/>
              <w:jc w:val="center"/>
              <w:rPr>
                <w:rFonts w:asciiTheme="minorHAnsi" w:eastAsiaTheme="minorHAnsi" w:hAnsiTheme="minorHAnsi" w:cstheme="minorBidi"/>
                <w:lang w:val="en-GB"/>
              </w:rPr>
            </w:pPr>
            <w:r w:rsidRPr="00E20AC7">
              <w:rPr>
                <w:rFonts w:asciiTheme="minorHAnsi" w:eastAsiaTheme="minorHAnsi" w:hAnsiTheme="minorHAnsi" w:cstheme="minorBidi"/>
                <w:lang w:val="en-GB"/>
              </w:rPr>
              <w:t>CCAR Output</w:t>
            </w:r>
          </w:p>
        </w:tc>
        <w:tc>
          <w:tcPr>
            <w:tcW w:w="2160" w:type="dxa"/>
          </w:tcPr>
          <w:p w14:paraId="7FB6BDB9" w14:textId="77777777" w:rsidR="00E20AC7" w:rsidRPr="00E20AC7" w:rsidRDefault="00E20AC7" w:rsidP="00E20AC7">
            <w:pPr>
              <w:contextualSpacing/>
              <w:jc w:val="center"/>
              <w:rPr>
                <w:rFonts w:asciiTheme="minorHAnsi" w:eastAsiaTheme="minorHAnsi" w:hAnsiTheme="minorHAnsi" w:cstheme="minorBidi"/>
                <w:lang w:val="en-GB"/>
              </w:rPr>
            </w:pPr>
            <w:r w:rsidRPr="00E20AC7">
              <w:rPr>
                <w:rFonts w:asciiTheme="minorHAnsi" w:eastAsiaTheme="minorHAnsi" w:hAnsiTheme="minorHAnsi" w:cstheme="minorBidi"/>
                <w:lang w:val="en-GB"/>
              </w:rPr>
              <w:t>SHUSA Finance Capital Planning –</w:t>
            </w:r>
          </w:p>
          <w:p w14:paraId="20996E8D" w14:textId="77777777" w:rsidR="00E20AC7" w:rsidRPr="00E20AC7" w:rsidRDefault="00E20AC7" w:rsidP="00E20AC7">
            <w:pPr>
              <w:contextualSpacing/>
              <w:jc w:val="center"/>
              <w:rPr>
                <w:rFonts w:asciiTheme="minorHAnsi" w:eastAsiaTheme="minorHAnsi" w:hAnsiTheme="minorHAnsi" w:cstheme="minorBidi"/>
                <w:lang w:val="en-GB"/>
              </w:rPr>
            </w:pPr>
            <w:r w:rsidRPr="00E20AC7">
              <w:rPr>
                <w:rFonts w:asciiTheme="minorHAnsi" w:eastAsiaTheme="minorHAnsi" w:hAnsiTheme="minorHAnsi" w:cstheme="minorBidi"/>
                <w:lang w:val="en-GB"/>
              </w:rPr>
              <w:t xml:space="preserve"> CCAR Output</w:t>
            </w:r>
          </w:p>
        </w:tc>
        <w:tc>
          <w:tcPr>
            <w:tcW w:w="2160" w:type="dxa"/>
          </w:tcPr>
          <w:p w14:paraId="3932D2F1" w14:textId="77777777" w:rsidR="00E20AC7" w:rsidRPr="00E20AC7" w:rsidRDefault="00E20AC7" w:rsidP="00E20AC7">
            <w:pPr>
              <w:contextualSpacing/>
              <w:jc w:val="center"/>
              <w:rPr>
                <w:rFonts w:asciiTheme="minorHAnsi" w:eastAsiaTheme="minorHAnsi" w:hAnsiTheme="minorHAnsi" w:cstheme="minorBidi"/>
                <w:lang w:val="en-GB"/>
              </w:rPr>
            </w:pPr>
            <w:r w:rsidRPr="00E20AC7">
              <w:rPr>
                <w:rFonts w:asciiTheme="minorHAnsi" w:eastAsiaTheme="minorHAnsi" w:hAnsiTheme="minorHAnsi" w:cstheme="minorBidi"/>
                <w:lang w:val="en-GB"/>
              </w:rPr>
              <w:t xml:space="preserve">SHUSA RAS team – </w:t>
            </w:r>
          </w:p>
          <w:p w14:paraId="6DD33879" w14:textId="77777777" w:rsidR="00E20AC7" w:rsidRPr="00E20AC7" w:rsidRDefault="00E20AC7" w:rsidP="00E20AC7">
            <w:pPr>
              <w:contextualSpacing/>
              <w:jc w:val="center"/>
              <w:rPr>
                <w:rFonts w:asciiTheme="minorHAnsi" w:eastAsiaTheme="minorHAnsi" w:hAnsiTheme="minorHAnsi" w:cstheme="minorBidi"/>
                <w:lang w:val="en-GB"/>
              </w:rPr>
            </w:pPr>
            <w:r w:rsidRPr="00E20AC7">
              <w:rPr>
                <w:rFonts w:asciiTheme="minorHAnsi" w:eastAsiaTheme="minorHAnsi" w:hAnsiTheme="minorHAnsi" w:cstheme="minorBidi"/>
                <w:lang w:val="en-GB"/>
              </w:rPr>
              <w:t>Sum  of SBNA and S</w:t>
            </w:r>
            <w:r w:rsidR="007603E9">
              <w:rPr>
                <w:rFonts w:asciiTheme="minorHAnsi" w:eastAsiaTheme="minorHAnsi" w:hAnsiTheme="minorHAnsi" w:cstheme="minorBidi"/>
                <w:lang w:val="en-GB"/>
              </w:rPr>
              <w:t>C</w:t>
            </w:r>
          </w:p>
        </w:tc>
      </w:tr>
      <w:tr w:rsidR="00E20AC7" w:rsidRPr="00E20AC7" w14:paraId="64A68273" w14:textId="77777777" w:rsidTr="006B4051">
        <w:tc>
          <w:tcPr>
            <w:tcW w:w="1584" w:type="dxa"/>
          </w:tcPr>
          <w:p w14:paraId="3B0F2218" w14:textId="77777777" w:rsidR="00E20AC7" w:rsidRPr="00E20AC7" w:rsidRDefault="00E20AC7" w:rsidP="00E20AC7">
            <w:pPr>
              <w:contextualSpacing/>
              <w:jc w:val="center"/>
              <w:rPr>
                <w:rFonts w:asciiTheme="minorHAnsi" w:eastAsiaTheme="minorHAnsi" w:hAnsiTheme="minorHAnsi" w:cstheme="minorBidi"/>
                <w:b/>
                <w:lang w:val="en-GB"/>
              </w:rPr>
            </w:pPr>
            <w:r w:rsidRPr="00E20AC7">
              <w:rPr>
                <w:rFonts w:asciiTheme="minorHAnsi" w:eastAsiaTheme="minorHAnsi" w:hAnsiTheme="minorHAnsi" w:cstheme="minorBidi"/>
                <w:b/>
                <w:lang w:val="en-GB"/>
              </w:rPr>
              <w:t>Macroeconomic Stress</w:t>
            </w:r>
          </w:p>
        </w:tc>
        <w:tc>
          <w:tcPr>
            <w:tcW w:w="1584" w:type="dxa"/>
          </w:tcPr>
          <w:p w14:paraId="4E9BBFF8" w14:textId="77777777" w:rsidR="00E20AC7" w:rsidRPr="00E20AC7" w:rsidRDefault="00E20AC7">
            <w:pPr>
              <w:contextualSpacing/>
              <w:jc w:val="center"/>
              <w:rPr>
                <w:rFonts w:asciiTheme="minorHAnsi" w:eastAsiaTheme="minorHAnsi" w:hAnsiTheme="minorHAnsi" w:cstheme="minorBidi"/>
                <w:b/>
                <w:lang w:val="en-GB"/>
              </w:rPr>
            </w:pPr>
            <w:r w:rsidRPr="00E20AC7">
              <w:rPr>
                <w:rFonts w:asciiTheme="minorHAnsi" w:eastAsiaTheme="minorHAnsi" w:hAnsiTheme="minorHAnsi" w:cstheme="minorBidi"/>
                <w:b/>
                <w:lang w:val="en-GB"/>
              </w:rPr>
              <w:t>Stressed Concentration G</w:t>
            </w:r>
            <w:r w:rsidR="002336C3">
              <w:rPr>
                <w:rFonts w:asciiTheme="minorHAnsi" w:eastAsiaTheme="minorHAnsi" w:hAnsiTheme="minorHAnsi" w:cstheme="minorBidi"/>
                <w:b/>
                <w:lang w:val="en-GB"/>
              </w:rPr>
              <w:t>C</w:t>
            </w:r>
            <w:r w:rsidRPr="00E20AC7">
              <w:rPr>
                <w:rFonts w:asciiTheme="minorHAnsi" w:eastAsiaTheme="minorHAnsi" w:hAnsiTheme="minorHAnsi" w:cstheme="minorBidi"/>
                <w:b/>
                <w:lang w:val="en-GB"/>
              </w:rPr>
              <w:t>B</w:t>
            </w:r>
          </w:p>
        </w:tc>
        <w:tc>
          <w:tcPr>
            <w:tcW w:w="2160" w:type="dxa"/>
          </w:tcPr>
          <w:p w14:paraId="48207159" w14:textId="77777777" w:rsidR="00E20AC7" w:rsidRPr="00E20AC7" w:rsidRDefault="00E20AC7" w:rsidP="00E20AC7">
            <w:pPr>
              <w:contextualSpacing/>
              <w:jc w:val="center"/>
              <w:rPr>
                <w:rFonts w:asciiTheme="minorHAnsi" w:eastAsiaTheme="minorHAnsi" w:hAnsiTheme="minorHAnsi" w:cstheme="minorBidi"/>
                <w:lang w:val="en-GB"/>
              </w:rPr>
            </w:pPr>
            <w:r w:rsidRPr="00E20AC7">
              <w:rPr>
                <w:rFonts w:asciiTheme="minorHAnsi" w:eastAsiaTheme="minorHAnsi" w:hAnsiTheme="minorHAnsi" w:cstheme="minorBidi"/>
                <w:lang w:val="en-GB"/>
              </w:rPr>
              <w:t>SHUSA &amp; SBNA Solvency</w:t>
            </w:r>
          </w:p>
        </w:tc>
        <w:tc>
          <w:tcPr>
            <w:tcW w:w="2160" w:type="dxa"/>
          </w:tcPr>
          <w:p w14:paraId="1FA93E86" w14:textId="77777777" w:rsidR="00E20AC7" w:rsidRPr="00E20AC7" w:rsidRDefault="00E20AC7" w:rsidP="00E20AC7">
            <w:pPr>
              <w:contextualSpacing/>
              <w:jc w:val="center"/>
              <w:rPr>
                <w:rFonts w:asciiTheme="minorHAnsi" w:eastAsiaTheme="minorHAnsi" w:hAnsiTheme="minorHAnsi" w:cstheme="minorBidi"/>
                <w:lang w:val="en-GB"/>
              </w:rPr>
            </w:pPr>
            <w:r w:rsidRPr="00E20AC7">
              <w:rPr>
                <w:rFonts w:asciiTheme="minorHAnsi" w:eastAsiaTheme="minorHAnsi" w:hAnsiTheme="minorHAnsi" w:cstheme="minorBidi"/>
                <w:lang w:val="en-GB"/>
              </w:rPr>
              <w:t>N/A</w:t>
            </w:r>
          </w:p>
        </w:tc>
        <w:tc>
          <w:tcPr>
            <w:tcW w:w="2160" w:type="dxa"/>
          </w:tcPr>
          <w:p w14:paraId="3AD05054" w14:textId="77777777" w:rsidR="00E20AC7" w:rsidRPr="00E20AC7" w:rsidRDefault="00E20AC7" w:rsidP="00E20AC7">
            <w:pPr>
              <w:contextualSpacing/>
              <w:jc w:val="center"/>
              <w:rPr>
                <w:rFonts w:asciiTheme="minorHAnsi" w:eastAsiaTheme="minorHAnsi" w:hAnsiTheme="minorHAnsi" w:cstheme="minorBidi"/>
                <w:lang w:val="en-GB"/>
              </w:rPr>
            </w:pPr>
            <w:r w:rsidRPr="00E20AC7">
              <w:rPr>
                <w:rFonts w:asciiTheme="minorHAnsi" w:eastAsiaTheme="minorHAnsi" w:hAnsiTheme="minorHAnsi" w:cstheme="minorBidi"/>
                <w:lang w:val="en-GB"/>
              </w:rPr>
              <w:t>SHUSA &amp; SBNA Solvency</w:t>
            </w:r>
          </w:p>
        </w:tc>
      </w:tr>
      <w:tr w:rsidR="00E20AC7" w:rsidRPr="00E20AC7" w14:paraId="71EB8574" w14:textId="77777777" w:rsidTr="006B4051">
        <w:tc>
          <w:tcPr>
            <w:tcW w:w="1584" w:type="dxa"/>
          </w:tcPr>
          <w:p w14:paraId="62E7711C" w14:textId="77777777" w:rsidR="00E20AC7" w:rsidRPr="00E20AC7" w:rsidRDefault="00E20AC7" w:rsidP="00E20AC7">
            <w:pPr>
              <w:contextualSpacing/>
              <w:jc w:val="center"/>
              <w:rPr>
                <w:rFonts w:asciiTheme="minorHAnsi" w:eastAsiaTheme="minorHAnsi" w:hAnsiTheme="minorHAnsi" w:cstheme="minorBidi"/>
                <w:b/>
                <w:lang w:val="en-GB"/>
              </w:rPr>
            </w:pPr>
            <w:r w:rsidRPr="00E20AC7">
              <w:rPr>
                <w:rFonts w:asciiTheme="minorHAnsi" w:eastAsiaTheme="minorHAnsi" w:hAnsiTheme="minorHAnsi" w:cstheme="minorBidi"/>
                <w:b/>
                <w:lang w:val="en-GB"/>
              </w:rPr>
              <w:t>Non-macroeconomic stress</w:t>
            </w:r>
          </w:p>
        </w:tc>
        <w:tc>
          <w:tcPr>
            <w:tcW w:w="1584" w:type="dxa"/>
          </w:tcPr>
          <w:p w14:paraId="63EB1842" w14:textId="77777777" w:rsidR="00E20AC7" w:rsidRPr="00E20AC7" w:rsidRDefault="00E20AC7" w:rsidP="00E20AC7">
            <w:pPr>
              <w:contextualSpacing/>
              <w:jc w:val="center"/>
              <w:rPr>
                <w:rFonts w:asciiTheme="minorHAnsi" w:eastAsiaTheme="minorHAnsi" w:hAnsiTheme="minorHAnsi" w:cstheme="minorBidi"/>
                <w:b/>
                <w:lang w:val="en-GB"/>
              </w:rPr>
            </w:pPr>
            <w:r w:rsidRPr="00E20AC7">
              <w:rPr>
                <w:rFonts w:asciiTheme="minorHAnsi" w:eastAsiaTheme="minorHAnsi" w:hAnsiTheme="minorHAnsi" w:cstheme="minorBidi"/>
                <w:b/>
                <w:lang w:val="en-GB"/>
              </w:rPr>
              <w:t xml:space="preserve">Stressed </w:t>
            </w:r>
            <w:proofErr w:type="spellStart"/>
            <w:r w:rsidRPr="00E20AC7">
              <w:rPr>
                <w:rFonts w:asciiTheme="minorHAnsi" w:eastAsiaTheme="minorHAnsi" w:hAnsiTheme="minorHAnsi" w:cstheme="minorBidi"/>
                <w:b/>
                <w:lang w:val="en-GB"/>
              </w:rPr>
              <w:t>VaR</w:t>
            </w:r>
            <w:proofErr w:type="spellEnd"/>
          </w:p>
        </w:tc>
        <w:tc>
          <w:tcPr>
            <w:tcW w:w="2160" w:type="dxa"/>
          </w:tcPr>
          <w:p w14:paraId="4D0E9B0E" w14:textId="77777777" w:rsidR="00E20AC7" w:rsidRPr="00E20AC7" w:rsidRDefault="00E20AC7" w:rsidP="00E20AC7">
            <w:pPr>
              <w:contextualSpacing/>
              <w:jc w:val="center"/>
              <w:rPr>
                <w:rFonts w:asciiTheme="minorHAnsi" w:eastAsiaTheme="minorHAnsi" w:hAnsiTheme="minorHAnsi" w:cstheme="minorBidi"/>
                <w:lang w:val="en-GB"/>
              </w:rPr>
            </w:pPr>
            <w:r w:rsidRPr="00E20AC7">
              <w:rPr>
                <w:rFonts w:asciiTheme="minorHAnsi" w:eastAsiaTheme="minorHAnsi" w:hAnsiTheme="minorHAnsi" w:cstheme="minorBidi"/>
                <w:lang w:val="en-GB"/>
              </w:rPr>
              <w:t>Market Risk SHUSA</w:t>
            </w:r>
          </w:p>
        </w:tc>
        <w:tc>
          <w:tcPr>
            <w:tcW w:w="2160" w:type="dxa"/>
          </w:tcPr>
          <w:p w14:paraId="445F4453" w14:textId="77777777" w:rsidR="00E20AC7" w:rsidRPr="00E20AC7" w:rsidRDefault="00E20AC7" w:rsidP="00E20AC7">
            <w:pPr>
              <w:contextualSpacing/>
              <w:jc w:val="center"/>
              <w:rPr>
                <w:rFonts w:asciiTheme="minorHAnsi" w:eastAsiaTheme="minorHAnsi" w:hAnsiTheme="minorHAnsi" w:cstheme="minorBidi"/>
                <w:lang w:val="en-GB"/>
              </w:rPr>
            </w:pPr>
            <w:r w:rsidRPr="00E20AC7">
              <w:rPr>
                <w:rFonts w:asciiTheme="minorHAnsi" w:eastAsiaTheme="minorHAnsi" w:hAnsiTheme="minorHAnsi" w:cstheme="minorBidi"/>
                <w:lang w:val="en-GB"/>
              </w:rPr>
              <w:t>Market Risk SHUSA</w:t>
            </w:r>
          </w:p>
        </w:tc>
        <w:tc>
          <w:tcPr>
            <w:tcW w:w="2160" w:type="dxa"/>
          </w:tcPr>
          <w:p w14:paraId="15CCEEA2" w14:textId="77777777" w:rsidR="00E20AC7" w:rsidRPr="00E20AC7" w:rsidRDefault="00E20AC7" w:rsidP="00E20AC7">
            <w:pPr>
              <w:contextualSpacing/>
              <w:jc w:val="center"/>
              <w:rPr>
                <w:rFonts w:asciiTheme="minorHAnsi" w:eastAsiaTheme="minorHAnsi" w:hAnsiTheme="minorHAnsi" w:cstheme="minorBidi"/>
                <w:lang w:val="en-GB"/>
              </w:rPr>
            </w:pPr>
            <w:r w:rsidRPr="00E20AC7">
              <w:rPr>
                <w:rFonts w:asciiTheme="minorHAnsi" w:eastAsiaTheme="minorHAnsi" w:hAnsiTheme="minorHAnsi" w:cstheme="minorBidi"/>
                <w:lang w:val="en-GB"/>
              </w:rPr>
              <w:t>Market Risk SHUSA</w:t>
            </w:r>
          </w:p>
        </w:tc>
      </w:tr>
      <w:tr w:rsidR="00E20AC7" w:rsidRPr="00E20AC7" w14:paraId="7AE13C35" w14:textId="77777777" w:rsidTr="006B4051">
        <w:tc>
          <w:tcPr>
            <w:tcW w:w="1584" w:type="dxa"/>
          </w:tcPr>
          <w:p w14:paraId="736BB3B7" w14:textId="77777777" w:rsidR="00E20AC7" w:rsidRPr="00E20AC7" w:rsidRDefault="00E20AC7" w:rsidP="00E20AC7">
            <w:pPr>
              <w:contextualSpacing/>
              <w:jc w:val="center"/>
              <w:rPr>
                <w:rFonts w:asciiTheme="minorHAnsi" w:eastAsiaTheme="minorHAnsi" w:hAnsiTheme="minorHAnsi" w:cstheme="minorBidi"/>
                <w:b/>
                <w:lang w:val="en-GB"/>
              </w:rPr>
            </w:pPr>
            <w:r w:rsidRPr="00E20AC7">
              <w:rPr>
                <w:rFonts w:asciiTheme="minorHAnsi" w:eastAsiaTheme="minorHAnsi" w:hAnsiTheme="minorHAnsi" w:cstheme="minorBidi"/>
                <w:b/>
                <w:lang w:val="en-GB"/>
              </w:rPr>
              <w:t>Non-macroeconomic stress</w:t>
            </w:r>
          </w:p>
        </w:tc>
        <w:tc>
          <w:tcPr>
            <w:tcW w:w="1584" w:type="dxa"/>
          </w:tcPr>
          <w:p w14:paraId="05DA67FF" w14:textId="77777777" w:rsidR="00E20AC7" w:rsidRPr="00E20AC7" w:rsidRDefault="00E20AC7" w:rsidP="00E20AC7">
            <w:pPr>
              <w:contextualSpacing/>
              <w:jc w:val="center"/>
              <w:rPr>
                <w:rFonts w:asciiTheme="minorHAnsi" w:eastAsiaTheme="minorHAnsi" w:hAnsiTheme="minorHAnsi" w:cstheme="minorBidi"/>
                <w:b/>
                <w:lang w:val="en-GB"/>
              </w:rPr>
            </w:pPr>
            <w:r w:rsidRPr="00E20AC7">
              <w:rPr>
                <w:rFonts w:asciiTheme="minorHAnsi" w:eastAsiaTheme="minorHAnsi" w:hAnsiTheme="minorHAnsi" w:cstheme="minorBidi"/>
                <w:b/>
                <w:lang w:val="en-GB"/>
              </w:rPr>
              <w:t>Stressed CVA</w:t>
            </w:r>
          </w:p>
        </w:tc>
        <w:tc>
          <w:tcPr>
            <w:tcW w:w="2160" w:type="dxa"/>
          </w:tcPr>
          <w:p w14:paraId="26D4667F" w14:textId="77777777" w:rsidR="00E20AC7" w:rsidRPr="00E20AC7" w:rsidRDefault="00E20AC7" w:rsidP="00E20AC7">
            <w:pPr>
              <w:contextualSpacing/>
              <w:jc w:val="center"/>
              <w:rPr>
                <w:rFonts w:asciiTheme="minorHAnsi" w:eastAsiaTheme="minorHAnsi" w:hAnsiTheme="minorHAnsi" w:cstheme="minorBidi"/>
                <w:lang w:val="en-GB"/>
              </w:rPr>
            </w:pPr>
            <w:r w:rsidRPr="00E20AC7">
              <w:rPr>
                <w:rFonts w:asciiTheme="minorHAnsi" w:eastAsiaTheme="minorHAnsi" w:hAnsiTheme="minorHAnsi" w:cstheme="minorBidi"/>
                <w:lang w:val="en-GB"/>
              </w:rPr>
              <w:t>Market Risk SHUSA</w:t>
            </w:r>
          </w:p>
        </w:tc>
        <w:tc>
          <w:tcPr>
            <w:tcW w:w="2160" w:type="dxa"/>
          </w:tcPr>
          <w:p w14:paraId="3D6CED34" w14:textId="77777777" w:rsidR="00E20AC7" w:rsidRPr="00E20AC7" w:rsidRDefault="00E20AC7" w:rsidP="00E20AC7">
            <w:pPr>
              <w:contextualSpacing/>
              <w:jc w:val="center"/>
              <w:rPr>
                <w:rFonts w:asciiTheme="minorHAnsi" w:eastAsiaTheme="minorHAnsi" w:hAnsiTheme="minorHAnsi" w:cstheme="minorBidi"/>
                <w:lang w:val="en-GB"/>
              </w:rPr>
            </w:pPr>
            <w:r w:rsidRPr="00E20AC7">
              <w:rPr>
                <w:rFonts w:asciiTheme="minorHAnsi" w:eastAsiaTheme="minorHAnsi" w:hAnsiTheme="minorHAnsi" w:cstheme="minorBidi"/>
                <w:lang w:val="en-GB"/>
              </w:rPr>
              <w:t>N/A</w:t>
            </w:r>
          </w:p>
        </w:tc>
        <w:tc>
          <w:tcPr>
            <w:tcW w:w="2160" w:type="dxa"/>
          </w:tcPr>
          <w:p w14:paraId="16D4C048" w14:textId="77777777" w:rsidR="00E20AC7" w:rsidRPr="00E20AC7" w:rsidRDefault="00E20AC7" w:rsidP="00E20AC7">
            <w:pPr>
              <w:contextualSpacing/>
              <w:jc w:val="center"/>
              <w:rPr>
                <w:rFonts w:asciiTheme="minorHAnsi" w:eastAsiaTheme="minorHAnsi" w:hAnsiTheme="minorHAnsi" w:cstheme="minorBidi"/>
                <w:lang w:val="en-GB"/>
              </w:rPr>
            </w:pPr>
            <w:r w:rsidRPr="00E20AC7">
              <w:rPr>
                <w:rFonts w:asciiTheme="minorHAnsi" w:eastAsiaTheme="minorHAnsi" w:hAnsiTheme="minorHAnsi" w:cstheme="minorBidi"/>
                <w:lang w:val="en-GB"/>
              </w:rPr>
              <w:t>Market Risk SHUSA</w:t>
            </w:r>
          </w:p>
        </w:tc>
      </w:tr>
      <w:tr w:rsidR="00E20AC7" w:rsidRPr="00E20AC7" w14:paraId="7DE71CAA" w14:textId="77777777" w:rsidTr="006B4051">
        <w:tc>
          <w:tcPr>
            <w:tcW w:w="1584" w:type="dxa"/>
          </w:tcPr>
          <w:p w14:paraId="2DCFA3FB" w14:textId="77777777" w:rsidR="00E20AC7" w:rsidRPr="00E20AC7" w:rsidRDefault="00E20AC7" w:rsidP="00E20AC7">
            <w:pPr>
              <w:contextualSpacing/>
              <w:jc w:val="center"/>
              <w:rPr>
                <w:rFonts w:asciiTheme="minorHAnsi" w:eastAsiaTheme="minorHAnsi" w:hAnsiTheme="minorHAnsi" w:cstheme="minorBidi"/>
                <w:b/>
                <w:lang w:val="en-GB"/>
              </w:rPr>
            </w:pPr>
            <w:r w:rsidRPr="00E20AC7">
              <w:rPr>
                <w:rFonts w:asciiTheme="minorHAnsi" w:eastAsiaTheme="minorHAnsi" w:hAnsiTheme="minorHAnsi" w:cstheme="minorBidi"/>
                <w:b/>
                <w:lang w:val="en-GB"/>
              </w:rPr>
              <w:t>Non-macroeconomic stress</w:t>
            </w:r>
          </w:p>
        </w:tc>
        <w:tc>
          <w:tcPr>
            <w:tcW w:w="1584" w:type="dxa"/>
          </w:tcPr>
          <w:p w14:paraId="11D2AF3A" w14:textId="77777777" w:rsidR="00E20AC7" w:rsidRPr="00E20AC7" w:rsidRDefault="00E20AC7" w:rsidP="00E20AC7">
            <w:pPr>
              <w:contextualSpacing/>
              <w:jc w:val="center"/>
              <w:rPr>
                <w:rFonts w:asciiTheme="minorHAnsi" w:eastAsiaTheme="minorHAnsi" w:hAnsiTheme="minorHAnsi" w:cstheme="minorBidi"/>
                <w:b/>
                <w:lang w:val="en-GB"/>
              </w:rPr>
            </w:pPr>
            <w:r w:rsidRPr="00E20AC7">
              <w:rPr>
                <w:rFonts w:asciiTheme="minorHAnsi" w:eastAsiaTheme="minorHAnsi" w:hAnsiTheme="minorHAnsi" w:cstheme="minorBidi"/>
                <w:b/>
                <w:lang w:val="en-GB"/>
              </w:rPr>
              <w:t>Operational Risk Stressed Losses Overlay</w:t>
            </w:r>
          </w:p>
        </w:tc>
        <w:tc>
          <w:tcPr>
            <w:tcW w:w="2160" w:type="dxa"/>
          </w:tcPr>
          <w:p w14:paraId="5A98EBC8" w14:textId="77777777" w:rsidR="00E20AC7" w:rsidRPr="00E20AC7" w:rsidRDefault="00E20AC7" w:rsidP="00E20AC7">
            <w:pPr>
              <w:contextualSpacing/>
              <w:jc w:val="center"/>
              <w:rPr>
                <w:rFonts w:asciiTheme="minorHAnsi" w:eastAsiaTheme="minorHAnsi" w:hAnsiTheme="minorHAnsi" w:cstheme="minorBidi"/>
                <w:lang w:val="en-GB"/>
              </w:rPr>
            </w:pPr>
            <w:r w:rsidRPr="00E20AC7">
              <w:rPr>
                <w:rFonts w:asciiTheme="minorHAnsi" w:eastAsiaTheme="minorHAnsi" w:hAnsiTheme="minorHAnsi" w:cstheme="minorBidi"/>
                <w:lang w:val="en-GB"/>
              </w:rPr>
              <w:t xml:space="preserve">SHUSA Operational Risk and Finance Capital Planning – </w:t>
            </w:r>
          </w:p>
          <w:p w14:paraId="379A3BD6" w14:textId="77777777" w:rsidR="00E20AC7" w:rsidRPr="00E20AC7" w:rsidRDefault="00E20AC7" w:rsidP="00E20AC7">
            <w:pPr>
              <w:contextualSpacing/>
              <w:jc w:val="center"/>
              <w:rPr>
                <w:rFonts w:asciiTheme="minorHAnsi" w:eastAsiaTheme="minorHAnsi" w:hAnsiTheme="minorHAnsi" w:cstheme="minorBidi"/>
                <w:lang w:val="en-GB"/>
              </w:rPr>
            </w:pPr>
            <w:r w:rsidRPr="00E20AC7">
              <w:rPr>
                <w:rFonts w:asciiTheme="minorHAnsi" w:eastAsiaTheme="minorHAnsi" w:hAnsiTheme="minorHAnsi" w:cstheme="minorBidi"/>
                <w:lang w:val="en-GB"/>
              </w:rPr>
              <w:t>CCAR Output</w:t>
            </w:r>
          </w:p>
        </w:tc>
        <w:tc>
          <w:tcPr>
            <w:tcW w:w="2160" w:type="dxa"/>
          </w:tcPr>
          <w:p w14:paraId="32F654F6" w14:textId="77777777" w:rsidR="00E20AC7" w:rsidRPr="00E20AC7" w:rsidRDefault="00E20AC7" w:rsidP="00E20AC7">
            <w:pPr>
              <w:contextualSpacing/>
              <w:jc w:val="center"/>
              <w:rPr>
                <w:rFonts w:asciiTheme="minorHAnsi" w:eastAsiaTheme="minorHAnsi" w:hAnsiTheme="minorHAnsi" w:cstheme="minorBidi"/>
                <w:lang w:val="en-GB"/>
              </w:rPr>
            </w:pPr>
            <w:r w:rsidRPr="00E20AC7">
              <w:rPr>
                <w:rFonts w:asciiTheme="minorHAnsi" w:eastAsiaTheme="minorHAnsi" w:hAnsiTheme="minorHAnsi" w:cstheme="minorBidi"/>
                <w:lang w:val="en-GB"/>
              </w:rPr>
              <w:t>SHUSA Operational Risk and Finance Capital Planning –</w:t>
            </w:r>
          </w:p>
          <w:p w14:paraId="2F264180" w14:textId="77777777" w:rsidR="00E20AC7" w:rsidRPr="00E20AC7" w:rsidRDefault="00E20AC7" w:rsidP="00E20AC7">
            <w:pPr>
              <w:contextualSpacing/>
              <w:jc w:val="center"/>
              <w:rPr>
                <w:rFonts w:asciiTheme="minorHAnsi" w:eastAsiaTheme="minorHAnsi" w:hAnsiTheme="minorHAnsi" w:cstheme="minorBidi"/>
                <w:lang w:val="en-GB"/>
              </w:rPr>
            </w:pPr>
            <w:r w:rsidRPr="00E20AC7">
              <w:rPr>
                <w:rFonts w:asciiTheme="minorHAnsi" w:eastAsiaTheme="minorHAnsi" w:hAnsiTheme="minorHAnsi" w:cstheme="minorBidi"/>
                <w:lang w:val="en-GB"/>
              </w:rPr>
              <w:t xml:space="preserve"> CCAR Output</w:t>
            </w:r>
          </w:p>
        </w:tc>
        <w:tc>
          <w:tcPr>
            <w:tcW w:w="2160" w:type="dxa"/>
          </w:tcPr>
          <w:p w14:paraId="69ABA70F" w14:textId="77777777" w:rsidR="00E20AC7" w:rsidRPr="00E20AC7" w:rsidRDefault="00E20AC7" w:rsidP="00E20AC7">
            <w:pPr>
              <w:contextualSpacing/>
              <w:jc w:val="center"/>
              <w:rPr>
                <w:rFonts w:asciiTheme="minorHAnsi" w:eastAsiaTheme="minorHAnsi" w:hAnsiTheme="minorHAnsi" w:cstheme="minorBidi"/>
                <w:lang w:val="en-GB"/>
              </w:rPr>
            </w:pPr>
            <w:r w:rsidRPr="00E20AC7">
              <w:rPr>
                <w:rFonts w:asciiTheme="minorHAnsi" w:eastAsiaTheme="minorHAnsi" w:hAnsiTheme="minorHAnsi" w:cstheme="minorBidi"/>
                <w:lang w:val="en-GB"/>
              </w:rPr>
              <w:t xml:space="preserve">SHUSA RAS team – </w:t>
            </w:r>
          </w:p>
          <w:p w14:paraId="7934E94D" w14:textId="77777777" w:rsidR="00E20AC7" w:rsidRPr="00E20AC7" w:rsidRDefault="00E20AC7" w:rsidP="00E20AC7">
            <w:pPr>
              <w:contextualSpacing/>
              <w:jc w:val="center"/>
              <w:rPr>
                <w:rFonts w:asciiTheme="minorHAnsi" w:eastAsiaTheme="minorHAnsi" w:hAnsiTheme="minorHAnsi" w:cstheme="minorBidi"/>
                <w:lang w:val="en-GB"/>
              </w:rPr>
            </w:pPr>
            <w:r w:rsidRPr="00E20AC7">
              <w:rPr>
                <w:rFonts w:asciiTheme="minorHAnsi" w:eastAsiaTheme="minorHAnsi" w:hAnsiTheme="minorHAnsi" w:cstheme="minorBidi"/>
                <w:lang w:val="en-GB"/>
              </w:rPr>
              <w:t>Sum  of SBNA and SC</w:t>
            </w:r>
          </w:p>
        </w:tc>
      </w:tr>
    </w:tbl>
    <w:p w14:paraId="2643A2F7" w14:textId="77777777" w:rsidR="00372F8D" w:rsidRPr="00E20AC7" w:rsidRDefault="00372F8D" w:rsidP="00E20AC7">
      <w:pPr>
        <w:ind w:left="720"/>
        <w:contextualSpacing/>
        <w:rPr>
          <w:b/>
          <w:bCs/>
          <w:sz w:val="24"/>
          <w:szCs w:val="24"/>
          <w:lang w:bidi="en-US"/>
        </w:rPr>
      </w:pPr>
    </w:p>
    <w:p w14:paraId="0BCFA54A" w14:textId="77777777" w:rsidR="00E20AC7" w:rsidRPr="00E20AC7" w:rsidRDefault="00E20AC7" w:rsidP="00FC6780">
      <w:pPr>
        <w:numPr>
          <w:ilvl w:val="2"/>
          <w:numId w:val="1"/>
        </w:numPr>
        <w:tabs>
          <w:tab w:val="clear" w:pos="1917"/>
          <w:tab w:val="num" w:pos="720"/>
        </w:tabs>
        <w:spacing w:before="120" w:after="120"/>
        <w:ind w:left="0" w:firstLine="0"/>
        <w:outlineLvl w:val="1"/>
        <w:rPr>
          <w:b/>
          <w:bCs/>
          <w:color w:val="000000" w:themeColor="text1"/>
          <w:sz w:val="24"/>
          <w:szCs w:val="24"/>
          <w:lang w:bidi="en-US"/>
        </w:rPr>
      </w:pPr>
      <w:bookmarkStart w:id="1451" w:name="_Toc428445422"/>
      <w:bookmarkStart w:id="1452" w:name="_Toc453849320"/>
      <w:bookmarkStart w:id="1453" w:name="_Toc424635139"/>
      <w:r w:rsidRPr="00E20AC7">
        <w:rPr>
          <w:b/>
          <w:bCs/>
          <w:color w:val="000000" w:themeColor="text1"/>
          <w:sz w:val="24"/>
          <w:szCs w:val="24"/>
          <w:lang w:bidi="en-US"/>
        </w:rPr>
        <w:t xml:space="preserve">Stressed </w:t>
      </w:r>
      <w:r w:rsidRPr="00E20AC7">
        <w:rPr>
          <w:rFonts w:cs="Calibri"/>
          <w:b/>
          <w:sz w:val="24"/>
          <w:szCs w:val="24"/>
          <w:lang w:bidi="en-US"/>
        </w:rPr>
        <w:t>pre-provision net revenue (PPNR)</w:t>
      </w:r>
      <w:bookmarkEnd w:id="1451"/>
      <w:bookmarkEnd w:id="1452"/>
      <w:r w:rsidRPr="00E20AC7">
        <w:rPr>
          <w:rFonts w:cs="Calibri"/>
          <w:b/>
          <w:sz w:val="24"/>
          <w:szCs w:val="24"/>
          <w:lang w:bidi="en-US"/>
        </w:rPr>
        <w:t xml:space="preserve"> </w:t>
      </w:r>
    </w:p>
    <w:p w14:paraId="3804CD44" w14:textId="77777777" w:rsidR="00E20AC7" w:rsidRPr="00E20AC7" w:rsidRDefault="00E20AC7" w:rsidP="00E20AC7">
      <w:pPr>
        <w:rPr>
          <w:lang w:val="en-GB"/>
        </w:rPr>
      </w:pPr>
      <w:r w:rsidRPr="00E20AC7">
        <w:rPr>
          <w:b/>
          <w:bCs/>
          <w:i/>
          <w:iCs/>
        </w:rPr>
        <w:t xml:space="preserve">Definition: </w:t>
      </w:r>
      <w:r w:rsidRPr="00E20AC7">
        <w:rPr>
          <w:lang w:val="en-GB"/>
        </w:rPr>
        <w:t xml:space="preserve">This metric </w:t>
      </w:r>
      <w:bookmarkEnd w:id="1453"/>
      <w:r w:rsidRPr="00E20AC7">
        <w:rPr>
          <w:lang w:val="en-GB"/>
        </w:rPr>
        <w:t xml:space="preserve">reflects the incremental negative variation in PPNR in a stressed scenario, over and above the baseline case. </w:t>
      </w:r>
    </w:p>
    <w:p w14:paraId="2B438B30" w14:textId="77777777" w:rsidR="00E20AC7" w:rsidRPr="00E20AC7" w:rsidRDefault="00E20AC7" w:rsidP="00E20AC7">
      <w:r w:rsidRPr="00E20AC7">
        <w:rPr>
          <w:lang w:val="en-GB"/>
        </w:rPr>
        <w:t>The scenarios used are those defined in the CCAR scenarios for SHUSA, SBNA and SC. CCAR methodology is applied to stress PPNR and reflects the sensitivity of PPNR to changes in interest rates, the increase / decrease of total asset and liability levels, price changes in assets and liabilities</w:t>
      </w:r>
      <w:r w:rsidRPr="00E20AC7">
        <w:t xml:space="preserve"> as well as other relevant Balance Sheet management items such as accelerated leases depreciation.</w:t>
      </w:r>
    </w:p>
    <w:p w14:paraId="593F6FFA" w14:textId="77777777" w:rsidR="00E20AC7" w:rsidRPr="00E20AC7" w:rsidRDefault="00E20AC7" w:rsidP="00E20AC7">
      <w:pPr>
        <w:rPr>
          <w:bCs/>
          <w:iCs/>
        </w:rPr>
      </w:pPr>
      <w:r w:rsidRPr="00E20AC7">
        <w:rPr>
          <w:b/>
          <w:bCs/>
          <w:i/>
          <w:iCs/>
        </w:rPr>
        <w:t>Group reconciliation for PPNR</w:t>
      </w:r>
      <w:r w:rsidRPr="00E20AC7">
        <w:rPr>
          <w:bCs/>
          <w:iCs/>
        </w:rPr>
        <w:t>: US PPNR stresses include the following items that are excluded from the Group Calculation of stressed PPNR: Operational Risk Expense and accelerated auto lease depreciation. These items are adjusted as follows to enable a “normalized” Santander Group calculation.</w:t>
      </w:r>
    </w:p>
    <w:p w14:paraId="71B7A4DB" w14:textId="77777777" w:rsidR="00E20AC7" w:rsidRPr="00E20AC7" w:rsidRDefault="00E20AC7" w:rsidP="00E20AC7">
      <w:pPr>
        <w:spacing w:after="0" w:line="240" w:lineRule="auto"/>
        <w:ind w:left="720"/>
        <w:rPr>
          <w:rFonts w:asciiTheme="minorHAnsi" w:eastAsiaTheme="minorHAnsi" w:hAnsiTheme="minorHAnsi" w:cstheme="minorBidi"/>
          <w:b/>
          <w:i/>
          <w:iCs/>
        </w:rPr>
      </w:pPr>
    </w:p>
    <w:p w14:paraId="2D3C5A00" w14:textId="77777777" w:rsidR="00E20AC7" w:rsidRPr="00E20AC7" w:rsidRDefault="00E20AC7" w:rsidP="00AB79BD">
      <w:pPr>
        <w:numPr>
          <w:ilvl w:val="0"/>
          <w:numId w:val="27"/>
        </w:numPr>
        <w:contextualSpacing/>
        <w:rPr>
          <w:rFonts w:asciiTheme="minorHAnsi" w:eastAsiaTheme="minorHAnsi" w:hAnsiTheme="minorHAnsi" w:cstheme="minorBidi"/>
          <w:szCs w:val="24"/>
          <w:lang w:val="en-GB"/>
        </w:rPr>
      </w:pPr>
      <w:r w:rsidRPr="00E20AC7">
        <w:rPr>
          <w:rFonts w:asciiTheme="minorHAnsi" w:eastAsiaTheme="minorHAnsi" w:hAnsiTheme="minorHAnsi" w:cstheme="minorBidi"/>
          <w:szCs w:val="24"/>
          <w:lang w:val="en-GB"/>
        </w:rPr>
        <w:t xml:space="preserve">The </w:t>
      </w:r>
      <w:r w:rsidRPr="00E20AC7">
        <w:rPr>
          <w:rFonts w:asciiTheme="minorHAnsi" w:eastAsiaTheme="minorHAnsi" w:hAnsiTheme="minorHAnsi" w:cstheme="minorBidi"/>
          <w:szCs w:val="24"/>
          <w:u w:val="single"/>
          <w:lang w:val="en-GB"/>
        </w:rPr>
        <w:t>operational risk expense</w:t>
      </w:r>
      <w:r w:rsidRPr="00E20AC7">
        <w:rPr>
          <w:rFonts w:asciiTheme="minorHAnsi" w:eastAsiaTheme="minorHAnsi" w:hAnsiTheme="minorHAnsi" w:cstheme="minorBidi"/>
          <w:szCs w:val="24"/>
          <w:lang w:val="en-GB"/>
        </w:rPr>
        <w:t xml:space="preserve"> that is included in CCAR as a line item in PPNR is added back to PPNR using the average for the 9 quarters and annualizing. This adjustment is applied to SHUSA, SBNA and SC. The amount is taken from the PPNR projection sheet for each entity. This is done because the Loss in Stress calculation for Group requires that operational risk stress be itemized separately, taking only the incremental change to operational risk losses.</w:t>
      </w:r>
    </w:p>
    <w:p w14:paraId="7F556FF6" w14:textId="77777777" w:rsidR="00E20AC7" w:rsidRPr="00E20AC7" w:rsidRDefault="00E20AC7" w:rsidP="00E20AC7">
      <w:pPr>
        <w:spacing w:after="0" w:line="240" w:lineRule="auto"/>
        <w:ind w:left="720"/>
        <w:rPr>
          <w:rFonts w:asciiTheme="minorHAnsi" w:eastAsiaTheme="minorHAnsi" w:hAnsiTheme="minorHAnsi" w:cstheme="minorBidi"/>
          <w:iCs/>
        </w:rPr>
      </w:pPr>
    </w:p>
    <w:p w14:paraId="0BB538E4" w14:textId="77777777" w:rsidR="00E20AC7" w:rsidRPr="00E20AC7" w:rsidRDefault="00E20AC7" w:rsidP="00AB79BD">
      <w:pPr>
        <w:numPr>
          <w:ilvl w:val="0"/>
          <w:numId w:val="27"/>
        </w:numPr>
        <w:contextualSpacing/>
        <w:rPr>
          <w:rFonts w:asciiTheme="minorHAnsi" w:eastAsiaTheme="minorHAnsi" w:hAnsiTheme="minorHAnsi" w:cstheme="minorBidi"/>
          <w:iCs/>
          <w:szCs w:val="24"/>
          <w:lang w:val="en-GB"/>
        </w:rPr>
      </w:pPr>
      <w:r w:rsidRPr="00E20AC7">
        <w:rPr>
          <w:rFonts w:asciiTheme="minorHAnsi" w:eastAsiaTheme="minorHAnsi" w:hAnsiTheme="minorHAnsi" w:cstheme="minorBidi"/>
          <w:iCs/>
          <w:szCs w:val="24"/>
          <w:lang w:val="en-GB"/>
        </w:rPr>
        <w:t xml:space="preserve">The </w:t>
      </w:r>
      <w:r w:rsidRPr="00E20AC7">
        <w:rPr>
          <w:rFonts w:asciiTheme="minorHAnsi" w:eastAsiaTheme="minorHAnsi" w:hAnsiTheme="minorHAnsi" w:cstheme="minorBidi"/>
          <w:iCs/>
          <w:szCs w:val="24"/>
          <w:u w:val="single"/>
          <w:lang w:val="en-GB"/>
        </w:rPr>
        <w:t>annualized accelerated auto lease depreciation</w:t>
      </w:r>
      <w:r w:rsidRPr="00E20AC7">
        <w:rPr>
          <w:rFonts w:asciiTheme="minorHAnsi" w:eastAsiaTheme="minorHAnsi" w:hAnsiTheme="minorHAnsi" w:cstheme="minorBidi"/>
          <w:iCs/>
          <w:szCs w:val="24"/>
          <w:lang w:val="en-GB"/>
        </w:rPr>
        <w:t xml:space="preserve"> is added back to PPNR for SBNA, SC and SHUSA. </w:t>
      </w:r>
    </w:p>
    <w:p w14:paraId="42543481" w14:textId="77777777" w:rsidR="00E20AC7" w:rsidRDefault="00E20AC7" w:rsidP="00E20AC7">
      <w:pPr>
        <w:ind w:left="720"/>
        <w:contextualSpacing/>
        <w:rPr>
          <w:rFonts w:asciiTheme="minorHAnsi" w:eastAsiaTheme="minorHAnsi" w:hAnsiTheme="minorHAnsi" w:cstheme="minorBidi"/>
          <w:iCs/>
          <w:szCs w:val="24"/>
          <w:lang w:val="en-GB"/>
        </w:rPr>
      </w:pPr>
    </w:p>
    <w:p w14:paraId="336F231D" w14:textId="77777777" w:rsidR="00861D37" w:rsidRPr="00E20AC7" w:rsidRDefault="00861D37" w:rsidP="00E20AC7">
      <w:pPr>
        <w:ind w:left="720"/>
        <w:contextualSpacing/>
        <w:rPr>
          <w:rFonts w:asciiTheme="minorHAnsi" w:eastAsiaTheme="minorHAnsi" w:hAnsiTheme="minorHAnsi" w:cstheme="minorBidi"/>
          <w:iCs/>
          <w:szCs w:val="24"/>
          <w:lang w:val="en-GB"/>
        </w:rPr>
      </w:pPr>
    </w:p>
    <w:tbl>
      <w:tblPr>
        <w:tblpPr w:leftFromText="180" w:rightFromText="180" w:vertAnchor="text" w:tblpX="168" w:tblpY="1"/>
        <w:tblOverlap w:val="never"/>
        <w:tblW w:w="9738"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000" w:firstRow="0" w:lastRow="0" w:firstColumn="0" w:lastColumn="0" w:noHBand="0" w:noVBand="0"/>
      </w:tblPr>
      <w:tblGrid>
        <w:gridCol w:w="1728"/>
        <w:gridCol w:w="8010"/>
      </w:tblGrid>
      <w:tr w:rsidR="00E20AC7" w:rsidRPr="00E20AC7" w14:paraId="4A99D585" w14:textId="77777777" w:rsidTr="00861D37">
        <w:trPr>
          <w:trHeight w:val="263"/>
        </w:trPr>
        <w:tc>
          <w:tcPr>
            <w:tcW w:w="1728" w:type="dxa"/>
            <w:shd w:val="clear" w:color="auto" w:fill="auto"/>
          </w:tcPr>
          <w:p w14:paraId="49A2D8BD" w14:textId="77777777" w:rsidR="00E20AC7" w:rsidRPr="00E20AC7" w:rsidRDefault="00E20AC7" w:rsidP="00E20AC7">
            <w:pPr>
              <w:rPr>
                <w:b/>
                <w:bCs/>
                <w:iCs/>
              </w:rPr>
            </w:pPr>
            <w:r w:rsidRPr="00E20AC7">
              <w:rPr>
                <w:b/>
                <w:bCs/>
                <w:iCs/>
              </w:rPr>
              <w:t>METRIC</w:t>
            </w:r>
          </w:p>
        </w:tc>
        <w:tc>
          <w:tcPr>
            <w:tcW w:w="8010" w:type="dxa"/>
            <w:shd w:val="clear" w:color="auto" w:fill="auto"/>
          </w:tcPr>
          <w:p w14:paraId="0761B643" w14:textId="77777777" w:rsidR="00E20AC7" w:rsidRPr="00E20AC7" w:rsidRDefault="00E20AC7" w:rsidP="00E20AC7">
            <w:pPr>
              <w:spacing w:line="240" w:lineRule="auto"/>
              <w:rPr>
                <w:bCs/>
                <w:iCs/>
                <w:color w:val="FFFFFF" w:themeColor="background1"/>
              </w:rPr>
            </w:pPr>
            <w:bookmarkStart w:id="1454" w:name="_Toc425154569"/>
            <w:r w:rsidRPr="00E20AC7">
              <w:rPr>
                <w:bCs/>
                <w:iCs/>
              </w:rPr>
              <w:t>Stressed pre-provision net reven</w:t>
            </w:r>
            <w:bookmarkEnd w:id="1454"/>
            <w:r w:rsidRPr="00E20AC7">
              <w:rPr>
                <w:bCs/>
                <w:iCs/>
              </w:rPr>
              <w:t>ue</w:t>
            </w:r>
          </w:p>
        </w:tc>
      </w:tr>
      <w:tr w:rsidR="00861D37" w:rsidRPr="00E20AC7" w14:paraId="63227DA6" w14:textId="77777777" w:rsidTr="00861D37">
        <w:trPr>
          <w:trHeight w:val="270"/>
        </w:trPr>
        <w:tc>
          <w:tcPr>
            <w:tcW w:w="1728" w:type="dxa"/>
            <w:shd w:val="clear" w:color="auto" w:fill="auto"/>
          </w:tcPr>
          <w:p w14:paraId="0AA13D77" w14:textId="77777777" w:rsidR="00861D37" w:rsidRPr="00E20AC7" w:rsidRDefault="00861D37" w:rsidP="00E20AC7">
            <w:pPr>
              <w:rPr>
                <w:b/>
                <w:bCs/>
                <w:iCs/>
              </w:rPr>
            </w:pPr>
            <w:r w:rsidRPr="00E20AC7">
              <w:rPr>
                <w:b/>
                <w:bCs/>
                <w:iCs/>
              </w:rPr>
              <w:t>ENTITY</w:t>
            </w:r>
          </w:p>
        </w:tc>
        <w:tc>
          <w:tcPr>
            <w:tcW w:w="8010" w:type="dxa"/>
            <w:shd w:val="clear" w:color="auto" w:fill="auto"/>
          </w:tcPr>
          <w:p w14:paraId="66BFB227" w14:textId="274FCA09" w:rsidR="00861D37" w:rsidRPr="00E339D2" w:rsidRDefault="00A14012" w:rsidP="007603E9">
            <w:pPr>
              <w:spacing w:after="0" w:line="240" w:lineRule="auto"/>
              <w:rPr>
                <w:b/>
                <w:bCs/>
                <w:iCs/>
              </w:rPr>
            </w:pPr>
            <w:r>
              <w:rPr>
                <w:b/>
                <w:bCs/>
                <w:iCs/>
              </w:rPr>
              <w:t>SBNA, SC</w:t>
            </w:r>
          </w:p>
        </w:tc>
      </w:tr>
      <w:tr w:rsidR="00E20AC7" w:rsidRPr="00E20AC7" w14:paraId="0FA4A20C" w14:textId="77777777" w:rsidTr="00861D37">
        <w:trPr>
          <w:trHeight w:val="360"/>
        </w:trPr>
        <w:tc>
          <w:tcPr>
            <w:tcW w:w="1728" w:type="dxa"/>
            <w:shd w:val="clear" w:color="auto" w:fill="auto"/>
          </w:tcPr>
          <w:p w14:paraId="33BFF703" w14:textId="77777777" w:rsidR="00E20AC7" w:rsidRPr="00E20AC7" w:rsidRDefault="00E20AC7" w:rsidP="00E20AC7">
            <w:pPr>
              <w:ind w:left="-60"/>
              <w:rPr>
                <w:b/>
                <w:bCs/>
                <w:iCs/>
              </w:rPr>
            </w:pPr>
            <w:r w:rsidRPr="00E20AC7">
              <w:rPr>
                <w:b/>
                <w:bCs/>
                <w:iCs/>
              </w:rPr>
              <w:t>CALCULATION</w:t>
            </w:r>
          </w:p>
        </w:tc>
        <w:tc>
          <w:tcPr>
            <w:tcW w:w="8010" w:type="dxa"/>
            <w:shd w:val="clear" w:color="auto" w:fill="auto"/>
          </w:tcPr>
          <w:p w14:paraId="6673F3D9" w14:textId="77777777" w:rsidR="00E20AC7" w:rsidRPr="00E20AC7" w:rsidRDefault="00E20AC7" w:rsidP="00E20AC7">
            <w:pPr>
              <w:spacing w:after="0" w:line="240" w:lineRule="auto"/>
              <w:rPr>
                <w:bCs/>
                <w:iCs/>
              </w:rPr>
            </w:pPr>
            <w:r w:rsidRPr="00E20AC7">
              <w:rPr>
                <w:bCs/>
                <w:iCs/>
              </w:rPr>
              <w:t xml:space="preserve">Incremental PPNR losses under adverse scenario to baseline using CCAR methodology. </w:t>
            </w:r>
          </w:p>
          <w:p w14:paraId="095EA9CC" w14:textId="77777777" w:rsidR="00E20AC7" w:rsidRPr="00E20AC7" w:rsidRDefault="00E20AC7" w:rsidP="00E20AC7">
            <w:pPr>
              <w:spacing w:after="0" w:line="240" w:lineRule="auto"/>
              <w:rPr>
                <w:bCs/>
                <w:iCs/>
                <w:lang w:val="en-GB"/>
              </w:rPr>
            </w:pPr>
            <w:r w:rsidRPr="00E20AC7">
              <w:rPr>
                <w:bCs/>
                <w:iCs/>
              </w:rPr>
              <w:t xml:space="preserve">Detailed calculation procedures are available from the Finance Capital Planning team and CCAR teams. </w:t>
            </w:r>
          </w:p>
        </w:tc>
      </w:tr>
      <w:tr w:rsidR="00E20AC7" w:rsidRPr="00E20AC7" w14:paraId="73500969" w14:textId="77777777" w:rsidTr="00861D37">
        <w:trPr>
          <w:trHeight w:val="510"/>
        </w:trPr>
        <w:tc>
          <w:tcPr>
            <w:tcW w:w="1728" w:type="dxa"/>
            <w:shd w:val="clear" w:color="auto" w:fill="auto"/>
          </w:tcPr>
          <w:p w14:paraId="39E95CE8" w14:textId="77777777" w:rsidR="00E20AC7" w:rsidRPr="00E20AC7" w:rsidRDefault="00E20AC7" w:rsidP="00E20AC7">
            <w:pPr>
              <w:ind w:left="-60"/>
              <w:rPr>
                <w:b/>
                <w:bCs/>
                <w:iCs/>
              </w:rPr>
            </w:pPr>
            <w:r w:rsidRPr="00E20AC7">
              <w:rPr>
                <w:b/>
                <w:bCs/>
                <w:iCs/>
              </w:rPr>
              <w:t>FREQUENCY</w:t>
            </w:r>
          </w:p>
        </w:tc>
        <w:tc>
          <w:tcPr>
            <w:tcW w:w="8010" w:type="dxa"/>
            <w:shd w:val="clear" w:color="auto" w:fill="auto"/>
          </w:tcPr>
          <w:p w14:paraId="489E131D" w14:textId="77777777" w:rsidR="00E20AC7" w:rsidRPr="00E20AC7" w:rsidRDefault="00E20AC7" w:rsidP="00E20AC7">
            <w:pPr>
              <w:rPr>
                <w:lang w:val="en-GB"/>
              </w:rPr>
            </w:pPr>
            <w:r w:rsidRPr="00E20AC7">
              <w:rPr>
                <w:rFonts w:asciiTheme="minorHAnsi" w:eastAsiaTheme="minorHAnsi" w:hAnsiTheme="minorHAnsi" w:cstheme="minorBidi"/>
                <w:iCs/>
              </w:rPr>
              <w:t xml:space="preserve">Annual  CCAR full year </w:t>
            </w:r>
          </w:p>
        </w:tc>
      </w:tr>
      <w:tr w:rsidR="00E20AC7" w:rsidRPr="00E20AC7" w14:paraId="4561DE5E" w14:textId="77777777" w:rsidTr="00861D37">
        <w:trPr>
          <w:trHeight w:val="525"/>
        </w:trPr>
        <w:tc>
          <w:tcPr>
            <w:tcW w:w="1728" w:type="dxa"/>
            <w:shd w:val="clear" w:color="auto" w:fill="auto"/>
          </w:tcPr>
          <w:p w14:paraId="60860517" w14:textId="77777777" w:rsidR="00E20AC7" w:rsidRPr="00E20AC7" w:rsidRDefault="00E20AC7" w:rsidP="00E20AC7">
            <w:pPr>
              <w:rPr>
                <w:b/>
                <w:bCs/>
                <w:iCs/>
              </w:rPr>
            </w:pPr>
            <w:r w:rsidRPr="00E20AC7">
              <w:rPr>
                <w:b/>
                <w:bCs/>
                <w:iCs/>
              </w:rPr>
              <w:t>SOURCE OF INFORMATION</w:t>
            </w:r>
          </w:p>
        </w:tc>
        <w:tc>
          <w:tcPr>
            <w:tcW w:w="8010" w:type="dxa"/>
            <w:shd w:val="clear" w:color="auto" w:fill="auto"/>
          </w:tcPr>
          <w:p w14:paraId="107E3E9E" w14:textId="77777777" w:rsidR="00E20AC7" w:rsidRPr="00E20AC7" w:rsidRDefault="00E20AC7" w:rsidP="00E20AC7">
            <w:pPr>
              <w:spacing w:after="0" w:line="240" w:lineRule="auto"/>
              <w:rPr>
                <w:bCs/>
                <w:iCs/>
              </w:rPr>
            </w:pPr>
            <w:r w:rsidRPr="00E20AC7">
              <w:rPr>
                <w:bCs/>
                <w:iCs/>
              </w:rPr>
              <w:t>CCAR Y14-A  and Strategic Plan</w:t>
            </w:r>
          </w:p>
          <w:p w14:paraId="5634DF28" w14:textId="77777777" w:rsidR="00E20AC7" w:rsidRPr="00E20AC7" w:rsidRDefault="00E20AC7" w:rsidP="007603E9">
            <w:pPr>
              <w:spacing w:after="0" w:line="240" w:lineRule="auto"/>
              <w:rPr>
                <w:bCs/>
                <w:iCs/>
              </w:rPr>
            </w:pPr>
            <w:r w:rsidRPr="00E20AC7">
              <w:rPr>
                <w:bCs/>
                <w:iCs/>
              </w:rPr>
              <w:t>SHUSA, SBNA and SC Finance Capital Planning and CCAR teams</w:t>
            </w:r>
          </w:p>
        </w:tc>
      </w:tr>
    </w:tbl>
    <w:p w14:paraId="569C9802" w14:textId="77777777" w:rsidR="00AA33D1" w:rsidRDefault="00AA33D1" w:rsidP="00FC6780">
      <w:pPr>
        <w:spacing w:before="120" w:after="120"/>
        <w:ind w:left="180"/>
        <w:outlineLvl w:val="1"/>
        <w:rPr>
          <w:b/>
          <w:bCs/>
          <w:color w:val="000000" w:themeColor="text1"/>
          <w:sz w:val="24"/>
          <w:szCs w:val="24"/>
          <w:lang w:bidi="en-US"/>
        </w:rPr>
      </w:pPr>
      <w:bookmarkStart w:id="1455" w:name="_Toc424635140"/>
      <w:bookmarkStart w:id="1456" w:name="_Toc428445423"/>
    </w:p>
    <w:p w14:paraId="2DD90F03" w14:textId="77777777" w:rsidR="00E339D2" w:rsidRDefault="00E339D2" w:rsidP="00FC6780">
      <w:pPr>
        <w:spacing w:before="120" w:after="120"/>
        <w:ind w:left="180"/>
        <w:outlineLvl w:val="1"/>
        <w:rPr>
          <w:b/>
          <w:bCs/>
          <w:color w:val="000000" w:themeColor="text1"/>
          <w:sz w:val="24"/>
          <w:szCs w:val="24"/>
          <w:lang w:bidi="en-US"/>
        </w:rPr>
      </w:pPr>
    </w:p>
    <w:p w14:paraId="50807917" w14:textId="77777777" w:rsidR="00E20AC7" w:rsidRPr="00E20AC7" w:rsidRDefault="00E20AC7" w:rsidP="00FC6780">
      <w:pPr>
        <w:numPr>
          <w:ilvl w:val="2"/>
          <w:numId w:val="1"/>
        </w:numPr>
        <w:tabs>
          <w:tab w:val="clear" w:pos="1917"/>
          <w:tab w:val="num" w:pos="720"/>
        </w:tabs>
        <w:spacing w:before="120" w:after="120"/>
        <w:ind w:left="0" w:firstLine="0"/>
        <w:outlineLvl w:val="1"/>
        <w:rPr>
          <w:b/>
          <w:bCs/>
          <w:color w:val="000000" w:themeColor="text1"/>
          <w:sz w:val="24"/>
          <w:szCs w:val="24"/>
          <w:lang w:bidi="en-US"/>
        </w:rPr>
      </w:pPr>
      <w:bookmarkStart w:id="1457" w:name="_Toc453849321"/>
      <w:r w:rsidRPr="00E20AC7">
        <w:rPr>
          <w:b/>
          <w:bCs/>
          <w:color w:val="000000" w:themeColor="text1"/>
          <w:sz w:val="24"/>
          <w:szCs w:val="24"/>
          <w:lang w:bidi="en-US"/>
        </w:rPr>
        <w:t>Stressed credit provisions</w:t>
      </w:r>
      <w:bookmarkEnd w:id="1455"/>
      <w:bookmarkEnd w:id="1456"/>
      <w:bookmarkEnd w:id="1457"/>
      <w:r w:rsidRPr="00E20AC7">
        <w:rPr>
          <w:b/>
          <w:bCs/>
          <w:color w:val="000000" w:themeColor="text1"/>
          <w:sz w:val="24"/>
          <w:szCs w:val="24"/>
          <w:lang w:bidi="en-US"/>
        </w:rPr>
        <w:t xml:space="preserve"> </w:t>
      </w:r>
    </w:p>
    <w:p w14:paraId="6BB24490" w14:textId="77777777" w:rsidR="00E20AC7" w:rsidRPr="00E20AC7" w:rsidRDefault="00E20AC7" w:rsidP="00E20AC7">
      <w:pPr>
        <w:rPr>
          <w:lang w:val="en-GB"/>
        </w:rPr>
      </w:pPr>
      <w:r w:rsidRPr="00E20AC7">
        <w:rPr>
          <w:b/>
          <w:bCs/>
          <w:i/>
          <w:iCs/>
        </w:rPr>
        <w:t xml:space="preserve">Definition: </w:t>
      </w:r>
      <w:r w:rsidRPr="00E20AC7">
        <w:rPr>
          <w:lang w:val="en-GB"/>
        </w:rPr>
        <w:t>This stress covers the increase in provisions for credit risk in a stressed scenario over and above the base case. The scenarios used are those defined in CCAR and the methodology is applied to obtain stressed provisions projections.</w:t>
      </w:r>
    </w:p>
    <w:p w14:paraId="7F9A4448" w14:textId="77777777" w:rsidR="00E20AC7" w:rsidRPr="00E20AC7" w:rsidRDefault="00E20AC7" w:rsidP="00E20AC7">
      <w:pPr>
        <w:rPr>
          <w:rFonts w:eastAsiaTheme="minorHAnsi" w:cstheme="minorBidi"/>
          <w:iCs/>
        </w:rPr>
      </w:pPr>
    </w:p>
    <w:tbl>
      <w:tblPr>
        <w:tblpPr w:leftFromText="180" w:rightFromText="180" w:vertAnchor="text" w:tblpY="1"/>
        <w:tblOverlap w:val="never"/>
        <w:tblW w:w="9198"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000" w:firstRow="0" w:lastRow="0" w:firstColumn="0" w:lastColumn="0" w:noHBand="0" w:noVBand="0"/>
      </w:tblPr>
      <w:tblGrid>
        <w:gridCol w:w="1728"/>
        <w:gridCol w:w="7470"/>
      </w:tblGrid>
      <w:tr w:rsidR="00E20AC7" w:rsidRPr="00E20AC7" w14:paraId="388ADB07" w14:textId="77777777" w:rsidTr="00861D37">
        <w:trPr>
          <w:trHeight w:val="390"/>
        </w:trPr>
        <w:tc>
          <w:tcPr>
            <w:tcW w:w="1728" w:type="dxa"/>
            <w:shd w:val="clear" w:color="auto" w:fill="auto"/>
          </w:tcPr>
          <w:p w14:paraId="5C3A8A92" w14:textId="77777777" w:rsidR="00E20AC7" w:rsidRPr="00E20AC7" w:rsidRDefault="00E20AC7" w:rsidP="00E20AC7">
            <w:pPr>
              <w:rPr>
                <w:b/>
                <w:bCs/>
                <w:iCs/>
              </w:rPr>
            </w:pPr>
            <w:r w:rsidRPr="00E20AC7">
              <w:rPr>
                <w:b/>
                <w:bCs/>
                <w:iCs/>
              </w:rPr>
              <w:t>METRIC</w:t>
            </w:r>
          </w:p>
        </w:tc>
        <w:tc>
          <w:tcPr>
            <w:tcW w:w="7470" w:type="dxa"/>
            <w:shd w:val="clear" w:color="auto" w:fill="auto"/>
          </w:tcPr>
          <w:p w14:paraId="4CE2EC2A" w14:textId="77777777" w:rsidR="00E20AC7" w:rsidRPr="00E20AC7" w:rsidRDefault="00E20AC7" w:rsidP="00E20AC7">
            <w:pPr>
              <w:spacing w:after="0" w:line="240" w:lineRule="auto"/>
              <w:rPr>
                <w:bCs/>
                <w:iCs/>
              </w:rPr>
            </w:pPr>
            <w:r w:rsidRPr="00E20AC7">
              <w:rPr>
                <w:rFonts w:eastAsiaTheme="minorHAnsi" w:cstheme="minorBidi"/>
              </w:rPr>
              <w:t>Stressed credit provisions</w:t>
            </w:r>
          </w:p>
        </w:tc>
      </w:tr>
      <w:tr w:rsidR="00861D37" w:rsidRPr="00E20AC7" w14:paraId="1934C8AB" w14:textId="77777777" w:rsidTr="00861D37">
        <w:trPr>
          <w:trHeight w:val="270"/>
        </w:trPr>
        <w:tc>
          <w:tcPr>
            <w:tcW w:w="1728" w:type="dxa"/>
            <w:shd w:val="clear" w:color="auto" w:fill="auto"/>
          </w:tcPr>
          <w:p w14:paraId="4201783B" w14:textId="77777777" w:rsidR="00861D37" w:rsidRPr="00E20AC7" w:rsidRDefault="00861D37" w:rsidP="00E20AC7">
            <w:pPr>
              <w:rPr>
                <w:b/>
                <w:bCs/>
                <w:iCs/>
              </w:rPr>
            </w:pPr>
            <w:r w:rsidRPr="00E20AC7">
              <w:rPr>
                <w:b/>
                <w:bCs/>
                <w:iCs/>
              </w:rPr>
              <w:t>ENTITY</w:t>
            </w:r>
          </w:p>
        </w:tc>
        <w:tc>
          <w:tcPr>
            <w:tcW w:w="7470" w:type="dxa"/>
            <w:shd w:val="clear" w:color="auto" w:fill="auto"/>
          </w:tcPr>
          <w:p w14:paraId="4D6E3D5C" w14:textId="038B07C4" w:rsidR="00861D37" w:rsidRPr="006049B7" w:rsidRDefault="00A14012" w:rsidP="007603E9">
            <w:pPr>
              <w:spacing w:after="0" w:line="240" w:lineRule="auto"/>
              <w:rPr>
                <w:b/>
                <w:bCs/>
                <w:iCs/>
              </w:rPr>
            </w:pPr>
            <w:r>
              <w:rPr>
                <w:b/>
                <w:bCs/>
                <w:iCs/>
              </w:rPr>
              <w:t>SBNA, SC</w:t>
            </w:r>
          </w:p>
        </w:tc>
      </w:tr>
      <w:tr w:rsidR="00E20AC7" w:rsidRPr="00E20AC7" w14:paraId="6E23997B" w14:textId="77777777" w:rsidTr="00861D37">
        <w:trPr>
          <w:trHeight w:val="360"/>
        </w:trPr>
        <w:tc>
          <w:tcPr>
            <w:tcW w:w="1728" w:type="dxa"/>
            <w:shd w:val="clear" w:color="auto" w:fill="auto"/>
          </w:tcPr>
          <w:p w14:paraId="2655A4B0" w14:textId="77777777" w:rsidR="00E20AC7" w:rsidRPr="00E20AC7" w:rsidRDefault="00E20AC7" w:rsidP="00E20AC7">
            <w:pPr>
              <w:ind w:left="-60"/>
              <w:rPr>
                <w:b/>
                <w:bCs/>
                <w:iCs/>
              </w:rPr>
            </w:pPr>
            <w:r w:rsidRPr="00E20AC7">
              <w:rPr>
                <w:b/>
                <w:bCs/>
                <w:iCs/>
              </w:rPr>
              <w:t>CALCULATION</w:t>
            </w:r>
          </w:p>
        </w:tc>
        <w:tc>
          <w:tcPr>
            <w:tcW w:w="7470" w:type="dxa"/>
            <w:shd w:val="clear" w:color="auto" w:fill="auto"/>
          </w:tcPr>
          <w:p w14:paraId="3E9BB799" w14:textId="77777777" w:rsidR="00E20AC7" w:rsidRPr="00E20AC7" w:rsidRDefault="00E20AC7" w:rsidP="00E20AC7">
            <w:pPr>
              <w:spacing w:after="0" w:line="240" w:lineRule="auto"/>
              <w:rPr>
                <w:bCs/>
                <w:iCs/>
              </w:rPr>
            </w:pPr>
            <w:r w:rsidRPr="00E20AC7">
              <w:rPr>
                <w:bCs/>
                <w:iCs/>
              </w:rPr>
              <w:t xml:space="preserve">Incremental provisions under the FRB Severely Adverse scenario to FRB Baseline.  </w:t>
            </w:r>
          </w:p>
          <w:p w14:paraId="76DF433E" w14:textId="3151D3FE" w:rsidR="00E20AC7" w:rsidRPr="00E20AC7" w:rsidRDefault="00E20AC7" w:rsidP="007603E9">
            <w:pPr>
              <w:spacing w:after="0" w:line="240" w:lineRule="auto"/>
              <w:rPr>
                <w:bCs/>
                <w:iCs/>
              </w:rPr>
            </w:pPr>
          </w:p>
        </w:tc>
      </w:tr>
      <w:tr w:rsidR="00E20AC7" w:rsidRPr="00E20AC7" w14:paraId="5B0587B0" w14:textId="77777777" w:rsidTr="00861D37">
        <w:trPr>
          <w:trHeight w:val="360"/>
        </w:trPr>
        <w:tc>
          <w:tcPr>
            <w:tcW w:w="1728" w:type="dxa"/>
            <w:shd w:val="clear" w:color="auto" w:fill="auto"/>
          </w:tcPr>
          <w:p w14:paraId="66C3FC8A" w14:textId="77777777" w:rsidR="00E20AC7" w:rsidRPr="00E20AC7" w:rsidRDefault="00E20AC7" w:rsidP="00E20AC7">
            <w:pPr>
              <w:ind w:left="-60"/>
              <w:rPr>
                <w:b/>
                <w:bCs/>
                <w:iCs/>
              </w:rPr>
            </w:pPr>
            <w:r w:rsidRPr="00E20AC7">
              <w:rPr>
                <w:b/>
                <w:bCs/>
                <w:iCs/>
              </w:rPr>
              <w:t>FREQUENCY</w:t>
            </w:r>
          </w:p>
        </w:tc>
        <w:tc>
          <w:tcPr>
            <w:tcW w:w="7470" w:type="dxa"/>
            <w:shd w:val="clear" w:color="auto" w:fill="auto"/>
          </w:tcPr>
          <w:p w14:paraId="07BC39E4" w14:textId="77777777" w:rsidR="00E20AC7" w:rsidRPr="00E20AC7" w:rsidRDefault="00E20AC7" w:rsidP="00E20AC7">
            <w:pPr>
              <w:rPr>
                <w:rFonts w:eastAsiaTheme="minorHAnsi" w:cstheme="minorBidi"/>
                <w:iCs/>
              </w:rPr>
            </w:pPr>
            <w:r w:rsidRPr="00E20AC7">
              <w:rPr>
                <w:rFonts w:eastAsiaTheme="minorHAnsi" w:cstheme="minorBidi"/>
                <w:iCs/>
              </w:rPr>
              <w:t xml:space="preserve">Annual, CCAR full year </w:t>
            </w:r>
          </w:p>
        </w:tc>
      </w:tr>
      <w:tr w:rsidR="00E20AC7" w:rsidRPr="00E20AC7" w14:paraId="0B894CEE" w14:textId="77777777" w:rsidTr="00861D37">
        <w:trPr>
          <w:trHeight w:val="360"/>
        </w:trPr>
        <w:tc>
          <w:tcPr>
            <w:tcW w:w="1728" w:type="dxa"/>
            <w:shd w:val="clear" w:color="auto" w:fill="auto"/>
          </w:tcPr>
          <w:p w14:paraId="7E335D0D" w14:textId="77777777" w:rsidR="00E20AC7" w:rsidRPr="00E20AC7" w:rsidRDefault="00E20AC7" w:rsidP="00E20AC7">
            <w:pPr>
              <w:ind w:left="-60"/>
              <w:rPr>
                <w:b/>
                <w:bCs/>
                <w:iCs/>
              </w:rPr>
            </w:pPr>
            <w:r w:rsidRPr="00E20AC7">
              <w:rPr>
                <w:b/>
              </w:rPr>
              <w:t>SOURCE OF INFORMATION</w:t>
            </w:r>
          </w:p>
        </w:tc>
        <w:tc>
          <w:tcPr>
            <w:tcW w:w="7470" w:type="dxa"/>
            <w:shd w:val="clear" w:color="auto" w:fill="auto"/>
          </w:tcPr>
          <w:p w14:paraId="1385AE11" w14:textId="77777777" w:rsidR="00E20AC7" w:rsidRPr="00E20AC7" w:rsidRDefault="00E20AC7" w:rsidP="00E20AC7">
            <w:pPr>
              <w:spacing w:after="0" w:line="240" w:lineRule="auto"/>
              <w:rPr>
                <w:bCs/>
                <w:iCs/>
              </w:rPr>
            </w:pPr>
            <w:r w:rsidRPr="00E20AC7">
              <w:rPr>
                <w:bCs/>
                <w:iCs/>
              </w:rPr>
              <w:t>CCAR Y14-A  and Strategic Plan</w:t>
            </w:r>
          </w:p>
          <w:p w14:paraId="0A737CD9" w14:textId="77777777" w:rsidR="00E20AC7" w:rsidRPr="00E20AC7" w:rsidRDefault="00E20AC7" w:rsidP="007603E9">
            <w:pPr>
              <w:spacing w:after="0" w:line="240" w:lineRule="auto"/>
              <w:rPr>
                <w:bCs/>
                <w:iCs/>
              </w:rPr>
            </w:pPr>
            <w:r w:rsidRPr="00E20AC7">
              <w:rPr>
                <w:bCs/>
                <w:iCs/>
              </w:rPr>
              <w:t>SBNA and SC CCAR Solvency functions</w:t>
            </w:r>
          </w:p>
        </w:tc>
      </w:tr>
    </w:tbl>
    <w:p w14:paraId="2D58ED80" w14:textId="77777777" w:rsidR="00B45C31" w:rsidRDefault="00B45C31" w:rsidP="00FC6780">
      <w:pPr>
        <w:pStyle w:val="SANUS2"/>
        <w:ind w:left="720"/>
        <w:rPr>
          <w:color w:val="000000" w:themeColor="text1"/>
        </w:rPr>
      </w:pPr>
    </w:p>
    <w:p w14:paraId="21F6A62F" w14:textId="454174ED" w:rsidR="006049B7" w:rsidRPr="006049B7" w:rsidRDefault="00B45C31" w:rsidP="006049B7">
      <w:pPr>
        <w:pStyle w:val="SANUS2"/>
        <w:numPr>
          <w:ilvl w:val="2"/>
          <w:numId w:val="1"/>
        </w:numPr>
        <w:ind w:left="720" w:hanging="720"/>
        <w:rPr>
          <w:color w:val="000000" w:themeColor="text1"/>
        </w:rPr>
      </w:pPr>
      <w:bookmarkStart w:id="1458" w:name="_Toc452544568"/>
      <w:bookmarkStart w:id="1459" w:name="_Toc453849322"/>
      <w:r>
        <w:rPr>
          <w:color w:val="000000" w:themeColor="text1"/>
        </w:rPr>
        <w:t>GCB Concentration Risk</w:t>
      </w:r>
      <w:bookmarkEnd w:id="1458"/>
      <w:bookmarkEnd w:id="1459"/>
      <w:r>
        <w:rPr>
          <w:color w:val="000000" w:themeColor="text1"/>
        </w:rPr>
        <w:t xml:space="preserve"> </w:t>
      </w:r>
    </w:p>
    <w:tbl>
      <w:tblPr>
        <w:tblpPr w:leftFromText="180" w:rightFromText="180" w:vertAnchor="text" w:tblpX="168" w:tblpY="1"/>
        <w:tblOverlap w:val="never"/>
        <w:tblW w:w="9198"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000" w:firstRow="0" w:lastRow="0" w:firstColumn="0" w:lastColumn="0" w:noHBand="0" w:noVBand="0"/>
      </w:tblPr>
      <w:tblGrid>
        <w:gridCol w:w="1728"/>
        <w:gridCol w:w="7470"/>
      </w:tblGrid>
      <w:tr w:rsidR="00B45C31" w:rsidRPr="00206D41" w14:paraId="0F1835BA" w14:textId="77777777" w:rsidTr="00CF3BE1">
        <w:trPr>
          <w:trHeight w:val="462"/>
        </w:trPr>
        <w:tc>
          <w:tcPr>
            <w:tcW w:w="1728" w:type="dxa"/>
            <w:shd w:val="clear" w:color="auto" w:fill="auto"/>
          </w:tcPr>
          <w:p w14:paraId="59819BA1" w14:textId="77777777" w:rsidR="00B45C31" w:rsidRPr="00206D41" w:rsidRDefault="00B45C31" w:rsidP="00CF3BE1">
            <w:pPr>
              <w:rPr>
                <w:b/>
                <w:bCs/>
                <w:iCs/>
              </w:rPr>
            </w:pPr>
            <w:r>
              <w:rPr>
                <w:b/>
                <w:bCs/>
                <w:iCs/>
              </w:rPr>
              <w:t>DEFINITION</w:t>
            </w:r>
          </w:p>
        </w:tc>
        <w:tc>
          <w:tcPr>
            <w:tcW w:w="7470" w:type="dxa"/>
            <w:shd w:val="clear" w:color="auto" w:fill="auto"/>
          </w:tcPr>
          <w:p w14:paraId="5C3C4461" w14:textId="77777777" w:rsidR="00B45C31" w:rsidRPr="00426737" w:rsidRDefault="00B45C31" w:rsidP="00CF3BE1">
            <w:pPr>
              <w:spacing w:after="120" w:line="240" w:lineRule="auto"/>
              <w:jc w:val="both"/>
            </w:pPr>
            <w:r w:rsidRPr="006F3EFC">
              <w:rPr>
                <w:lang w:val="en-GB"/>
              </w:rPr>
              <w:t>Concentration losses</w:t>
            </w:r>
            <w:r>
              <w:rPr>
                <w:lang w:val="en-GB"/>
              </w:rPr>
              <w:t xml:space="preserve"> (LGD) as the </w:t>
            </w:r>
            <w:r w:rsidRPr="006F3EFC">
              <w:rPr>
                <w:lang w:val="en-GB"/>
              </w:rPr>
              <w:t>output of a cal</w:t>
            </w:r>
            <w:r>
              <w:rPr>
                <w:lang w:val="en-GB"/>
              </w:rPr>
              <w:t xml:space="preserve">culation that measures (with a </w:t>
            </w:r>
            <w:r w:rsidRPr="006F3EFC">
              <w:rPr>
                <w:lang w:val="en-GB"/>
              </w:rPr>
              <w:t>probability of 1 in 40 years) the granularity of the GBM portfolio penalizing</w:t>
            </w:r>
            <w:r>
              <w:rPr>
                <w:lang w:val="en-GB"/>
              </w:rPr>
              <w:t xml:space="preserve"> large counterparty concentration, low portfolio granularity, large counterparty poor credit quality</w:t>
            </w:r>
          </w:p>
        </w:tc>
      </w:tr>
      <w:tr w:rsidR="00B45C31" w:rsidRPr="00206D41" w14:paraId="2E1571EC" w14:textId="77777777" w:rsidTr="00CF3BE1">
        <w:trPr>
          <w:trHeight w:val="462"/>
        </w:trPr>
        <w:tc>
          <w:tcPr>
            <w:tcW w:w="1728" w:type="dxa"/>
            <w:shd w:val="clear" w:color="auto" w:fill="auto"/>
          </w:tcPr>
          <w:p w14:paraId="2ED1D70B" w14:textId="77777777" w:rsidR="00B45C31" w:rsidRPr="00206D41" w:rsidRDefault="00B45C31" w:rsidP="00CF3BE1">
            <w:pPr>
              <w:rPr>
                <w:b/>
                <w:bCs/>
                <w:iCs/>
              </w:rPr>
            </w:pPr>
            <w:r>
              <w:rPr>
                <w:b/>
                <w:bCs/>
                <w:iCs/>
              </w:rPr>
              <w:t>RISK TYPE</w:t>
            </w:r>
          </w:p>
        </w:tc>
        <w:tc>
          <w:tcPr>
            <w:tcW w:w="7470" w:type="dxa"/>
            <w:shd w:val="clear" w:color="auto" w:fill="auto"/>
          </w:tcPr>
          <w:p w14:paraId="43339CDC" w14:textId="77777777" w:rsidR="00B45C31" w:rsidRPr="00206D41" w:rsidRDefault="00B45C31" w:rsidP="00CF3BE1">
            <w:pPr>
              <w:spacing w:after="0" w:line="240" w:lineRule="auto"/>
              <w:rPr>
                <w:bCs/>
                <w:iCs/>
              </w:rPr>
            </w:pPr>
            <w:r>
              <w:rPr>
                <w:bCs/>
                <w:iCs/>
              </w:rPr>
              <w:t>Credit Risk</w:t>
            </w:r>
          </w:p>
        </w:tc>
      </w:tr>
      <w:tr w:rsidR="00B45C31" w:rsidRPr="00206D41" w14:paraId="4978885F" w14:textId="77777777" w:rsidTr="00CF3BE1">
        <w:trPr>
          <w:trHeight w:val="462"/>
        </w:trPr>
        <w:tc>
          <w:tcPr>
            <w:tcW w:w="1728" w:type="dxa"/>
            <w:shd w:val="clear" w:color="auto" w:fill="auto"/>
          </w:tcPr>
          <w:p w14:paraId="07C047F3" w14:textId="77777777" w:rsidR="00B45C31" w:rsidRDefault="00B45C31" w:rsidP="00CF3BE1">
            <w:pPr>
              <w:rPr>
                <w:b/>
                <w:bCs/>
                <w:iCs/>
              </w:rPr>
            </w:pPr>
            <w:r>
              <w:rPr>
                <w:b/>
                <w:bCs/>
                <w:iCs/>
              </w:rPr>
              <w:t>RATIONALE</w:t>
            </w:r>
          </w:p>
        </w:tc>
        <w:tc>
          <w:tcPr>
            <w:tcW w:w="7470" w:type="dxa"/>
            <w:shd w:val="clear" w:color="auto" w:fill="auto"/>
          </w:tcPr>
          <w:p w14:paraId="7694E740" w14:textId="77777777" w:rsidR="00B45C31" w:rsidRDefault="00B45C31" w:rsidP="00CF3BE1">
            <w:pPr>
              <w:spacing w:after="0" w:line="240" w:lineRule="auto"/>
              <w:rPr>
                <w:bCs/>
                <w:iCs/>
              </w:rPr>
            </w:pPr>
            <w:r>
              <w:rPr>
                <w:bCs/>
                <w:iCs/>
              </w:rPr>
              <w:t xml:space="preserve">Serves as a component of the Loss in Stress composite metric; provides a high-magnitude, low-probability loss forecast which is affected by over-concentration in the GCB portfolio </w:t>
            </w:r>
          </w:p>
        </w:tc>
      </w:tr>
      <w:tr w:rsidR="00861D37" w:rsidRPr="00206D41" w14:paraId="4227FBAA" w14:textId="77777777" w:rsidTr="00967B2B">
        <w:trPr>
          <w:trHeight w:val="270"/>
        </w:trPr>
        <w:tc>
          <w:tcPr>
            <w:tcW w:w="1728" w:type="dxa"/>
            <w:shd w:val="clear" w:color="auto" w:fill="auto"/>
          </w:tcPr>
          <w:p w14:paraId="301483BF" w14:textId="77777777" w:rsidR="00861D37" w:rsidRPr="00206D41" w:rsidRDefault="00861D37" w:rsidP="00CF3BE1">
            <w:pPr>
              <w:rPr>
                <w:b/>
                <w:bCs/>
                <w:iCs/>
              </w:rPr>
            </w:pPr>
            <w:r>
              <w:rPr>
                <w:b/>
                <w:bCs/>
                <w:iCs/>
              </w:rPr>
              <w:t>ENTITY</w:t>
            </w:r>
          </w:p>
        </w:tc>
        <w:tc>
          <w:tcPr>
            <w:tcW w:w="7470" w:type="dxa"/>
            <w:shd w:val="clear" w:color="auto" w:fill="auto"/>
          </w:tcPr>
          <w:p w14:paraId="1E0F0B0F" w14:textId="0597481C" w:rsidR="00861D37" w:rsidRPr="007973F5" w:rsidRDefault="00A14012" w:rsidP="00CF3BE1">
            <w:pPr>
              <w:spacing w:after="0" w:line="240" w:lineRule="auto"/>
              <w:rPr>
                <w:b/>
                <w:bCs/>
                <w:iCs/>
              </w:rPr>
            </w:pPr>
            <w:r>
              <w:rPr>
                <w:b/>
                <w:bCs/>
                <w:iCs/>
              </w:rPr>
              <w:t>SBNA</w:t>
            </w:r>
          </w:p>
        </w:tc>
      </w:tr>
      <w:tr w:rsidR="00B45C31" w:rsidRPr="00206D41" w14:paraId="2454F8DA" w14:textId="77777777" w:rsidTr="00CF3BE1">
        <w:trPr>
          <w:trHeight w:val="439"/>
        </w:trPr>
        <w:tc>
          <w:tcPr>
            <w:tcW w:w="1728" w:type="dxa"/>
            <w:shd w:val="clear" w:color="auto" w:fill="auto"/>
          </w:tcPr>
          <w:p w14:paraId="7F148A27" w14:textId="77777777" w:rsidR="00B45C31" w:rsidRPr="00206D41" w:rsidRDefault="00B45C31" w:rsidP="00CF3BE1">
            <w:pPr>
              <w:rPr>
                <w:b/>
                <w:bCs/>
                <w:iCs/>
              </w:rPr>
            </w:pPr>
            <w:r w:rsidRPr="005B0BAF">
              <w:rPr>
                <w:rFonts w:asciiTheme="minorHAnsi" w:hAnsiTheme="minorHAnsi"/>
                <w:b/>
                <w:bCs/>
                <w:iCs/>
              </w:rPr>
              <w:t>TRIGGER AND LIMIT SETTING</w:t>
            </w:r>
          </w:p>
        </w:tc>
        <w:tc>
          <w:tcPr>
            <w:tcW w:w="7470" w:type="dxa"/>
            <w:shd w:val="clear" w:color="auto" w:fill="auto"/>
          </w:tcPr>
          <w:p w14:paraId="5204F340" w14:textId="77777777" w:rsidR="00B45C31" w:rsidRPr="00426737" w:rsidRDefault="00B45C31" w:rsidP="00CF3BE1">
            <w:pPr>
              <w:spacing w:after="0" w:line="240" w:lineRule="auto"/>
              <w:rPr>
                <w:bCs/>
                <w:iCs/>
              </w:rPr>
            </w:pPr>
            <w:r>
              <w:rPr>
                <w:bCs/>
                <w:iCs/>
              </w:rPr>
              <w:t>There is no threshold presently set for GCB Concentration Risk, as it is a subcomponent of the Loss in Stress metric</w:t>
            </w:r>
          </w:p>
          <w:p w14:paraId="22F4CC79" w14:textId="77777777" w:rsidR="00B45C31" w:rsidRPr="00206D41" w:rsidRDefault="00B45C31" w:rsidP="00FC6780">
            <w:pPr>
              <w:spacing w:after="0" w:line="240" w:lineRule="auto"/>
              <w:rPr>
                <w:rFonts w:asciiTheme="minorHAnsi" w:eastAsiaTheme="minorHAnsi" w:hAnsiTheme="minorHAnsi" w:cstheme="minorBidi"/>
                <w:iCs/>
              </w:rPr>
            </w:pPr>
          </w:p>
        </w:tc>
      </w:tr>
      <w:tr w:rsidR="00B45C31" w:rsidRPr="00206D41" w14:paraId="6174AED7" w14:textId="77777777" w:rsidTr="00FC6780">
        <w:trPr>
          <w:trHeight w:val="628"/>
        </w:trPr>
        <w:tc>
          <w:tcPr>
            <w:tcW w:w="1728" w:type="dxa"/>
            <w:shd w:val="clear" w:color="auto" w:fill="auto"/>
          </w:tcPr>
          <w:p w14:paraId="6ADB9431" w14:textId="77777777" w:rsidR="00B45C31" w:rsidRPr="00DF3739" w:rsidRDefault="00B45C31" w:rsidP="00CF3BE1">
            <w:pPr>
              <w:rPr>
                <w:b/>
                <w:bCs/>
                <w:iCs/>
              </w:rPr>
            </w:pPr>
            <w:r>
              <w:rPr>
                <w:rFonts w:asciiTheme="minorHAnsi" w:hAnsiTheme="minorHAnsi"/>
                <w:b/>
                <w:bCs/>
                <w:iCs/>
              </w:rPr>
              <w:t>T</w:t>
            </w:r>
            <w:r w:rsidRPr="00DF3739">
              <w:rPr>
                <w:rFonts w:asciiTheme="minorHAnsi" w:hAnsiTheme="minorHAnsi"/>
                <w:b/>
                <w:bCs/>
                <w:iCs/>
              </w:rPr>
              <w:t>ESTING FREQUENCY</w:t>
            </w:r>
          </w:p>
        </w:tc>
        <w:tc>
          <w:tcPr>
            <w:tcW w:w="7470" w:type="dxa"/>
            <w:shd w:val="clear" w:color="auto" w:fill="auto"/>
          </w:tcPr>
          <w:p w14:paraId="04D10335" w14:textId="77777777" w:rsidR="00B45C31" w:rsidRPr="00DF3739" w:rsidRDefault="00B45C31" w:rsidP="00CF3BE1">
            <w:pPr>
              <w:spacing w:after="0" w:line="240" w:lineRule="auto"/>
            </w:pPr>
            <w:r>
              <w:rPr>
                <w:bCs/>
                <w:iCs/>
              </w:rPr>
              <w:t>Quarterly</w:t>
            </w:r>
          </w:p>
        </w:tc>
      </w:tr>
      <w:tr w:rsidR="00B45C31" w:rsidRPr="00206D41" w14:paraId="37FA1B61" w14:textId="77777777" w:rsidTr="00FC6780">
        <w:trPr>
          <w:trHeight w:val="691"/>
        </w:trPr>
        <w:tc>
          <w:tcPr>
            <w:tcW w:w="1728" w:type="dxa"/>
            <w:shd w:val="clear" w:color="auto" w:fill="auto"/>
          </w:tcPr>
          <w:p w14:paraId="54645CD9" w14:textId="77777777" w:rsidR="00B45C31" w:rsidRPr="00DF3739" w:rsidRDefault="00B45C31" w:rsidP="00CF3BE1">
            <w:pPr>
              <w:rPr>
                <w:b/>
                <w:bCs/>
                <w:iCs/>
              </w:rPr>
            </w:pPr>
            <w:r w:rsidRPr="00DF3739">
              <w:rPr>
                <w:b/>
                <w:bCs/>
                <w:iCs/>
              </w:rPr>
              <w:t>SOURCE OF INFORMATION</w:t>
            </w:r>
          </w:p>
        </w:tc>
        <w:tc>
          <w:tcPr>
            <w:tcW w:w="7470" w:type="dxa"/>
            <w:shd w:val="clear" w:color="auto" w:fill="auto"/>
          </w:tcPr>
          <w:p w14:paraId="294ADC81" w14:textId="77777777" w:rsidR="00B45C31" w:rsidRPr="000E4C0C" w:rsidRDefault="00B45C31" w:rsidP="00CF3BE1">
            <w:pPr>
              <w:spacing w:after="0" w:line="240" w:lineRule="auto"/>
              <w:rPr>
                <w:bCs/>
                <w:iCs/>
              </w:rPr>
            </w:pPr>
            <w:r>
              <w:rPr>
                <w:bCs/>
                <w:iCs/>
              </w:rPr>
              <w:t>SHUSA Solvency Risk</w:t>
            </w:r>
          </w:p>
        </w:tc>
      </w:tr>
    </w:tbl>
    <w:p w14:paraId="10F91BE7" w14:textId="77777777" w:rsidR="00E87B72" w:rsidRDefault="00E87B72" w:rsidP="00E20AC7">
      <w:pPr>
        <w:spacing w:after="0"/>
        <w:rPr>
          <w:rFonts w:asciiTheme="minorHAnsi" w:eastAsiaTheme="minorHAnsi" w:hAnsiTheme="minorHAnsi" w:cstheme="minorBidi"/>
          <w:i/>
          <w:iCs/>
        </w:rPr>
      </w:pPr>
    </w:p>
    <w:p w14:paraId="7B2F8CB9" w14:textId="77777777" w:rsidR="006049B7" w:rsidRPr="00E20AC7" w:rsidRDefault="006049B7" w:rsidP="00E20AC7">
      <w:pPr>
        <w:spacing w:after="0"/>
        <w:rPr>
          <w:rFonts w:asciiTheme="minorHAnsi" w:eastAsiaTheme="minorHAnsi" w:hAnsiTheme="minorHAnsi" w:cstheme="minorBidi"/>
          <w:i/>
          <w:iCs/>
        </w:rPr>
      </w:pPr>
    </w:p>
    <w:p w14:paraId="3FB02138" w14:textId="77777777" w:rsidR="00E20AC7" w:rsidRPr="00E20AC7" w:rsidRDefault="00E20AC7" w:rsidP="00FC6780">
      <w:pPr>
        <w:numPr>
          <w:ilvl w:val="2"/>
          <w:numId w:val="1"/>
        </w:numPr>
        <w:spacing w:before="120" w:after="120"/>
        <w:ind w:left="720" w:hanging="720"/>
        <w:outlineLvl w:val="1"/>
        <w:rPr>
          <w:b/>
          <w:bCs/>
          <w:color w:val="000000" w:themeColor="text1"/>
          <w:sz w:val="24"/>
          <w:szCs w:val="24"/>
          <w:lang w:bidi="en-US"/>
        </w:rPr>
      </w:pPr>
      <w:r w:rsidRPr="00E20AC7">
        <w:rPr>
          <w:b/>
          <w:bCs/>
          <w:color w:val="000000" w:themeColor="text1"/>
          <w:sz w:val="24"/>
          <w:szCs w:val="24"/>
          <w:lang w:bidi="en-US"/>
        </w:rPr>
        <w:t xml:space="preserve"> </w:t>
      </w:r>
      <w:bookmarkStart w:id="1460" w:name="_Toc428445427"/>
      <w:bookmarkStart w:id="1461" w:name="_Toc453849323"/>
      <w:r w:rsidR="00B45C31">
        <w:rPr>
          <w:b/>
          <w:bCs/>
          <w:color w:val="000000" w:themeColor="text1"/>
          <w:sz w:val="24"/>
          <w:szCs w:val="24"/>
          <w:lang w:bidi="en-US"/>
        </w:rPr>
        <w:t xml:space="preserve">Loss Impact on </w:t>
      </w:r>
      <w:r w:rsidRPr="00E20AC7">
        <w:rPr>
          <w:b/>
          <w:bCs/>
          <w:color w:val="000000" w:themeColor="text1"/>
          <w:sz w:val="24"/>
          <w:szCs w:val="24"/>
          <w:lang w:bidi="en-US"/>
        </w:rPr>
        <w:t xml:space="preserve">Trading </w:t>
      </w:r>
      <w:bookmarkEnd w:id="1460"/>
      <w:r w:rsidR="00B45C31">
        <w:rPr>
          <w:b/>
          <w:bCs/>
          <w:color w:val="000000" w:themeColor="text1"/>
          <w:sz w:val="24"/>
          <w:szCs w:val="24"/>
          <w:lang w:bidi="en-US"/>
        </w:rPr>
        <w:t>Portfolio</w:t>
      </w:r>
      <w:bookmarkEnd w:id="1461"/>
    </w:p>
    <w:p w14:paraId="62F732F0" w14:textId="77777777" w:rsidR="00E20AC7" w:rsidRPr="00E20AC7" w:rsidRDefault="00E20AC7" w:rsidP="00E20AC7">
      <w:r w:rsidRPr="00E20AC7">
        <w:rPr>
          <w:b/>
          <w:bCs/>
          <w:i/>
          <w:iCs/>
        </w:rPr>
        <w:t xml:space="preserve">Definition: </w:t>
      </w:r>
      <w:r w:rsidRPr="00E20AC7">
        <w:t>Stress based on plausible scenarios that assume trading positions and portfolios will be traded regularly.</w:t>
      </w:r>
    </w:p>
    <w:p w14:paraId="417337CE" w14:textId="77777777" w:rsidR="00E20AC7" w:rsidRPr="00E20AC7" w:rsidRDefault="00E20AC7" w:rsidP="00E20AC7">
      <w:pPr>
        <w:rPr>
          <w:color w:val="000000" w:themeColor="text1"/>
          <w:lang w:val="en-GB"/>
        </w:rPr>
      </w:pPr>
      <w:r w:rsidRPr="00E20AC7">
        <w:rPr>
          <w:color w:val="000000" w:themeColor="text1"/>
          <w:lang w:val="en-GB"/>
        </w:rPr>
        <w:t>As this is not a stress associated to the severity of macroeconomic scenarios, the impact applied to each of the 2 years will be the same for each year.</w:t>
      </w:r>
    </w:p>
    <w:tbl>
      <w:tblPr>
        <w:tblpPr w:leftFromText="180" w:rightFromText="180" w:vertAnchor="text" w:tblpX="168" w:tblpY="1"/>
        <w:tblOverlap w:val="never"/>
        <w:tblW w:w="9198"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000" w:firstRow="0" w:lastRow="0" w:firstColumn="0" w:lastColumn="0" w:noHBand="0" w:noVBand="0"/>
      </w:tblPr>
      <w:tblGrid>
        <w:gridCol w:w="1728"/>
        <w:gridCol w:w="7470"/>
      </w:tblGrid>
      <w:tr w:rsidR="00E20AC7" w:rsidRPr="00E20AC7" w14:paraId="18B583E3" w14:textId="77777777" w:rsidTr="00861D37">
        <w:trPr>
          <w:trHeight w:val="390"/>
        </w:trPr>
        <w:tc>
          <w:tcPr>
            <w:tcW w:w="1728" w:type="dxa"/>
            <w:shd w:val="clear" w:color="auto" w:fill="auto"/>
          </w:tcPr>
          <w:p w14:paraId="7C30A536" w14:textId="77777777" w:rsidR="00E20AC7" w:rsidRPr="00E20AC7" w:rsidRDefault="00E20AC7" w:rsidP="00E20AC7">
            <w:pPr>
              <w:spacing w:after="0"/>
              <w:rPr>
                <w:b/>
                <w:bCs/>
                <w:iCs/>
              </w:rPr>
            </w:pPr>
            <w:r w:rsidRPr="00E20AC7">
              <w:rPr>
                <w:b/>
                <w:bCs/>
                <w:iCs/>
              </w:rPr>
              <w:t>METRIC</w:t>
            </w:r>
          </w:p>
        </w:tc>
        <w:tc>
          <w:tcPr>
            <w:tcW w:w="7470" w:type="dxa"/>
            <w:shd w:val="clear" w:color="auto" w:fill="auto"/>
          </w:tcPr>
          <w:p w14:paraId="713EFE7A" w14:textId="38E1AD9E" w:rsidR="00E20AC7" w:rsidRPr="00E20AC7" w:rsidRDefault="00E20AC7" w:rsidP="00E20AC7">
            <w:pPr>
              <w:spacing w:after="0" w:line="240" w:lineRule="auto"/>
              <w:rPr>
                <w:bCs/>
                <w:iCs/>
              </w:rPr>
            </w:pPr>
            <w:r w:rsidRPr="00E20AC7">
              <w:rPr>
                <w:bCs/>
                <w:iCs/>
              </w:rPr>
              <w:t>Stressed Value at Risk (“</w:t>
            </w:r>
            <w:proofErr w:type="spellStart"/>
            <w:r w:rsidRPr="00E20AC7">
              <w:rPr>
                <w:bCs/>
                <w:iCs/>
              </w:rPr>
              <w:t>VaR</w:t>
            </w:r>
            <w:proofErr w:type="spellEnd"/>
            <w:r w:rsidRPr="00E20AC7">
              <w:rPr>
                <w:bCs/>
                <w:iCs/>
              </w:rPr>
              <w:t>”) Trading Book</w:t>
            </w:r>
            <w:r w:rsidR="00A14012">
              <w:rPr>
                <w:bCs/>
                <w:iCs/>
              </w:rPr>
              <w:t xml:space="preserve"> (SBNA Client Facilitation) </w:t>
            </w:r>
          </w:p>
        </w:tc>
      </w:tr>
      <w:tr w:rsidR="00A14012" w:rsidRPr="00E20AC7" w14:paraId="551709B6" w14:textId="77777777" w:rsidTr="00E93A42">
        <w:trPr>
          <w:trHeight w:val="270"/>
        </w:trPr>
        <w:tc>
          <w:tcPr>
            <w:tcW w:w="1728" w:type="dxa"/>
            <w:shd w:val="clear" w:color="auto" w:fill="auto"/>
          </w:tcPr>
          <w:p w14:paraId="06914ECB" w14:textId="77777777" w:rsidR="00A14012" w:rsidRPr="00E20AC7" w:rsidRDefault="00A14012" w:rsidP="00E20AC7">
            <w:pPr>
              <w:rPr>
                <w:b/>
                <w:bCs/>
                <w:iCs/>
              </w:rPr>
            </w:pPr>
            <w:r w:rsidRPr="00E20AC7">
              <w:rPr>
                <w:b/>
                <w:bCs/>
                <w:iCs/>
              </w:rPr>
              <w:t>ENTITY</w:t>
            </w:r>
          </w:p>
        </w:tc>
        <w:tc>
          <w:tcPr>
            <w:tcW w:w="7470" w:type="dxa"/>
            <w:shd w:val="clear" w:color="auto" w:fill="auto"/>
          </w:tcPr>
          <w:p w14:paraId="52BA6DE7" w14:textId="07B7FFEC" w:rsidR="00A14012" w:rsidRPr="00A14012" w:rsidRDefault="00A14012" w:rsidP="00AC60A0">
            <w:pPr>
              <w:spacing w:after="0" w:line="240" w:lineRule="auto"/>
              <w:rPr>
                <w:b/>
                <w:bCs/>
                <w:iCs/>
              </w:rPr>
            </w:pPr>
            <w:r w:rsidRPr="00A14012">
              <w:rPr>
                <w:b/>
                <w:bCs/>
                <w:iCs/>
              </w:rPr>
              <w:t xml:space="preserve">SBNA </w:t>
            </w:r>
          </w:p>
        </w:tc>
      </w:tr>
      <w:tr w:rsidR="00E20AC7" w:rsidRPr="00E20AC7" w14:paraId="160CB7B7" w14:textId="77777777" w:rsidTr="00861D37">
        <w:trPr>
          <w:trHeight w:val="360"/>
        </w:trPr>
        <w:tc>
          <w:tcPr>
            <w:tcW w:w="1728" w:type="dxa"/>
            <w:shd w:val="clear" w:color="auto" w:fill="auto"/>
          </w:tcPr>
          <w:p w14:paraId="456F76C4" w14:textId="77777777" w:rsidR="00E20AC7" w:rsidRPr="00E20AC7" w:rsidRDefault="00E20AC7" w:rsidP="00E20AC7">
            <w:pPr>
              <w:ind w:left="-60"/>
              <w:rPr>
                <w:b/>
                <w:bCs/>
                <w:iCs/>
              </w:rPr>
            </w:pPr>
            <w:r w:rsidRPr="00E20AC7">
              <w:rPr>
                <w:b/>
                <w:bCs/>
                <w:iCs/>
              </w:rPr>
              <w:t>CALCULATION</w:t>
            </w:r>
          </w:p>
        </w:tc>
        <w:tc>
          <w:tcPr>
            <w:tcW w:w="7470" w:type="dxa"/>
            <w:shd w:val="clear" w:color="auto" w:fill="auto"/>
          </w:tcPr>
          <w:p w14:paraId="602C141E" w14:textId="77777777" w:rsidR="00E20AC7" w:rsidRPr="00E20AC7" w:rsidRDefault="00E20AC7" w:rsidP="00E20AC7">
            <w:pPr>
              <w:spacing w:after="0" w:line="240" w:lineRule="auto"/>
              <w:rPr>
                <w:rFonts w:asciiTheme="minorHAnsi" w:eastAsiaTheme="minorHAnsi" w:hAnsiTheme="minorHAnsi" w:cstheme="minorBidi"/>
                <w:iCs/>
              </w:rPr>
            </w:pPr>
            <w:proofErr w:type="spellStart"/>
            <w:r w:rsidRPr="00E20AC7">
              <w:rPr>
                <w:bCs/>
                <w:iCs/>
              </w:rPr>
              <w:t>VaR</w:t>
            </w:r>
            <w:proofErr w:type="spellEnd"/>
            <w:r w:rsidRPr="00E20AC7">
              <w:rPr>
                <w:bCs/>
                <w:iCs/>
              </w:rPr>
              <w:t xml:space="preserve"> Model in use and validated. Model documentation and metric calculation procedures are available from the SHUSA Market Risk Management function.</w:t>
            </w:r>
          </w:p>
        </w:tc>
      </w:tr>
      <w:tr w:rsidR="00E20AC7" w:rsidRPr="00E20AC7" w14:paraId="4DF7BC4A" w14:textId="77777777" w:rsidTr="00861D37">
        <w:trPr>
          <w:trHeight w:val="510"/>
        </w:trPr>
        <w:tc>
          <w:tcPr>
            <w:tcW w:w="1728" w:type="dxa"/>
            <w:shd w:val="clear" w:color="auto" w:fill="auto"/>
          </w:tcPr>
          <w:p w14:paraId="00F0A1C7" w14:textId="77777777" w:rsidR="00E20AC7" w:rsidRPr="00E20AC7" w:rsidRDefault="00E20AC7" w:rsidP="00E20AC7">
            <w:pPr>
              <w:ind w:left="-60"/>
              <w:rPr>
                <w:b/>
                <w:bCs/>
                <w:iCs/>
              </w:rPr>
            </w:pPr>
            <w:r w:rsidRPr="00E20AC7">
              <w:rPr>
                <w:b/>
                <w:bCs/>
                <w:iCs/>
              </w:rPr>
              <w:t>FREQUENCY</w:t>
            </w:r>
          </w:p>
        </w:tc>
        <w:tc>
          <w:tcPr>
            <w:tcW w:w="7470" w:type="dxa"/>
            <w:shd w:val="clear" w:color="auto" w:fill="auto"/>
          </w:tcPr>
          <w:p w14:paraId="2A7B0EE9" w14:textId="77777777" w:rsidR="00E20AC7" w:rsidRPr="00E20AC7" w:rsidRDefault="00E20AC7" w:rsidP="00E20AC7">
            <w:pPr>
              <w:rPr>
                <w:lang w:val="en-GB"/>
              </w:rPr>
            </w:pPr>
            <w:r w:rsidRPr="00E20AC7">
              <w:rPr>
                <w:rFonts w:asciiTheme="minorHAnsi" w:eastAsiaTheme="minorHAnsi" w:hAnsiTheme="minorHAnsi" w:cstheme="minorBidi"/>
                <w:iCs/>
              </w:rPr>
              <w:t>Monthly</w:t>
            </w:r>
          </w:p>
        </w:tc>
      </w:tr>
      <w:tr w:rsidR="00E20AC7" w:rsidRPr="00E20AC7" w14:paraId="51010C75" w14:textId="77777777" w:rsidTr="00861D37">
        <w:trPr>
          <w:trHeight w:val="608"/>
        </w:trPr>
        <w:tc>
          <w:tcPr>
            <w:tcW w:w="1728" w:type="dxa"/>
            <w:shd w:val="clear" w:color="auto" w:fill="auto"/>
          </w:tcPr>
          <w:p w14:paraId="33FF3857" w14:textId="77777777" w:rsidR="00E20AC7" w:rsidRPr="00E20AC7" w:rsidRDefault="00E20AC7" w:rsidP="00E20AC7">
            <w:pPr>
              <w:rPr>
                <w:b/>
                <w:bCs/>
                <w:iCs/>
              </w:rPr>
            </w:pPr>
            <w:r w:rsidRPr="00E20AC7">
              <w:rPr>
                <w:b/>
                <w:bCs/>
                <w:iCs/>
              </w:rPr>
              <w:t>SOURCE OF INFORMATION</w:t>
            </w:r>
          </w:p>
        </w:tc>
        <w:tc>
          <w:tcPr>
            <w:tcW w:w="7470" w:type="dxa"/>
            <w:shd w:val="clear" w:color="auto" w:fill="auto"/>
          </w:tcPr>
          <w:p w14:paraId="61212E7B" w14:textId="77777777" w:rsidR="00E20AC7" w:rsidRPr="00E20AC7" w:rsidRDefault="00E20AC7" w:rsidP="00E20AC7">
            <w:pPr>
              <w:spacing w:after="0" w:line="240" w:lineRule="auto"/>
              <w:rPr>
                <w:bCs/>
                <w:iCs/>
              </w:rPr>
            </w:pPr>
            <w:r w:rsidRPr="00E20AC7">
              <w:rPr>
                <w:bCs/>
                <w:iCs/>
              </w:rPr>
              <w:t>SHUSA Market Risk</w:t>
            </w:r>
          </w:p>
        </w:tc>
      </w:tr>
    </w:tbl>
    <w:p w14:paraId="3047D44C" w14:textId="77777777" w:rsidR="00125EF2" w:rsidRDefault="00125EF2" w:rsidP="00125EF2">
      <w:pPr>
        <w:spacing w:before="120" w:after="120"/>
        <w:ind w:left="180"/>
        <w:outlineLvl w:val="1"/>
        <w:rPr>
          <w:b/>
          <w:bCs/>
          <w:color w:val="000000" w:themeColor="text1"/>
          <w:sz w:val="24"/>
          <w:szCs w:val="24"/>
          <w:lang w:bidi="en-US"/>
        </w:rPr>
      </w:pPr>
      <w:bookmarkStart w:id="1462" w:name="_Toc424635144"/>
      <w:bookmarkStart w:id="1463" w:name="_Toc428445428"/>
    </w:p>
    <w:p w14:paraId="4EA841BF" w14:textId="77777777" w:rsidR="00E20AC7" w:rsidRPr="00E20AC7" w:rsidRDefault="00E20AC7" w:rsidP="00FC6780">
      <w:pPr>
        <w:numPr>
          <w:ilvl w:val="2"/>
          <w:numId w:val="1"/>
        </w:numPr>
        <w:tabs>
          <w:tab w:val="clear" w:pos="1917"/>
          <w:tab w:val="left" w:pos="0"/>
          <w:tab w:val="left" w:pos="90"/>
          <w:tab w:val="num" w:pos="720"/>
        </w:tabs>
        <w:spacing w:before="120" w:after="120"/>
        <w:ind w:left="0" w:firstLine="0"/>
        <w:outlineLvl w:val="1"/>
        <w:rPr>
          <w:b/>
          <w:bCs/>
          <w:color w:val="000000" w:themeColor="text1"/>
          <w:sz w:val="24"/>
          <w:szCs w:val="24"/>
          <w:lang w:bidi="en-US"/>
        </w:rPr>
      </w:pPr>
      <w:bookmarkStart w:id="1464" w:name="_Toc453849324"/>
      <w:r w:rsidRPr="00E20AC7">
        <w:rPr>
          <w:b/>
          <w:bCs/>
          <w:color w:val="000000" w:themeColor="text1"/>
          <w:sz w:val="24"/>
          <w:szCs w:val="24"/>
          <w:lang w:bidi="en-US"/>
        </w:rPr>
        <w:t>Stressed Credit Valuation Adjustment (“CVA”)</w:t>
      </w:r>
      <w:bookmarkEnd w:id="1462"/>
      <w:bookmarkEnd w:id="1463"/>
      <w:bookmarkEnd w:id="1464"/>
      <w:r w:rsidRPr="00E20AC7">
        <w:rPr>
          <w:b/>
          <w:bCs/>
          <w:color w:val="000000" w:themeColor="text1"/>
          <w:sz w:val="24"/>
          <w:szCs w:val="24"/>
          <w:lang w:bidi="en-US"/>
        </w:rPr>
        <w:t xml:space="preserve"> </w:t>
      </w:r>
    </w:p>
    <w:p w14:paraId="27EF29EF" w14:textId="77777777" w:rsidR="00E20AC7" w:rsidRPr="00E20AC7" w:rsidRDefault="00E20AC7" w:rsidP="00E20AC7">
      <w:r w:rsidRPr="00E20AC7">
        <w:rPr>
          <w:b/>
          <w:bCs/>
          <w:i/>
          <w:iCs/>
        </w:rPr>
        <w:t xml:space="preserve">Definition: </w:t>
      </w:r>
      <w:r w:rsidRPr="00E20AC7">
        <w:t xml:space="preserve">This stress measures, through the application of an LGD stress (Group stress set at 60% of stressed CVA), the incremental CVAs in a stressed scenario with respect to the base line. </w:t>
      </w:r>
    </w:p>
    <w:p w14:paraId="1D287EBB" w14:textId="77777777" w:rsidR="00E20AC7" w:rsidRPr="00E20AC7" w:rsidRDefault="00E20AC7" w:rsidP="00E20AC7">
      <w:r w:rsidRPr="00E20AC7">
        <w:rPr>
          <w:rFonts w:asciiTheme="minorHAnsi" w:eastAsiaTheme="minorHAnsi" w:hAnsiTheme="minorHAnsi" w:cstheme="minorBidi"/>
        </w:rPr>
        <w:t>As this is not a stress associated to the severity of macroeconomic scenarios, the impact applied to each of the 2 years will be the same for each year.</w:t>
      </w:r>
    </w:p>
    <w:tbl>
      <w:tblPr>
        <w:tblpPr w:leftFromText="180" w:rightFromText="180" w:vertAnchor="text" w:tblpX="168" w:tblpY="1"/>
        <w:tblOverlap w:val="never"/>
        <w:tblW w:w="9198"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000" w:firstRow="0" w:lastRow="0" w:firstColumn="0" w:lastColumn="0" w:noHBand="0" w:noVBand="0"/>
      </w:tblPr>
      <w:tblGrid>
        <w:gridCol w:w="1728"/>
        <w:gridCol w:w="7470"/>
      </w:tblGrid>
      <w:tr w:rsidR="00E20AC7" w:rsidRPr="00E20AC7" w14:paraId="0FF40C19" w14:textId="77777777" w:rsidTr="00861D37">
        <w:trPr>
          <w:trHeight w:val="390"/>
        </w:trPr>
        <w:tc>
          <w:tcPr>
            <w:tcW w:w="1728" w:type="dxa"/>
            <w:shd w:val="clear" w:color="auto" w:fill="auto"/>
          </w:tcPr>
          <w:p w14:paraId="35929BA9" w14:textId="77777777" w:rsidR="00E20AC7" w:rsidRPr="00E20AC7" w:rsidRDefault="00E20AC7" w:rsidP="00E20AC7">
            <w:pPr>
              <w:rPr>
                <w:b/>
                <w:bCs/>
                <w:iCs/>
              </w:rPr>
            </w:pPr>
            <w:r w:rsidRPr="00E20AC7">
              <w:rPr>
                <w:b/>
                <w:bCs/>
                <w:iCs/>
              </w:rPr>
              <w:t>METRIC</w:t>
            </w:r>
          </w:p>
        </w:tc>
        <w:tc>
          <w:tcPr>
            <w:tcW w:w="7470" w:type="dxa"/>
            <w:shd w:val="clear" w:color="auto" w:fill="auto"/>
          </w:tcPr>
          <w:p w14:paraId="546A600F" w14:textId="77777777" w:rsidR="00E20AC7" w:rsidRPr="00E20AC7" w:rsidRDefault="00E20AC7" w:rsidP="00E20AC7">
            <w:pPr>
              <w:spacing w:after="0" w:line="240" w:lineRule="auto"/>
              <w:rPr>
                <w:bCs/>
                <w:iCs/>
              </w:rPr>
            </w:pPr>
            <w:r w:rsidRPr="00E20AC7">
              <w:rPr>
                <w:bCs/>
                <w:iCs/>
              </w:rPr>
              <w:t>Stressed Credit Valuation Adjustment (“CVA”)</w:t>
            </w:r>
          </w:p>
        </w:tc>
      </w:tr>
      <w:tr w:rsidR="00861D37" w:rsidRPr="00E20AC7" w14:paraId="6C838CF0" w14:textId="77777777" w:rsidTr="00861D37">
        <w:trPr>
          <w:trHeight w:val="270"/>
        </w:trPr>
        <w:tc>
          <w:tcPr>
            <w:tcW w:w="1728" w:type="dxa"/>
            <w:shd w:val="clear" w:color="auto" w:fill="auto"/>
          </w:tcPr>
          <w:p w14:paraId="2080DD19" w14:textId="77777777" w:rsidR="00861D37" w:rsidRPr="00E20AC7" w:rsidRDefault="00861D37" w:rsidP="00E20AC7">
            <w:pPr>
              <w:rPr>
                <w:b/>
                <w:bCs/>
                <w:iCs/>
              </w:rPr>
            </w:pPr>
            <w:r w:rsidRPr="00E20AC7">
              <w:rPr>
                <w:b/>
                <w:bCs/>
                <w:iCs/>
              </w:rPr>
              <w:t>ENTITY</w:t>
            </w:r>
          </w:p>
        </w:tc>
        <w:tc>
          <w:tcPr>
            <w:tcW w:w="7470" w:type="dxa"/>
            <w:shd w:val="clear" w:color="auto" w:fill="auto"/>
          </w:tcPr>
          <w:p w14:paraId="0AAEBC89" w14:textId="3B2C82E5" w:rsidR="00861D37" w:rsidRPr="00A14012" w:rsidRDefault="00A14012" w:rsidP="00AC60A0">
            <w:pPr>
              <w:spacing w:after="0" w:line="240" w:lineRule="auto"/>
              <w:rPr>
                <w:b/>
                <w:bCs/>
                <w:iCs/>
              </w:rPr>
            </w:pPr>
            <w:r>
              <w:rPr>
                <w:b/>
                <w:bCs/>
                <w:iCs/>
              </w:rPr>
              <w:t>SBNA</w:t>
            </w:r>
          </w:p>
        </w:tc>
      </w:tr>
      <w:tr w:rsidR="00E20AC7" w:rsidRPr="00E20AC7" w14:paraId="31B427E0" w14:textId="77777777" w:rsidTr="00861D37">
        <w:trPr>
          <w:trHeight w:val="360"/>
        </w:trPr>
        <w:tc>
          <w:tcPr>
            <w:tcW w:w="1728" w:type="dxa"/>
            <w:shd w:val="clear" w:color="auto" w:fill="auto"/>
          </w:tcPr>
          <w:p w14:paraId="66CCD5F4" w14:textId="77777777" w:rsidR="00E20AC7" w:rsidRPr="00E20AC7" w:rsidRDefault="00E20AC7" w:rsidP="00E20AC7">
            <w:pPr>
              <w:ind w:left="-60"/>
              <w:rPr>
                <w:b/>
                <w:bCs/>
                <w:iCs/>
              </w:rPr>
            </w:pPr>
            <w:r w:rsidRPr="00E20AC7">
              <w:rPr>
                <w:b/>
                <w:bCs/>
                <w:iCs/>
              </w:rPr>
              <w:t>CALCULATION</w:t>
            </w:r>
          </w:p>
        </w:tc>
        <w:tc>
          <w:tcPr>
            <w:tcW w:w="7470" w:type="dxa"/>
            <w:shd w:val="clear" w:color="auto" w:fill="auto"/>
          </w:tcPr>
          <w:p w14:paraId="5B38EB9F" w14:textId="77777777" w:rsidR="00E20AC7" w:rsidRPr="00E20AC7" w:rsidRDefault="00E20AC7" w:rsidP="00E20AC7">
            <w:pPr>
              <w:spacing w:after="0" w:line="240" w:lineRule="auto"/>
              <w:rPr>
                <w:bCs/>
                <w:iCs/>
                <w:lang w:val="en-GB"/>
              </w:rPr>
            </w:pPr>
            <w:r w:rsidRPr="00E20AC7">
              <w:rPr>
                <w:bCs/>
                <w:iCs/>
              </w:rPr>
              <w:t>CVA Stress Model in use and validated. Model documentation and metric calculation procedures are available from the SHUSA Market Risk Management function.</w:t>
            </w:r>
          </w:p>
        </w:tc>
      </w:tr>
      <w:tr w:rsidR="00E20AC7" w:rsidRPr="00E20AC7" w14:paraId="43F9D46A" w14:textId="77777777" w:rsidTr="00861D37">
        <w:trPr>
          <w:trHeight w:val="510"/>
        </w:trPr>
        <w:tc>
          <w:tcPr>
            <w:tcW w:w="1728" w:type="dxa"/>
            <w:shd w:val="clear" w:color="auto" w:fill="auto"/>
          </w:tcPr>
          <w:p w14:paraId="676A928A" w14:textId="77777777" w:rsidR="00E20AC7" w:rsidRPr="00E20AC7" w:rsidRDefault="00E20AC7" w:rsidP="00E20AC7">
            <w:pPr>
              <w:ind w:left="-60"/>
              <w:rPr>
                <w:b/>
                <w:bCs/>
                <w:iCs/>
              </w:rPr>
            </w:pPr>
            <w:r w:rsidRPr="00E20AC7">
              <w:rPr>
                <w:b/>
                <w:bCs/>
                <w:iCs/>
              </w:rPr>
              <w:t>FREQUENCY</w:t>
            </w:r>
          </w:p>
        </w:tc>
        <w:tc>
          <w:tcPr>
            <w:tcW w:w="7470" w:type="dxa"/>
            <w:shd w:val="clear" w:color="auto" w:fill="auto"/>
          </w:tcPr>
          <w:p w14:paraId="7E84B3FC" w14:textId="77777777" w:rsidR="00E20AC7" w:rsidRPr="00E20AC7" w:rsidRDefault="00E20AC7" w:rsidP="00E20AC7">
            <w:pPr>
              <w:rPr>
                <w:lang w:val="en-GB"/>
              </w:rPr>
            </w:pPr>
            <w:r w:rsidRPr="00E20AC7">
              <w:rPr>
                <w:rFonts w:asciiTheme="minorHAnsi" w:eastAsiaTheme="minorHAnsi" w:hAnsiTheme="minorHAnsi" w:cstheme="minorBidi"/>
                <w:iCs/>
              </w:rPr>
              <w:t>Monthly</w:t>
            </w:r>
          </w:p>
        </w:tc>
      </w:tr>
      <w:tr w:rsidR="00E20AC7" w:rsidRPr="00E20AC7" w14:paraId="16289B83" w14:textId="77777777" w:rsidTr="00861D37">
        <w:trPr>
          <w:trHeight w:val="525"/>
        </w:trPr>
        <w:tc>
          <w:tcPr>
            <w:tcW w:w="1728" w:type="dxa"/>
            <w:shd w:val="clear" w:color="auto" w:fill="auto"/>
          </w:tcPr>
          <w:p w14:paraId="6256C8BD" w14:textId="77777777" w:rsidR="00E20AC7" w:rsidRPr="00E20AC7" w:rsidRDefault="00E20AC7" w:rsidP="00E20AC7">
            <w:pPr>
              <w:rPr>
                <w:b/>
                <w:bCs/>
                <w:iCs/>
              </w:rPr>
            </w:pPr>
            <w:r w:rsidRPr="00E20AC7">
              <w:rPr>
                <w:b/>
                <w:bCs/>
                <w:iCs/>
              </w:rPr>
              <w:t>SOURCE OF INFORMATION</w:t>
            </w:r>
          </w:p>
        </w:tc>
        <w:tc>
          <w:tcPr>
            <w:tcW w:w="7470" w:type="dxa"/>
            <w:shd w:val="clear" w:color="auto" w:fill="auto"/>
          </w:tcPr>
          <w:p w14:paraId="365FD985" w14:textId="77777777" w:rsidR="00E20AC7" w:rsidRPr="00E20AC7" w:rsidRDefault="00E20AC7" w:rsidP="00E20AC7">
            <w:pPr>
              <w:spacing w:after="0" w:line="240" w:lineRule="auto"/>
              <w:rPr>
                <w:bCs/>
                <w:iCs/>
              </w:rPr>
            </w:pPr>
            <w:r w:rsidRPr="00E20AC7">
              <w:rPr>
                <w:bCs/>
                <w:iCs/>
              </w:rPr>
              <w:t>SHUSA Market Risk</w:t>
            </w:r>
          </w:p>
        </w:tc>
      </w:tr>
    </w:tbl>
    <w:p w14:paraId="2EE29C0D" w14:textId="77777777" w:rsidR="00E20AC7" w:rsidRDefault="00E20AC7" w:rsidP="00E20AC7">
      <w:pPr>
        <w:spacing w:after="0"/>
        <w:rPr>
          <w:rFonts w:asciiTheme="minorHAnsi" w:eastAsiaTheme="minorHAnsi" w:hAnsiTheme="minorHAnsi" w:cstheme="minorBidi"/>
          <w:b/>
          <w:i/>
          <w:iCs/>
          <w:sz w:val="24"/>
          <w:szCs w:val="24"/>
        </w:rPr>
      </w:pPr>
    </w:p>
    <w:p w14:paraId="35A65ED0" w14:textId="77777777" w:rsidR="00A14012" w:rsidRDefault="00A14012" w:rsidP="00E20AC7">
      <w:pPr>
        <w:spacing w:after="0"/>
        <w:rPr>
          <w:rFonts w:asciiTheme="minorHAnsi" w:eastAsiaTheme="minorHAnsi" w:hAnsiTheme="minorHAnsi" w:cstheme="minorBidi"/>
          <w:b/>
          <w:i/>
          <w:iCs/>
          <w:sz w:val="24"/>
          <w:szCs w:val="24"/>
        </w:rPr>
      </w:pPr>
    </w:p>
    <w:p w14:paraId="4A902050" w14:textId="77777777" w:rsidR="00A14012" w:rsidRDefault="00A14012" w:rsidP="00E20AC7">
      <w:pPr>
        <w:spacing w:after="0"/>
        <w:rPr>
          <w:rFonts w:asciiTheme="minorHAnsi" w:eastAsiaTheme="minorHAnsi" w:hAnsiTheme="minorHAnsi" w:cstheme="minorBidi"/>
          <w:b/>
          <w:i/>
          <w:iCs/>
          <w:sz w:val="24"/>
          <w:szCs w:val="24"/>
        </w:rPr>
      </w:pPr>
    </w:p>
    <w:p w14:paraId="1634733C" w14:textId="77777777" w:rsidR="00A14012" w:rsidRPr="00E20AC7" w:rsidRDefault="00A14012" w:rsidP="00E20AC7">
      <w:pPr>
        <w:spacing w:after="0"/>
        <w:rPr>
          <w:rFonts w:asciiTheme="minorHAnsi" w:eastAsiaTheme="minorHAnsi" w:hAnsiTheme="minorHAnsi" w:cstheme="minorBidi"/>
          <w:b/>
          <w:i/>
          <w:iCs/>
          <w:sz w:val="24"/>
          <w:szCs w:val="24"/>
        </w:rPr>
      </w:pPr>
    </w:p>
    <w:p w14:paraId="46895FAF" w14:textId="77777777" w:rsidR="00E20AC7" w:rsidRPr="00E20AC7" w:rsidRDefault="00E20AC7" w:rsidP="00FC6780">
      <w:pPr>
        <w:numPr>
          <w:ilvl w:val="2"/>
          <w:numId w:val="1"/>
        </w:numPr>
        <w:tabs>
          <w:tab w:val="clear" w:pos="1917"/>
          <w:tab w:val="num" w:pos="720"/>
        </w:tabs>
        <w:spacing w:before="120" w:after="120"/>
        <w:ind w:left="0" w:firstLine="0"/>
        <w:outlineLvl w:val="1"/>
        <w:rPr>
          <w:b/>
          <w:bCs/>
          <w:color w:val="000000" w:themeColor="text1"/>
          <w:sz w:val="24"/>
          <w:szCs w:val="24"/>
          <w:lang w:bidi="en-US"/>
        </w:rPr>
      </w:pPr>
      <w:bookmarkStart w:id="1465" w:name="_Toc428445429"/>
      <w:bookmarkStart w:id="1466" w:name="_Toc453849325"/>
      <w:r w:rsidRPr="00E20AC7">
        <w:rPr>
          <w:b/>
          <w:bCs/>
          <w:color w:val="000000" w:themeColor="text1"/>
          <w:sz w:val="24"/>
          <w:szCs w:val="24"/>
          <w:lang w:bidi="en-US"/>
        </w:rPr>
        <w:t>Operational Risk Stress</w:t>
      </w:r>
      <w:bookmarkEnd w:id="1465"/>
      <w:bookmarkEnd w:id="1466"/>
      <w:r w:rsidRPr="00E20AC7">
        <w:rPr>
          <w:b/>
          <w:bCs/>
          <w:color w:val="000000" w:themeColor="text1"/>
          <w:sz w:val="24"/>
          <w:szCs w:val="24"/>
          <w:lang w:bidi="en-US"/>
        </w:rPr>
        <w:t xml:space="preserve"> </w:t>
      </w:r>
    </w:p>
    <w:p w14:paraId="1F28A8EC" w14:textId="77777777" w:rsidR="00E20AC7" w:rsidRPr="00E20AC7" w:rsidRDefault="00E20AC7" w:rsidP="00E20AC7">
      <w:r w:rsidRPr="00E20AC7">
        <w:rPr>
          <w:b/>
          <w:bCs/>
          <w:i/>
          <w:iCs/>
        </w:rPr>
        <w:t xml:space="preserve">Definition: </w:t>
      </w:r>
      <w:r w:rsidRPr="00E20AC7">
        <w:t xml:space="preserve">The Operational Risk loss estimate from CCAR submission. </w:t>
      </w:r>
    </w:p>
    <w:p w14:paraId="75E5323C" w14:textId="77777777" w:rsidR="00E20AC7" w:rsidRPr="00E20AC7" w:rsidRDefault="00E20AC7" w:rsidP="00E20AC7">
      <w:r w:rsidRPr="00E20AC7">
        <w:t xml:space="preserve">The CCAR calculation has 3 main components: </w:t>
      </w:r>
    </w:p>
    <w:p w14:paraId="74C51317" w14:textId="77777777" w:rsidR="00E20AC7" w:rsidRPr="00E20AC7" w:rsidRDefault="00E20AC7" w:rsidP="00AB79BD">
      <w:pPr>
        <w:numPr>
          <w:ilvl w:val="0"/>
          <w:numId w:val="28"/>
        </w:numPr>
        <w:contextualSpacing/>
        <w:rPr>
          <w:rFonts w:asciiTheme="minorHAnsi" w:eastAsiaTheme="minorHAnsi" w:hAnsiTheme="minorHAnsi" w:cstheme="minorBidi"/>
          <w:bCs/>
          <w:iCs/>
          <w:lang w:val="en-GB"/>
        </w:rPr>
      </w:pPr>
      <w:r w:rsidRPr="00E20AC7">
        <w:rPr>
          <w:rFonts w:asciiTheme="minorHAnsi" w:eastAsiaTheme="minorHAnsi" w:hAnsiTheme="minorHAnsi" w:cstheme="minorBidi"/>
          <w:bCs/>
          <w:iCs/>
          <w:lang w:val="en-GB"/>
        </w:rPr>
        <w:t xml:space="preserve">The starting point of the baseline estimate is the average observed historical gross loss determined from internal loss data for each Basel Tier One risk event type. </w:t>
      </w:r>
    </w:p>
    <w:p w14:paraId="477A5DC1" w14:textId="77777777" w:rsidR="00E20AC7" w:rsidRPr="00E20AC7" w:rsidRDefault="00E20AC7" w:rsidP="00AB79BD">
      <w:pPr>
        <w:numPr>
          <w:ilvl w:val="0"/>
          <w:numId w:val="28"/>
        </w:numPr>
        <w:contextualSpacing/>
        <w:rPr>
          <w:rFonts w:asciiTheme="minorHAnsi" w:eastAsiaTheme="minorHAnsi" w:hAnsiTheme="minorHAnsi" w:cstheme="minorBidi"/>
          <w:bCs/>
          <w:iCs/>
          <w:lang w:val="en-GB"/>
        </w:rPr>
      </w:pPr>
      <w:r w:rsidRPr="00E20AC7">
        <w:rPr>
          <w:rFonts w:asciiTheme="minorHAnsi" w:eastAsiaTheme="minorHAnsi" w:hAnsiTheme="minorHAnsi" w:cstheme="minorBidi"/>
          <w:bCs/>
          <w:iCs/>
          <w:lang w:val="en-GB"/>
        </w:rPr>
        <w:t xml:space="preserve">Because the historical average (HA) is a backward looking metric it must be augmented by a Scenario Analysis (SA) process that reflects the firm's forward looking risk </w:t>
      </w:r>
      <w:proofErr w:type="gramStart"/>
      <w:r w:rsidRPr="00E20AC7">
        <w:rPr>
          <w:rFonts w:asciiTheme="minorHAnsi" w:eastAsiaTheme="minorHAnsi" w:hAnsiTheme="minorHAnsi" w:cstheme="minorBidi"/>
          <w:bCs/>
          <w:iCs/>
          <w:lang w:val="en-GB"/>
        </w:rPr>
        <w:t>profile.</w:t>
      </w:r>
      <w:proofErr w:type="gramEnd"/>
      <w:r w:rsidRPr="00E20AC7">
        <w:rPr>
          <w:rFonts w:asciiTheme="minorHAnsi" w:eastAsiaTheme="minorHAnsi" w:hAnsiTheme="minorHAnsi" w:cstheme="minorBidi"/>
          <w:bCs/>
          <w:iCs/>
          <w:lang w:val="en-GB"/>
        </w:rPr>
        <w:t xml:space="preserve"> This is achieved by comparing the HA with the estimate from SA by entity and risk type. If the SA estimate is larger than the HA, the difference is added to the HA result in the form of an add-on. </w:t>
      </w:r>
    </w:p>
    <w:p w14:paraId="3C6B8D74" w14:textId="77777777" w:rsidR="00E20AC7" w:rsidRPr="00E20AC7" w:rsidRDefault="00E20AC7" w:rsidP="00AB79BD">
      <w:pPr>
        <w:numPr>
          <w:ilvl w:val="0"/>
          <w:numId w:val="28"/>
        </w:numPr>
        <w:contextualSpacing/>
        <w:rPr>
          <w:rFonts w:asciiTheme="minorHAnsi" w:eastAsiaTheme="minorHAnsi" w:hAnsiTheme="minorHAnsi" w:cstheme="minorBidi"/>
          <w:bCs/>
          <w:iCs/>
          <w:lang w:val="en-GB"/>
        </w:rPr>
      </w:pPr>
      <w:r w:rsidRPr="00E20AC7">
        <w:rPr>
          <w:rFonts w:asciiTheme="minorHAnsi" w:eastAsiaTheme="minorHAnsi" w:hAnsiTheme="minorHAnsi" w:cstheme="minorBidi"/>
          <w:bCs/>
          <w:iCs/>
          <w:lang w:val="en-GB"/>
        </w:rPr>
        <w:t>Additionally there is the contribution from legal reserves. Legal reserves are set via a third-party evaluation of the probable, possible and remotely possible outcomes of outstanding litigations. The baseline estimate is the sum of the HA, SA Add-on and the probable expected legal losses.</w:t>
      </w:r>
    </w:p>
    <w:p w14:paraId="051E7AE7" w14:textId="77777777" w:rsidR="00E20AC7" w:rsidRPr="00E20AC7" w:rsidRDefault="00E20AC7" w:rsidP="00E20AC7">
      <w:pPr>
        <w:spacing w:after="0"/>
      </w:pPr>
      <w:r w:rsidRPr="00E20AC7">
        <w:t xml:space="preserve">The severely adverse scenario includes a management overlay in the form of a heuristically derived scaling component estimated from external loss data that is used to scale the baseline HA and SA-Add on for each risk type and entity. In particular, the putative Legal Reserves include the expected losses for those cases deemed possible and an idiosyncratic loss scenario is also included for each legal entity. </w:t>
      </w:r>
    </w:p>
    <w:p w14:paraId="7D5DA8A3" w14:textId="77777777" w:rsidR="00E20AC7" w:rsidRPr="00E20AC7" w:rsidRDefault="00E20AC7" w:rsidP="00E20AC7">
      <w:pPr>
        <w:spacing w:after="0"/>
        <w:rPr>
          <w:iCs/>
        </w:rPr>
      </w:pPr>
    </w:p>
    <w:tbl>
      <w:tblPr>
        <w:tblpPr w:leftFromText="180" w:rightFromText="180" w:vertAnchor="text" w:tblpX="168" w:tblpY="1"/>
        <w:tblOverlap w:val="never"/>
        <w:tblW w:w="9198"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000" w:firstRow="0" w:lastRow="0" w:firstColumn="0" w:lastColumn="0" w:noHBand="0" w:noVBand="0"/>
      </w:tblPr>
      <w:tblGrid>
        <w:gridCol w:w="1728"/>
        <w:gridCol w:w="7470"/>
      </w:tblGrid>
      <w:tr w:rsidR="00E20AC7" w:rsidRPr="00E20AC7" w14:paraId="3FC542C4" w14:textId="77777777" w:rsidTr="00861D37">
        <w:trPr>
          <w:trHeight w:val="390"/>
        </w:trPr>
        <w:tc>
          <w:tcPr>
            <w:tcW w:w="1728" w:type="dxa"/>
            <w:shd w:val="clear" w:color="auto" w:fill="auto"/>
          </w:tcPr>
          <w:p w14:paraId="0D1B6250" w14:textId="77777777" w:rsidR="00E20AC7" w:rsidRPr="00E20AC7" w:rsidRDefault="00E20AC7" w:rsidP="00E20AC7">
            <w:pPr>
              <w:rPr>
                <w:b/>
                <w:bCs/>
                <w:iCs/>
              </w:rPr>
            </w:pPr>
            <w:r w:rsidRPr="00E20AC7">
              <w:rPr>
                <w:b/>
                <w:bCs/>
                <w:iCs/>
              </w:rPr>
              <w:t>METRIC</w:t>
            </w:r>
          </w:p>
        </w:tc>
        <w:tc>
          <w:tcPr>
            <w:tcW w:w="7470" w:type="dxa"/>
            <w:shd w:val="clear" w:color="auto" w:fill="auto"/>
          </w:tcPr>
          <w:p w14:paraId="6E975C85" w14:textId="77777777" w:rsidR="00E20AC7" w:rsidRPr="00E20AC7" w:rsidRDefault="00E20AC7" w:rsidP="00E20AC7">
            <w:pPr>
              <w:spacing w:after="0" w:line="240" w:lineRule="auto"/>
              <w:rPr>
                <w:b/>
                <w:bCs/>
                <w:iCs/>
              </w:rPr>
            </w:pPr>
            <w:r w:rsidRPr="00E20AC7">
              <w:rPr>
                <w:iCs/>
              </w:rPr>
              <w:t>Operational Risk Stress</w:t>
            </w:r>
          </w:p>
        </w:tc>
      </w:tr>
      <w:tr w:rsidR="00861D37" w:rsidRPr="00E20AC7" w14:paraId="626C6BB3" w14:textId="77777777" w:rsidTr="00861D37">
        <w:trPr>
          <w:trHeight w:val="270"/>
        </w:trPr>
        <w:tc>
          <w:tcPr>
            <w:tcW w:w="1728" w:type="dxa"/>
            <w:shd w:val="clear" w:color="auto" w:fill="auto"/>
          </w:tcPr>
          <w:p w14:paraId="0D9F3B23" w14:textId="77777777" w:rsidR="00861D37" w:rsidRPr="00E20AC7" w:rsidRDefault="00861D37" w:rsidP="00E20AC7">
            <w:pPr>
              <w:rPr>
                <w:b/>
                <w:bCs/>
                <w:iCs/>
              </w:rPr>
            </w:pPr>
            <w:r w:rsidRPr="00E20AC7">
              <w:rPr>
                <w:b/>
                <w:bCs/>
                <w:iCs/>
              </w:rPr>
              <w:t>ENTITY</w:t>
            </w:r>
          </w:p>
        </w:tc>
        <w:tc>
          <w:tcPr>
            <w:tcW w:w="7470" w:type="dxa"/>
            <w:shd w:val="clear" w:color="auto" w:fill="auto"/>
          </w:tcPr>
          <w:p w14:paraId="30AC70B4" w14:textId="1EAD2E9B" w:rsidR="00861D37" w:rsidRPr="00A14012" w:rsidRDefault="00A14012" w:rsidP="00AC60A0">
            <w:pPr>
              <w:spacing w:after="0" w:line="240" w:lineRule="auto"/>
              <w:rPr>
                <w:b/>
                <w:bCs/>
                <w:iCs/>
              </w:rPr>
            </w:pPr>
            <w:r>
              <w:rPr>
                <w:b/>
                <w:bCs/>
                <w:iCs/>
              </w:rPr>
              <w:t>SBNA, SC</w:t>
            </w:r>
          </w:p>
        </w:tc>
      </w:tr>
      <w:tr w:rsidR="00E20AC7" w:rsidRPr="00E20AC7" w14:paraId="30912874" w14:textId="77777777" w:rsidTr="00861D37">
        <w:trPr>
          <w:trHeight w:val="360"/>
        </w:trPr>
        <w:tc>
          <w:tcPr>
            <w:tcW w:w="1728" w:type="dxa"/>
            <w:shd w:val="clear" w:color="auto" w:fill="auto"/>
          </w:tcPr>
          <w:p w14:paraId="0F52E4E0" w14:textId="77777777" w:rsidR="00E20AC7" w:rsidRPr="00E20AC7" w:rsidRDefault="00E20AC7" w:rsidP="00E20AC7">
            <w:pPr>
              <w:ind w:left="-60"/>
              <w:rPr>
                <w:b/>
                <w:bCs/>
                <w:iCs/>
              </w:rPr>
            </w:pPr>
            <w:r w:rsidRPr="00E20AC7">
              <w:rPr>
                <w:b/>
                <w:bCs/>
                <w:iCs/>
              </w:rPr>
              <w:t>CALCULATION</w:t>
            </w:r>
          </w:p>
        </w:tc>
        <w:tc>
          <w:tcPr>
            <w:tcW w:w="7470" w:type="dxa"/>
            <w:shd w:val="clear" w:color="auto" w:fill="auto"/>
          </w:tcPr>
          <w:p w14:paraId="7A23200A" w14:textId="77777777" w:rsidR="00E20AC7" w:rsidRPr="00E20AC7" w:rsidRDefault="00E20AC7" w:rsidP="00E20AC7">
            <w:pPr>
              <w:spacing w:after="0" w:line="240" w:lineRule="auto"/>
              <w:rPr>
                <w:bCs/>
                <w:iCs/>
              </w:rPr>
            </w:pPr>
            <w:r w:rsidRPr="00E20AC7">
              <w:rPr>
                <w:bCs/>
                <w:iCs/>
              </w:rPr>
              <w:t>Operational Risk Stress Model in development and subject to validation. Calculation as described above. Output of model is used to inform an expert judgment adjustment. Documentation available from the SHUSA Operational Risk function.</w:t>
            </w:r>
          </w:p>
        </w:tc>
      </w:tr>
      <w:tr w:rsidR="00E20AC7" w:rsidRPr="00E20AC7" w14:paraId="4718E5E1" w14:textId="77777777" w:rsidTr="00861D37">
        <w:trPr>
          <w:trHeight w:val="510"/>
        </w:trPr>
        <w:tc>
          <w:tcPr>
            <w:tcW w:w="1728" w:type="dxa"/>
            <w:shd w:val="clear" w:color="auto" w:fill="auto"/>
          </w:tcPr>
          <w:p w14:paraId="4BC9B7B1" w14:textId="77777777" w:rsidR="00E20AC7" w:rsidRPr="00E20AC7" w:rsidRDefault="00E20AC7" w:rsidP="00E20AC7">
            <w:pPr>
              <w:ind w:left="-60"/>
              <w:rPr>
                <w:b/>
                <w:bCs/>
                <w:iCs/>
              </w:rPr>
            </w:pPr>
            <w:r w:rsidRPr="00E20AC7">
              <w:rPr>
                <w:b/>
                <w:bCs/>
                <w:iCs/>
              </w:rPr>
              <w:t>FREQUENCY</w:t>
            </w:r>
          </w:p>
        </w:tc>
        <w:tc>
          <w:tcPr>
            <w:tcW w:w="7470" w:type="dxa"/>
            <w:shd w:val="clear" w:color="auto" w:fill="auto"/>
          </w:tcPr>
          <w:p w14:paraId="1498DB11" w14:textId="77777777" w:rsidR="00E20AC7" w:rsidRPr="00E20AC7" w:rsidRDefault="00E20AC7" w:rsidP="00E20AC7">
            <w:pPr>
              <w:rPr>
                <w:lang w:val="en-GB"/>
              </w:rPr>
            </w:pPr>
            <w:r w:rsidRPr="00E20AC7">
              <w:rPr>
                <w:rFonts w:asciiTheme="minorHAnsi" w:eastAsiaTheme="minorHAnsi" w:hAnsiTheme="minorHAnsi" w:cstheme="minorBidi"/>
                <w:iCs/>
              </w:rPr>
              <w:t>Annual</w:t>
            </w:r>
          </w:p>
        </w:tc>
      </w:tr>
      <w:tr w:rsidR="00E20AC7" w:rsidRPr="00E20AC7" w14:paraId="7DDF0293" w14:textId="77777777" w:rsidTr="00861D37">
        <w:trPr>
          <w:trHeight w:val="525"/>
        </w:trPr>
        <w:tc>
          <w:tcPr>
            <w:tcW w:w="1728" w:type="dxa"/>
            <w:shd w:val="clear" w:color="auto" w:fill="auto"/>
          </w:tcPr>
          <w:p w14:paraId="2137C640" w14:textId="77777777" w:rsidR="00E20AC7" w:rsidRPr="00E20AC7" w:rsidRDefault="00E20AC7" w:rsidP="00E20AC7">
            <w:pPr>
              <w:rPr>
                <w:b/>
                <w:bCs/>
                <w:iCs/>
              </w:rPr>
            </w:pPr>
            <w:r w:rsidRPr="00E20AC7">
              <w:rPr>
                <w:b/>
                <w:bCs/>
                <w:iCs/>
              </w:rPr>
              <w:t>SOURCE OF INFORMATION</w:t>
            </w:r>
          </w:p>
        </w:tc>
        <w:tc>
          <w:tcPr>
            <w:tcW w:w="7470" w:type="dxa"/>
            <w:shd w:val="clear" w:color="auto" w:fill="auto"/>
          </w:tcPr>
          <w:p w14:paraId="73BD5319" w14:textId="77777777" w:rsidR="00E20AC7" w:rsidRPr="00E20AC7" w:rsidRDefault="00E20AC7" w:rsidP="00E20AC7">
            <w:pPr>
              <w:spacing w:after="0" w:line="240" w:lineRule="auto"/>
              <w:rPr>
                <w:bCs/>
                <w:iCs/>
              </w:rPr>
            </w:pPr>
            <w:r w:rsidRPr="00E20AC7">
              <w:rPr>
                <w:bCs/>
                <w:iCs/>
              </w:rPr>
              <w:t>CCAR Y14-A  and Strategic Plan</w:t>
            </w:r>
          </w:p>
          <w:p w14:paraId="4129DBB8" w14:textId="77777777" w:rsidR="00E20AC7" w:rsidRPr="00E20AC7" w:rsidRDefault="00E20AC7" w:rsidP="00AC60A0">
            <w:pPr>
              <w:spacing w:after="0" w:line="240" w:lineRule="auto"/>
              <w:rPr>
                <w:bCs/>
                <w:iCs/>
              </w:rPr>
            </w:pPr>
            <w:r w:rsidRPr="00E20AC7">
              <w:rPr>
                <w:bCs/>
                <w:iCs/>
              </w:rPr>
              <w:t>SHUSA, SC and SBNA Operational Risk functions</w:t>
            </w:r>
          </w:p>
        </w:tc>
      </w:tr>
    </w:tbl>
    <w:p w14:paraId="6F72AE58" w14:textId="77777777" w:rsidR="00E20AC7" w:rsidRPr="00E20AC7" w:rsidRDefault="00E20AC7" w:rsidP="004C3836">
      <w:pPr>
        <w:rPr>
          <w:lang w:bidi="en-US"/>
        </w:rPr>
      </w:pPr>
    </w:p>
    <w:p w14:paraId="1D976A5F" w14:textId="77777777" w:rsidR="00E20AC7" w:rsidRPr="00E20AC7" w:rsidRDefault="00E20AC7" w:rsidP="004C3836">
      <w:pPr>
        <w:rPr>
          <w:lang w:bidi="en-US"/>
        </w:rPr>
      </w:pPr>
    </w:p>
    <w:p w14:paraId="54D8707D" w14:textId="77777777" w:rsidR="00E20AC7" w:rsidRPr="00E20AC7" w:rsidRDefault="00E20AC7" w:rsidP="004C3836">
      <w:pPr>
        <w:rPr>
          <w:lang w:bidi="en-US"/>
        </w:rPr>
      </w:pPr>
    </w:p>
    <w:p w14:paraId="0E604B2C" w14:textId="77777777" w:rsidR="00E20AC7" w:rsidRPr="00E20AC7" w:rsidRDefault="00E20AC7" w:rsidP="004C3836">
      <w:pPr>
        <w:rPr>
          <w:rFonts w:asciiTheme="minorHAnsi" w:eastAsiaTheme="minorHAnsi" w:hAnsiTheme="minorHAnsi" w:cstheme="minorBidi"/>
          <w:i/>
          <w:iCs/>
          <w:sz w:val="24"/>
          <w:szCs w:val="24"/>
        </w:rPr>
      </w:pPr>
    </w:p>
    <w:p w14:paraId="1F308FB5" w14:textId="77777777" w:rsidR="00E20AC7" w:rsidRPr="00E20AC7" w:rsidRDefault="00E20AC7" w:rsidP="004C3836">
      <w:pPr>
        <w:rPr>
          <w:rFonts w:asciiTheme="minorHAnsi" w:eastAsiaTheme="minorHAnsi" w:hAnsiTheme="minorHAnsi" w:cstheme="minorBidi"/>
          <w:i/>
          <w:iCs/>
          <w:sz w:val="24"/>
          <w:szCs w:val="24"/>
        </w:rPr>
      </w:pPr>
    </w:p>
    <w:p w14:paraId="2505D97D" w14:textId="77777777" w:rsidR="00E20AC7" w:rsidRDefault="00E20AC7" w:rsidP="004C3836"/>
    <w:sectPr w:rsidR="00E20AC7" w:rsidSect="00D45497">
      <w:headerReference w:type="default" r:id="rId12"/>
      <w:footerReference w:type="default" r:id="rId13"/>
      <w:pgSz w:w="12240" w:h="15840" w:code="1"/>
      <w:pgMar w:top="1440" w:right="1440" w:bottom="1440" w:left="1440" w:header="720" w:footer="720" w:gutter="0"/>
      <w:cols w:space="720"/>
      <w:titlePg/>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B0AAAC5" w15:done="0"/>
  <w15:commentEx w15:paraId="6FA8F379" w15:done="0"/>
  <w15:commentEx w15:paraId="322146C1" w15:done="0"/>
  <w15:commentEx w15:paraId="41A430E1" w15:done="0"/>
  <w15:commentEx w15:paraId="0752C621" w15:done="0"/>
  <w15:commentEx w15:paraId="52F40E9D" w15:done="0"/>
  <w15:commentEx w15:paraId="77E185EF" w15:done="0"/>
  <w15:commentEx w15:paraId="21DC070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E33BF01" w14:textId="77777777" w:rsidR="00406549" w:rsidRDefault="00406549" w:rsidP="00E74288">
      <w:pPr>
        <w:spacing w:after="0" w:line="240" w:lineRule="auto"/>
      </w:pPr>
      <w:r>
        <w:separator/>
      </w:r>
    </w:p>
  </w:endnote>
  <w:endnote w:type="continuationSeparator" w:id="0">
    <w:p w14:paraId="2AF85677" w14:textId="77777777" w:rsidR="00406549" w:rsidRDefault="00406549" w:rsidP="00E742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97195172"/>
      <w:docPartObj>
        <w:docPartGallery w:val="Page Numbers (Bottom of Page)"/>
        <w:docPartUnique/>
      </w:docPartObj>
    </w:sdtPr>
    <w:sdtEndPr/>
    <w:sdtContent>
      <w:sdt>
        <w:sdtPr>
          <w:id w:val="-457948534"/>
          <w:docPartObj>
            <w:docPartGallery w:val="Page Numbers (Top of Page)"/>
            <w:docPartUnique/>
          </w:docPartObj>
        </w:sdtPr>
        <w:sdtEndPr/>
        <w:sdtContent>
          <w:p w14:paraId="6CEC71A8" w14:textId="77777777" w:rsidR="00406549" w:rsidRDefault="00406549">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DB2B0B">
              <w:rPr>
                <w:b/>
                <w:bCs/>
                <w:noProof/>
              </w:rPr>
              <w:t>50</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DB2B0B">
              <w:rPr>
                <w:b/>
                <w:bCs/>
                <w:noProof/>
              </w:rPr>
              <w:t>50</w:t>
            </w:r>
            <w:r>
              <w:rPr>
                <w:b/>
                <w:bCs/>
                <w:sz w:val="24"/>
                <w:szCs w:val="24"/>
              </w:rPr>
              <w:fldChar w:fldCharType="end"/>
            </w:r>
          </w:p>
        </w:sdtContent>
      </w:sdt>
    </w:sdtContent>
  </w:sdt>
  <w:p w14:paraId="45D13510" w14:textId="411EF0DA" w:rsidR="00406549" w:rsidRDefault="00406549" w:rsidP="00A25C40">
    <w:pPr>
      <w:pStyle w:val="Footer"/>
      <w:tabs>
        <w:tab w:val="clear" w:pos="4680"/>
        <w:tab w:val="clear" w:pos="9360"/>
        <w:tab w:val="left" w:pos="2040"/>
      </w:tabs>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BB52DA3" w14:textId="77777777" w:rsidR="00406549" w:rsidRDefault="00406549" w:rsidP="00E74288">
      <w:pPr>
        <w:spacing w:after="0" w:line="240" w:lineRule="auto"/>
      </w:pPr>
      <w:r>
        <w:separator/>
      </w:r>
    </w:p>
  </w:footnote>
  <w:footnote w:type="continuationSeparator" w:id="0">
    <w:p w14:paraId="45441A47" w14:textId="77777777" w:rsidR="00406549" w:rsidRDefault="00406549" w:rsidP="00E74288">
      <w:pPr>
        <w:spacing w:after="0" w:line="240" w:lineRule="auto"/>
      </w:pPr>
      <w:r>
        <w:continuationSeparator/>
      </w:r>
    </w:p>
  </w:footnote>
  <w:footnote w:id="1">
    <w:p w14:paraId="67B47991" w14:textId="77777777" w:rsidR="00406549" w:rsidRDefault="00406549" w:rsidP="003D4697">
      <w:pPr>
        <w:pStyle w:val="FootnoteText"/>
      </w:pPr>
      <w:r>
        <w:rPr>
          <w:rStyle w:val="FootnoteReference"/>
        </w:rPr>
        <w:footnoteRef/>
      </w:r>
      <w:r>
        <w:t xml:space="preserve"> Exact allocation of credit losses and PPNR impairment is calculated in the RAS excel file for SHUSA, tab “Credit Losses and PPNR Limits” </w:t>
      </w:r>
    </w:p>
  </w:footnote>
  <w:footnote w:id="2">
    <w:p w14:paraId="6B090009" w14:textId="77777777" w:rsidR="00406549" w:rsidRDefault="00406549" w:rsidP="00184DCB">
      <w:pPr>
        <w:pStyle w:val="FootnoteText"/>
      </w:pPr>
      <w:r>
        <w:rPr>
          <w:rStyle w:val="FootnoteReference"/>
        </w:rPr>
        <w:footnoteRef/>
      </w:r>
      <w:r>
        <w:t xml:space="preserve"> “PFE”: “potential future exposure” for derivatives. “REC”: Spanish acronym for “</w:t>
      </w:r>
      <w:proofErr w:type="spellStart"/>
      <w:r>
        <w:t>Riesgo</w:t>
      </w:r>
      <w:proofErr w:type="spellEnd"/>
      <w:r>
        <w:t xml:space="preserve"> </w:t>
      </w:r>
      <w:proofErr w:type="spellStart"/>
      <w:r>
        <w:t>en</w:t>
      </w:r>
      <w:proofErr w:type="spellEnd"/>
      <w:r>
        <w:t xml:space="preserve"> </w:t>
      </w:r>
      <w:proofErr w:type="spellStart"/>
      <w:r>
        <w:t>Crédito</w:t>
      </w:r>
      <w:proofErr w:type="spellEnd"/>
      <w:r>
        <w:t>”, equivalent to PFE in the context of derivative exposures.</w:t>
      </w:r>
    </w:p>
  </w:footnote>
  <w:footnote w:id="3">
    <w:p w14:paraId="6D0EF209" w14:textId="77777777" w:rsidR="00406549" w:rsidRDefault="00406549" w:rsidP="00B83408">
      <w:pPr>
        <w:pStyle w:val="FootnoteText"/>
      </w:pPr>
      <w:r>
        <w:rPr>
          <w:rStyle w:val="FootnoteReference"/>
        </w:rPr>
        <w:footnoteRef/>
      </w:r>
      <w:r>
        <w:t xml:space="preserve"> “PFE”: “potential future exposure” for derivatives. “REC”: Spanish acronym for “</w:t>
      </w:r>
      <w:proofErr w:type="spellStart"/>
      <w:r>
        <w:t>Riesgo</w:t>
      </w:r>
      <w:proofErr w:type="spellEnd"/>
      <w:r>
        <w:t xml:space="preserve"> </w:t>
      </w:r>
      <w:proofErr w:type="spellStart"/>
      <w:r>
        <w:t>en</w:t>
      </w:r>
      <w:proofErr w:type="spellEnd"/>
      <w:r>
        <w:t xml:space="preserve"> </w:t>
      </w:r>
      <w:proofErr w:type="spellStart"/>
      <w:r>
        <w:t>Crédito</w:t>
      </w:r>
      <w:proofErr w:type="spellEnd"/>
      <w:r>
        <w:t>”, equivalent to PFE in the context of derivative exposures.</w:t>
      </w:r>
    </w:p>
  </w:footnote>
  <w:footnote w:id="4">
    <w:p w14:paraId="11A89EB9" w14:textId="77777777" w:rsidR="00406549" w:rsidRDefault="00406549" w:rsidP="00BF190C">
      <w:pPr>
        <w:pStyle w:val="FootnoteText"/>
      </w:pPr>
      <w:r>
        <w:rPr>
          <w:rStyle w:val="FootnoteReference"/>
        </w:rPr>
        <w:footnoteRef/>
      </w:r>
      <w:r>
        <w:t xml:space="preserve"> “PFE”: “potential future exposure” for derivatives. “REC”: Spanish acronym for “</w:t>
      </w:r>
      <w:proofErr w:type="spellStart"/>
      <w:r>
        <w:t>Riesgo</w:t>
      </w:r>
      <w:proofErr w:type="spellEnd"/>
      <w:r>
        <w:t xml:space="preserve"> </w:t>
      </w:r>
      <w:proofErr w:type="spellStart"/>
      <w:r>
        <w:t>en</w:t>
      </w:r>
      <w:proofErr w:type="spellEnd"/>
      <w:r>
        <w:t xml:space="preserve"> </w:t>
      </w:r>
      <w:proofErr w:type="spellStart"/>
      <w:r>
        <w:t>Crédito</w:t>
      </w:r>
      <w:proofErr w:type="spellEnd"/>
      <w:r>
        <w:t>”, equivalent to PFE in the context of derivative exposures.</w:t>
      </w:r>
    </w:p>
  </w:footnote>
  <w:footnote w:id="5">
    <w:p w14:paraId="0CDDDA07" w14:textId="77777777" w:rsidR="00406549" w:rsidRDefault="00406549">
      <w:pPr>
        <w:pStyle w:val="FootnoteText"/>
      </w:pPr>
      <w:r>
        <w:rPr>
          <w:rStyle w:val="FootnoteReference"/>
        </w:rPr>
        <w:footnoteRef/>
      </w:r>
      <w:r>
        <w:t xml:space="preserve"> Specific limits are set for CRE and Multifamily which are based on internal definitions for CRE and Multifamily. Those exposures will also feed into the relevant OCC industry classification. </w:t>
      </w:r>
    </w:p>
  </w:footnote>
  <w:footnote w:id="6">
    <w:p w14:paraId="36020893" w14:textId="77777777" w:rsidR="00406549" w:rsidRDefault="00406549" w:rsidP="00931941">
      <w:pPr>
        <w:pStyle w:val="FootnoteText"/>
      </w:pPr>
      <w:r>
        <w:rPr>
          <w:rStyle w:val="FootnoteReference"/>
        </w:rPr>
        <w:footnoteRef/>
      </w:r>
      <w:r>
        <w:t xml:space="preserve"> “PFE”: “potential future exposure” for derivatives. “REC”: Spanish acronym for “</w:t>
      </w:r>
      <w:proofErr w:type="spellStart"/>
      <w:r>
        <w:t>Riesgo</w:t>
      </w:r>
      <w:proofErr w:type="spellEnd"/>
      <w:r>
        <w:t xml:space="preserve"> </w:t>
      </w:r>
      <w:proofErr w:type="spellStart"/>
      <w:r>
        <w:t>en</w:t>
      </w:r>
      <w:proofErr w:type="spellEnd"/>
      <w:r>
        <w:t xml:space="preserve"> </w:t>
      </w:r>
      <w:proofErr w:type="spellStart"/>
      <w:r>
        <w:t>Crédito</w:t>
      </w:r>
      <w:proofErr w:type="spellEnd"/>
      <w:r>
        <w:t>”, equivalent to PFE in the context of derivative exposures.</w:t>
      </w:r>
    </w:p>
  </w:footnote>
  <w:footnote w:id="7">
    <w:p w14:paraId="145DD147" w14:textId="77777777" w:rsidR="00DB2B0B" w:rsidRDefault="00DB2B0B" w:rsidP="00DB2B0B">
      <w:pPr>
        <w:pStyle w:val="FootnoteText"/>
      </w:pPr>
      <w:r>
        <w:rPr>
          <w:rStyle w:val="FootnoteReference"/>
        </w:rPr>
        <w:footnoteRef/>
      </w:r>
      <w:r>
        <w:t xml:space="preserve"> “PFE”: “potential future exposure” for derivatives. “REC”: Spanish acronym for “</w:t>
      </w:r>
      <w:proofErr w:type="spellStart"/>
      <w:r>
        <w:t>Riesgo</w:t>
      </w:r>
      <w:proofErr w:type="spellEnd"/>
      <w:r>
        <w:t xml:space="preserve"> </w:t>
      </w:r>
      <w:proofErr w:type="spellStart"/>
      <w:r>
        <w:t>en</w:t>
      </w:r>
      <w:proofErr w:type="spellEnd"/>
      <w:r>
        <w:t xml:space="preserve"> </w:t>
      </w:r>
      <w:proofErr w:type="spellStart"/>
      <w:r>
        <w:t>Crédito</w:t>
      </w:r>
      <w:proofErr w:type="spellEnd"/>
      <w:r>
        <w:t>”, equivalent to PFE in the context of derivative exposures.</w:t>
      </w:r>
    </w:p>
  </w:footnote>
  <w:footnote w:id="8">
    <w:p w14:paraId="5FFB0916" w14:textId="77777777" w:rsidR="00DB2B0B" w:rsidRDefault="00DB2B0B" w:rsidP="00DB2B0B">
      <w:pPr>
        <w:pStyle w:val="FootnoteText"/>
      </w:pPr>
      <w:r>
        <w:rPr>
          <w:rStyle w:val="FootnoteReference"/>
        </w:rPr>
        <w:footnoteRef/>
      </w:r>
      <w:r>
        <w:t xml:space="preserve"> “PFE”: “potential future exposure” for derivatives. “REC”: Spanish acronym for “</w:t>
      </w:r>
      <w:proofErr w:type="spellStart"/>
      <w:r>
        <w:t>Riesgo</w:t>
      </w:r>
      <w:proofErr w:type="spellEnd"/>
      <w:r>
        <w:t xml:space="preserve"> </w:t>
      </w:r>
      <w:proofErr w:type="spellStart"/>
      <w:r>
        <w:t>en</w:t>
      </w:r>
      <w:proofErr w:type="spellEnd"/>
      <w:r>
        <w:t xml:space="preserve"> </w:t>
      </w:r>
      <w:proofErr w:type="spellStart"/>
      <w:r>
        <w:t>Crédito</w:t>
      </w:r>
      <w:proofErr w:type="spellEnd"/>
      <w:r>
        <w:t>”, equivalent to PFE in the context of derivative exposures.</w:t>
      </w:r>
    </w:p>
  </w:footnote>
  <w:footnote w:id="9">
    <w:p w14:paraId="070FB491" w14:textId="77777777" w:rsidR="00406549" w:rsidRDefault="00406549" w:rsidP="00A04DBB">
      <w:pPr>
        <w:pStyle w:val="FootnoteText"/>
      </w:pPr>
      <w:r>
        <w:rPr>
          <w:rStyle w:val="FootnoteReference"/>
        </w:rPr>
        <w:footnoteRef/>
      </w:r>
      <w:r>
        <w:t xml:space="preserve"> “PFE”: “potential future exposure” for derivatives. “REC”: Spanish acronym for “</w:t>
      </w:r>
      <w:proofErr w:type="spellStart"/>
      <w:r>
        <w:t>Riesgo</w:t>
      </w:r>
      <w:proofErr w:type="spellEnd"/>
      <w:r>
        <w:t xml:space="preserve"> </w:t>
      </w:r>
      <w:proofErr w:type="spellStart"/>
      <w:r>
        <w:t>en</w:t>
      </w:r>
      <w:proofErr w:type="spellEnd"/>
      <w:r>
        <w:t xml:space="preserve"> </w:t>
      </w:r>
      <w:proofErr w:type="spellStart"/>
      <w:r>
        <w:t>Crédito</w:t>
      </w:r>
      <w:proofErr w:type="spellEnd"/>
      <w:r>
        <w:t>”, equivalent to PFE in the context of derivative exposures.</w:t>
      </w:r>
    </w:p>
  </w:footnote>
  <w:footnote w:id="10">
    <w:p w14:paraId="2DAB60F5" w14:textId="77777777" w:rsidR="00406549" w:rsidRDefault="00406549" w:rsidP="001553CE">
      <w:pPr>
        <w:pStyle w:val="FootnoteText"/>
      </w:pPr>
      <w:r>
        <w:rPr>
          <w:rStyle w:val="FootnoteReference"/>
        </w:rPr>
        <w:footnoteRef/>
      </w:r>
      <w:r>
        <w:t xml:space="preserve"> “PFE”: “potential future exposure” for derivatives. “REC”: Spanish acronym for “</w:t>
      </w:r>
      <w:proofErr w:type="spellStart"/>
      <w:r>
        <w:t>Riesgo</w:t>
      </w:r>
      <w:proofErr w:type="spellEnd"/>
      <w:r>
        <w:t xml:space="preserve"> </w:t>
      </w:r>
      <w:proofErr w:type="spellStart"/>
      <w:r>
        <w:t>en</w:t>
      </w:r>
      <w:proofErr w:type="spellEnd"/>
      <w:r>
        <w:t xml:space="preserve"> </w:t>
      </w:r>
      <w:proofErr w:type="spellStart"/>
      <w:r>
        <w:t>Crédito</w:t>
      </w:r>
      <w:proofErr w:type="spellEnd"/>
      <w:r>
        <w:t>”, equivalent to PFE in the context of derivative exposures.</w:t>
      </w:r>
    </w:p>
  </w:footnote>
  <w:footnote w:id="11">
    <w:p w14:paraId="008EC4E5" w14:textId="77777777" w:rsidR="00406549" w:rsidRDefault="00406549" w:rsidP="00F83835">
      <w:pPr>
        <w:pStyle w:val="FootnoteText"/>
      </w:pPr>
      <w:r>
        <w:rPr>
          <w:rStyle w:val="FootnoteReference"/>
        </w:rPr>
        <w:footnoteRef/>
      </w:r>
      <w:r>
        <w:t xml:space="preserve"> “PFE”: “potential future exposure” for derivatives. “REC”: Spanish acronym for “</w:t>
      </w:r>
      <w:proofErr w:type="spellStart"/>
      <w:r>
        <w:t>Riesgo</w:t>
      </w:r>
      <w:proofErr w:type="spellEnd"/>
      <w:r>
        <w:t xml:space="preserve"> </w:t>
      </w:r>
      <w:proofErr w:type="spellStart"/>
      <w:r>
        <w:t>en</w:t>
      </w:r>
      <w:proofErr w:type="spellEnd"/>
      <w:r>
        <w:t xml:space="preserve"> </w:t>
      </w:r>
      <w:proofErr w:type="spellStart"/>
      <w:r>
        <w:t>Crédito</w:t>
      </w:r>
      <w:proofErr w:type="spellEnd"/>
      <w:r>
        <w:t>”, equivalent to PFE in the context of derivative exposures.</w:t>
      </w:r>
    </w:p>
  </w:footnote>
  <w:footnote w:id="12">
    <w:p w14:paraId="31470B20" w14:textId="77777777" w:rsidR="00AC755C" w:rsidRDefault="00AC755C" w:rsidP="00AC755C">
      <w:pPr>
        <w:pStyle w:val="FootnoteText"/>
      </w:pPr>
      <w:r>
        <w:rPr>
          <w:rStyle w:val="FootnoteReference"/>
        </w:rPr>
        <w:footnoteRef/>
      </w:r>
      <w:r>
        <w:t xml:space="preserve"> October 2014: T</w:t>
      </w:r>
      <w:r w:rsidRPr="00950957">
        <w:t>he Office of the Comptroller of the Currency (OCC), the Board of Governors of the Federal Reserve System (Federal Reserve Board), and the Federal Deposit Insurance Corporation (collectively, the agencies) issued a final rule that implements a quantitative liquidity requirement consistent with the liquidity coverage ratio (LCR) established by the Basel Committee on Banking Supervision (BCBS).</w:t>
      </w:r>
    </w:p>
  </w:footnote>
  <w:footnote w:id="13">
    <w:p w14:paraId="0EEB679C" w14:textId="77777777" w:rsidR="00406549" w:rsidRDefault="00406549" w:rsidP="002E30C5">
      <w:pPr>
        <w:spacing w:after="0" w:line="240" w:lineRule="auto"/>
      </w:pPr>
      <w:r>
        <w:rPr>
          <w:rStyle w:val="FootnoteReference"/>
        </w:rPr>
        <w:footnoteRef/>
      </w:r>
      <w:r>
        <w:t xml:space="preserve"> </w:t>
      </w:r>
      <w:r w:rsidRPr="002E30C5">
        <w:rPr>
          <w:b/>
          <w:bCs/>
          <w:iCs/>
          <w:sz w:val="20"/>
          <w:szCs w:val="20"/>
        </w:rPr>
        <w:t>SC. Structural Needs.</w:t>
      </w:r>
      <w:r w:rsidRPr="002E30C5">
        <w:rPr>
          <w:bCs/>
          <w:iCs/>
          <w:sz w:val="20"/>
          <w:szCs w:val="20"/>
        </w:rPr>
        <w:t xml:space="preserve"> Loan portfolio, netted by the allowance for loan losses; Total amount of restricted cash; Lease balance; </w:t>
      </w:r>
      <w:proofErr w:type="gramStart"/>
      <w:r w:rsidRPr="002E30C5">
        <w:rPr>
          <w:bCs/>
          <w:iCs/>
          <w:sz w:val="20"/>
          <w:szCs w:val="20"/>
        </w:rPr>
        <w:t>Other</w:t>
      </w:r>
      <w:proofErr w:type="gramEnd"/>
      <w:r w:rsidRPr="002E30C5">
        <w:rPr>
          <w:bCs/>
          <w:iCs/>
          <w:sz w:val="20"/>
          <w:szCs w:val="20"/>
        </w:rPr>
        <w:t xml:space="preserve"> assets: other assets considered as structural are Goodwill, intangibles and Furniture and Fixtures. </w:t>
      </w:r>
      <w:r w:rsidRPr="002E30C5">
        <w:rPr>
          <w:b/>
          <w:bCs/>
          <w:iCs/>
          <w:sz w:val="20"/>
          <w:szCs w:val="20"/>
        </w:rPr>
        <w:t>SC. Structural Funding.</w:t>
      </w:r>
      <w:r w:rsidRPr="002E30C5">
        <w:rPr>
          <w:bCs/>
          <w:iCs/>
          <w:sz w:val="20"/>
          <w:szCs w:val="20"/>
        </w:rPr>
        <w:t xml:space="preserve"> Warehouses: intragroup and third party warehouses; Outstanding Securitizations; Equity. </w:t>
      </w:r>
      <w:r w:rsidRPr="002E30C5">
        <w:rPr>
          <w:b/>
          <w:bCs/>
          <w:iCs/>
          <w:sz w:val="20"/>
          <w:szCs w:val="20"/>
        </w:rPr>
        <w:t>SBNA. Structural Needs.</w:t>
      </w:r>
      <w:r w:rsidRPr="002E30C5">
        <w:rPr>
          <w:bCs/>
          <w:iCs/>
          <w:sz w:val="20"/>
          <w:szCs w:val="20"/>
        </w:rPr>
        <w:t xml:space="preserve"> Complete Loan portfolio (Retail and Commercial); investments that have been clearly identified as structural (stock for FHLB and FRB membership); </w:t>
      </w:r>
      <w:proofErr w:type="gramStart"/>
      <w:r w:rsidRPr="002E30C5">
        <w:rPr>
          <w:bCs/>
          <w:iCs/>
          <w:sz w:val="20"/>
          <w:szCs w:val="20"/>
        </w:rPr>
        <w:t>Other</w:t>
      </w:r>
      <w:proofErr w:type="gramEnd"/>
      <w:r w:rsidRPr="002E30C5">
        <w:rPr>
          <w:bCs/>
          <w:iCs/>
          <w:sz w:val="20"/>
          <w:szCs w:val="20"/>
        </w:rPr>
        <w:t xml:space="preserve"> assets: Allowance for Loan Losses, Real estate assets, Fixed assets and BOLI</w:t>
      </w:r>
      <w:r>
        <w:rPr>
          <w:bCs/>
          <w:iCs/>
          <w:sz w:val="20"/>
          <w:szCs w:val="20"/>
        </w:rPr>
        <w:t>.</w:t>
      </w:r>
      <w:r w:rsidRPr="002E30C5">
        <w:rPr>
          <w:b/>
          <w:bCs/>
          <w:iCs/>
          <w:sz w:val="20"/>
          <w:szCs w:val="20"/>
        </w:rPr>
        <w:t>SBNA. Structural Funding.</w:t>
      </w:r>
      <w:r w:rsidRPr="002E30C5">
        <w:rPr>
          <w:bCs/>
          <w:iCs/>
          <w:sz w:val="20"/>
          <w:szCs w:val="20"/>
        </w:rPr>
        <w:t xml:space="preserve"> DDA, Savings and Money Market Deposits </w:t>
      </w:r>
      <w:proofErr w:type="gramStart"/>
      <w:r w:rsidRPr="002E30C5">
        <w:rPr>
          <w:bCs/>
          <w:iCs/>
          <w:sz w:val="20"/>
          <w:szCs w:val="20"/>
        </w:rPr>
        <w:t>( Retail</w:t>
      </w:r>
      <w:proofErr w:type="gramEnd"/>
      <w:r w:rsidRPr="002E30C5">
        <w:rPr>
          <w:bCs/>
          <w:iCs/>
          <w:sz w:val="20"/>
          <w:szCs w:val="20"/>
        </w:rPr>
        <w:t xml:space="preserve"> + SME); CDs and Jumbo CDs; Wholesale Borrowing identified as structural (FHLB Borrowings); Total amount of debt; Equity (Brokered Deposits are excluded). </w:t>
      </w:r>
      <w:r w:rsidRPr="002E30C5">
        <w:rPr>
          <w:b/>
          <w:sz w:val="20"/>
          <w:szCs w:val="20"/>
        </w:rPr>
        <w:t>SHUSA. Structural Needs.</w:t>
      </w:r>
      <w:r w:rsidRPr="002E30C5">
        <w:rPr>
          <w:sz w:val="20"/>
          <w:szCs w:val="20"/>
        </w:rPr>
        <w:t xml:space="preserve"> SBNA Structural Needs + SC Structural Needs. </w:t>
      </w:r>
      <w:r w:rsidRPr="002E30C5">
        <w:rPr>
          <w:b/>
          <w:sz w:val="20"/>
          <w:szCs w:val="20"/>
        </w:rPr>
        <w:t>SHUSA. Structural Funding.</w:t>
      </w:r>
      <w:r w:rsidRPr="002E30C5">
        <w:rPr>
          <w:sz w:val="20"/>
          <w:szCs w:val="20"/>
        </w:rPr>
        <w:t xml:space="preserve"> SHUSA Debt issuances; SBNA Structural Funding; SC Structural Funding</w:t>
      </w:r>
      <w:r>
        <w:t>.</w:t>
      </w:r>
    </w:p>
  </w:footnote>
  <w:footnote w:id="14">
    <w:p w14:paraId="77F279C0" w14:textId="77777777" w:rsidR="00406549" w:rsidRPr="00F121EF" w:rsidRDefault="00406549" w:rsidP="001B55FE">
      <w:pPr>
        <w:pStyle w:val="FootnoteText"/>
      </w:pPr>
      <w:r w:rsidRPr="00F121EF">
        <w:rPr>
          <w:rStyle w:val="FootnoteReference"/>
        </w:rPr>
        <w:footnoteRef/>
      </w:r>
      <w:r w:rsidRPr="00F121EF">
        <w:t xml:space="preserve"> For a detailed description of the non</w:t>
      </w:r>
      <w:r>
        <w:t>-</w:t>
      </w:r>
      <w:r w:rsidRPr="00F121EF">
        <w:t xml:space="preserve">maturity deposit model used by </w:t>
      </w:r>
      <w:r>
        <w:t>SHUSA</w:t>
      </w:r>
      <w:r w:rsidRPr="00F121EF">
        <w:t xml:space="preserve"> please refer to the </w:t>
      </w:r>
      <w:r w:rsidRPr="00F121EF">
        <w:rPr>
          <w:b/>
        </w:rPr>
        <w:t>Appendix IV</w:t>
      </w:r>
      <w:r w:rsidRPr="00F121EF">
        <w:t xml:space="preserve"> to this Policy.</w:t>
      </w:r>
    </w:p>
  </w:footnote>
  <w:footnote w:id="15">
    <w:p w14:paraId="4820987C" w14:textId="209E0723" w:rsidR="00406549" w:rsidRPr="00C809EC" w:rsidRDefault="00406549" w:rsidP="00E20AC7">
      <w:pPr>
        <w:spacing w:after="0" w:line="240" w:lineRule="auto"/>
        <w:rPr>
          <w:sz w:val="20"/>
          <w:szCs w:val="20"/>
        </w:rPr>
      </w:pPr>
      <w:r>
        <w:rPr>
          <w:rStyle w:val="FootnoteReference"/>
        </w:rPr>
        <w:footnoteRef/>
      </w:r>
      <w:r>
        <w:t xml:space="preserve"> </w:t>
      </w:r>
      <w:r w:rsidRPr="00C809EC">
        <w:rPr>
          <w:b/>
          <w:bCs/>
          <w:i/>
          <w:iCs/>
          <w:sz w:val="20"/>
          <w:szCs w:val="20"/>
        </w:rPr>
        <w:t xml:space="preserve">Group Calculation: </w:t>
      </w:r>
      <w:r w:rsidRPr="00C809EC">
        <w:rPr>
          <w:sz w:val="20"/>
          <w:szCs w:val="20"/>
          <w:lang w:val="en-GB"/>
        </w:rPr>
        <w:t xml:space="preserve">The metric is calculated twice a year: to coincide with ICAAP full year and with the half year refresh. </w:t>
      </w:r>
      <w:r w:rsidRPr="00C809EC">
        <w:rPr>
          <w:bCs/>
          <w:iCs/>
          <w:sz w:val="20"/>
          <w:szCs w:val="20"/>
        </w:rPr>
        <w:t>The metric is calculated for each year over a 3 year horizon, aligned to the ICAAP process, as the ratio of the incremental impact to the income statement of the stress scenarios (incremental</w:t>
      </w:r>
      <w:r>
        <w:rPr>
          <w:bCs/>
          <w:iCs/>
          <w:sz w:val="20"/>
          <w:szCs w:val="20"/>
        </w:rPr>
        <w:t xml:space="preserve"> </w:t>
      </w:r>
      <w:r w:rsidRPr="00C809EC">
        <w:rPr>
          <w:bCs/>
          <w:iCs/>
          <w:sz w:val="20"/>
          <w:szCs w:val="20"/>
        </w:rPr>
        <w:t>losses in an adverse stress scenario with respect to the baseline scenario) against the PBT included in the strategic business plan for each year.</w:t>
      </w:r>
      <w:r w:rsidRPr="00C809EC">
        <w:rPr>
          <w:sz w:val="20"/>
          <w:szCs w:val="20"/>
        </w:rPr>
        <w:t xml:space="preserve"> The impact to the income statement is calculated for each year as the sum of the s</w:t>
      </w:r>
      <w:r w:rsidR="00E339D2">
        <w:rPr>
          <w:sz w:val="20"/>
          <w:szCs w:val="20"/>
        </w:rPr>
        <w:t>tress tests described in items 13.1.1 to 13</w:t>
      </w:r>
      <w:r w:rsidRPr="00C809EC">
        <w:rPr>
          <w:sz w:val="20"/>
          <w:szCs w:val="20"/>
        </w:rPr>
        <w:t>.1.6 below. The value of the metric corresponds with the worst year of the 3 projected years. The projected PBT is the one included in the annual 3 year Strategic Business Plan (e.g. P-18) as provided by the Strategic Capital Planning team.</w:t>
      </w:r>
    </w:p>
    <w:p w14:paraId="2586A7F0" w14:textId="77777777" w:rsidR="00406549" w:rsidRPr="00C809EC" w:rsidRDefault="00406549" w:rsidP="00E20AC7">
      <w:pPr>
        <w:pStyle w:val="FootnoteText"/>
        <w:rPr>
          <w:lang w:val="en-GB"/>
        </w:rPr>
      </w:pPr>
    </w:p>
  </w:footnote>
  <w:footnote w:id="16">
    <w:p w14:paraId="39E56254" w14:textId="268DED65" w:rsidR="00406549" w:rsidRDefault="00406549" w:rsidP="00E20AC7">
      <w:pPr>
        <w:pStyle w:val="FootnoteText"/>
      </w:pPr>
      <w:r>
        <w:rPr>
          <w:rStyle w:val="FootnoteReference"/>
        </w:rPr>
        <w:footnoteRef/>
      </w:r>
      <w:r>
        <w:t xml:space="preserve"> FRB Adverse is chosen to benchmark the Risk Appetite Statement metrics because it remains relatively consistent over time, whereas the current design of the BHC scenarios, although mo</w:t>
      </w:r>
      <w:r w:rsidR="00E339D2">
        <w:t>re reflective of idiosyncratic E</w:t>
      </w:r>
      <w:r>
        <w:t xml:space="preserve">lements of the SHUSA consolidated risks, can vary in intensity at each calculation. The results of FRB scenarios are publicly available, thus providing external stakeholders with a relevant comparison for SHUSA against the market. </w:t>
      </w:r>
    </w:p>
    <w:p w14:paraId="2FF9F693" w14:textId="77777777" w:rsidR="00406549" w:rsidRDefault="00406549" w:rsidP="00E20AC7">
      <w:pPr>
        <w:pStyle w:val="FootnoteText"/>
      </w:pPr>
      <w:r>
        <w:t xml:space="preserve"> </w:t>
      </w:r>
    </w:p>
  </w:footnote>
  <w:footnote w:id="17">
    <w:p w14:paraId="237538E0" w14:textId="77777777" w:rsidR="00406549" w:rsidRDefault="00406549" w:rsidP="00E20AC7">
      <w:pPr>
        <w:pStyle w:val="FootnoteText"/>
      </w:pPr>
      <w:r>
        <w:rPr>
          <w:rStyle w:val="FootnoteReference"/>
        </w:rPr>
        <w:footnoteRef/>
      </w:r>
      <w:r>
        <w:t xml:space="preserve"> SHUSA Finance intends to implement stress testing based on internally designed stress scenarios and that will run to a full three year stress. Once this is implemented (dates to be advised) the Loss in Stress metric will also cover 3 years as per Santander Group guidance, and scenarios can be tailored to the Board requirements</w:t>
      </w:r>
    </w:p>
    <w:p w14:paraId="6313AA30" w14:textId="77777777" w:rsidR="00406549" w:rsidRDefault="00406549" w:rsidP="00E20AC7">
      <w:pPr>
        <w:pStyle w:val="FootnoteText"/>
      </w:pPr>
    </w:p>
  </w:footnote>
  <w:footnote w:id="18">
    <w:p w14:paraId="0474D1DA" w14:textId="77777777" w:rsidR="00406549" w:rsidRDefault="00406549" w:rsidP="00E20AC7">
      <w:pPr>
        <w:pStyle w:val="FootnoteText"/>
      </w:pPr>
      <w:r>
        <w:rPr>
          <w:rStyle w:val="FootnoteReference"/>
        </w:rPr>
        <w:footnoteRef/>
      </w:r>
      <w:r>
        <w:t xml:space="preserve"> Best efforts will be made to record any differences between the Strategic Plan PBT (e.g. IFRS vs US GAAP, asset volumes) and the CCAR PBT.</w:t>
      </w:r>
    </w:p>
    <w:p w14:paraId="10A34694" w14:textId="77777777" w:rsidR="00406549" w:rsidRDefault="00406549" w:rsidP="00E20AC7">
      <w:pPr>
        <w:pStyle w:val="FootnoteText"/>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left w:w="0" w:type="dxa"/>
        <w:right w:w="43" w:type="dxa"/>
      </w:tblCellMar>
      <w:tblLook w:val="01E0" w:firstRow="1" w:lastRow="1" w:firstColumn="1" w:lastColumn="1" w:noHBand="0" w:noVBand="0"/>
    </w:tblPr>
    <w:tblGrid>
      <w:gridCol w:w="1614"/>
      <w:gridCol w:w="2437"/>
      <w:gridCol w:w="3599"/>
      <w:gridCol w:w="1170"/>
      <w:gridCol w:w="583"/>
    </w:tblGrid>
    <w:tr w:rsidR="00406549" w:rsidRPr="001A65DF" w14:paraId="7399DE75" w14:textId="77777777" w:rsidTr="00785302">
      <w:trPr>
        <w:trHeight w:val="454"/>
      </w:trPr>
      <w:tc>
        <w:tcPr>
          <w:tcW w:w="858" w:type="pct"/>
        </w:tcPr>
        <w:p w14:paraId="4A35EC6D" w14:textId="77777777" w:rsidR="00406549" w:rsidRPr="001A65DF" w:rsidRDefault="00406549" w:rsidP="001A65DF">
          <w:pPr>
            <w:spacing w:after="120" w:line="240" w:lineRule="auto"/>
            <w:rPr>
              <w:sz w:val="15"/>
              <w:szCs w:val="24"/>
              <w:lang w:val="es-ES_tradnl"/>
            </w:rPr>
          </w:pPr>
          <w:r w:rsidRPr="001A65DF">
            <w:rPr>
              <w:noProof/>
              <w:sz w:val="15"/>
              <w:szCs w:val="24"/>
            </w:rPr>
            <w:drawing>
              <wp:inline distT="0" distB="0" distL="0" distR="0" wp14:anchorId="7131748F" wp14:editId="115191A1">
                <wp:extent cx="997585" cy="3441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l="49277"/>
                        <a:stretch>
                          <a:fillRect/>
                        </a:stretch>
                      </pic:blipFill>
                      <pic:spPr bwMode="auto">
                        <a:xfrm>
                          <a:off x="0" y="0"/>
                          <a:ext cx="997585" cy="344170"/>
                        </a:xfrm>
                        <a:prstGeom prst="rect">
                          <a:avLst/>
                        </a:prstGeom>
                        <a:noFill/>
                        <a:ln>
                          <a:noFill/>
                        </a:ln>
                      </pic:spPr>
                    </pic:pic>
                  </a:graphicData>
                </a:graphic>
              </wp:inline>
            </w:drawing>
          </w:r>
        </w:p>
      </w:tc>
      <w:tc>
        <w:tcPr>
          <w:tcW w:w="4142" w:type="pct"/>
          <w:gridSpan w:val="4"/>
        </w:tcPr>
        <w:p w14:paraId="11BBFB06" w14:textId="77777777" w:rsidR="00406549" w:rsidRPr="001A65DF" w:rsidRDefault="00406549" w:rsidP="001A65DF">
          <w:pPr>
            <w:spacing w:after="120" w:line="240" w:lineRule="auto"/>
            <w:jc w:val="right"/>
            <w:rPr>
              <w:sz w:val="14"/>
              <w:szCs w:val="14"/>
            </w:rPr>
          </w:pPr>
          <w:bookmarkStart w:id="1467" w:name="OLE_LINK7"/>
          <w:bookmarkStart w:id="1468" w:name="OLE_LINK8"/>
          <w:r w:rsidRPr="001A65DF">
            <w:rPr>
              <w:sz w:val="32"/>
              <w:szCs w:val="36"/>
            </w:rPr>
            <w:t xml:space="preserve">Risk Appetite </w:t>
          </w:r>
          <w:bookmarkEnd w:id="1467"/>
          <w:bookmarkEnd w:id="1468"/>
          <w:r>
            <w:rPr>
              <w:sz w:val="32"/>
              <w:szCs w:val="36"/>
            </w:rPr>
            <w:t>Metrics Glossary</w:t>
          </w:r>
        </w:p>
      </w:tc>
    </w:tr>
    <w:tr w:rsidR="00406549" w:rsidRPr="001A65DF" w14:paraId="7A197F09" w14:textId="77777777" w:rsidTr="00785302">
      <w:trPr>
        <w:trHeight w:val="144"/>
      </w:trPr>
      <w:tc>
        <w:tcPr>
          <w:tcW w:w="5000" w:type="pct"/>
          <w:gridSpan w:val="5"/>
          <w:shd w:val="clear" w:color="auto" w:fill="FF0000"/>
          <w:noWrap/>
          <w:tcMar>
            <w:left w:w="85" w:type="dxa"/>
          </w:tcMar>
          <w:vAlign w:val="center"/>
        </w:tcPr>
        <w:p w14:paraId="70F82111" w14:textId="77777777" w:rsidR="00406549" w:rsidRPr="001A65DF" w:rsidRDefault="00406549" w:rsidP="001A65DF">
          <w:pPr>
            <w:spacing w:after="0" w:line="240" w:lineRule="auto"/>
            <w:ind w:right="153"/>
            <w:jc w:val="right"/>
            <w:rPr>
              <w:b/>
              <w:sz w:val="8"/>
              <w:szCs w:val="8"/>
            </w:rPr>
          </w:pPr>
        </w:p>
      </w:tc>
    </w:tr>
    <w:tr w:rsidR="00406549" w:rsidRPr="00362DE1" w14:paraId="2B9E81CB" w14:textId="77777777" w:rsidTr="00C05360">
      <w:trPr>
        <w:trHeight w:val="89"/>
      </w:trPr>
      <w:tc>
        <w:tcPr>
          <w:tcW w:w="2154" w:type="pct"/>
          <w:gridSpan w:val="2"/>
          <w:vAlign w:val="bottom"/>
        </w:tcPr>
        <w:p w14:paraId="3F2B71D5" w14:textId="77777777" w:rsidR="00406549" w:rsidRPr="00371B1C" w:rsidRDefault="00406549" w:rsidP="00EB22AA">
          <w:pPr>
            <w:tabs>
              <w:tab w:val="left" w:pos="4891"/>
            </w:tabs>
            <w:spacing w:after="0" w:line="240" w:lineRule="auto"/>
            <w:rPr>
              <w:rFonts w:eastAsia="Times New Roman"/>
              <w:sz w:val="16"/>
              <w:szCs w:val="16"/>
            </w:rPr>
          </w:pPr>
          <w:r w:rsidRPr="00371B1C">
            <w:rPr>
              <w:rFonts w:eastAsia="Times New Roman"/>
              <w:sz w:val="16"/>
              <w:szCs w:val="16"/>
            </w:rPr>
            <w:t xml:space="preserve">Approved by </w:t>
          </w:r>
          <w:r>
            <w:rPr>
              <w:rFonts w:eastAsia="Times New Roman"/>
              <w:sz w:val="16"/>
              <w:szCs w:val="16"/>
            </w:rPr>
            <w:t>Director of Risk Appetite</w:t>
          </w:r>
        </w:p>
      </w:tc>
      <w:tc>
        <w:tcPr>
          <w:tcW w:w="1914" w:type="pct"/>
        </w:tcPr>
        <w:p w14:paraId="00BAD212" w14:textId="046F283D" w:rsidR="00406549" w:rsidRPr="00371B1C" w:rsidRDefault="00DF7DD0" w:rsidP="009C2DD0">
          <w:pPr>
            <w:tabs>
              <w:tab w:val="left" w:pos="4891"/>
            </w:tabs>
            <w:spacing w:after="0" w:line="240" w:lineRule="auto"/>
            <w:rPr>
              <w:rFonts w:eastAsia="Times New Roman"/>
              <w:sz w:val="16"/>
              <w:szCs w:val="16"/>
            </w:rPr>
          </w:pPr>
          <w:r>
            <w:rPr>
              <w:rFonts w:eastAsia="Times New Roman"/>
              <w:sz w:val="16"/>
              <w:szCs w:val="16"/>
            </w:rPr>
            <w:t>xxx</w:t>
          </w:r>
          <w:r w:rsidR="00406549">
            <w:rPr>
              <w:rFonts w:eastAsia="Times New Roman"/>
              <w:sz w:val="16"/>
              <w:szCs w:val="16"/>
            </w:rPr>
            <w:t>, 2016</w:t>
          </w:r>
        </w:p>
      </w:tc>
      <w:tc>
        <w:tcPr>
          <w:tcW w:w="622" w:type="pct"/>
        </w:tcPr>
        <w:p w14:paraId="1A19C047" w14:textId="77777777" w:rsidR="00406549" w:rsidRPr="00371B1C" w:rsidRDefault="00406549" w:rsidP="001A65DF">
          <w:pPr>
            <w:tabs>
              <w:tab w:val="left" w:pos="4891"/>
            </w:tabs>
            <w:spacing w:after="0" w:line="240" w:lineRule="auto"/>
            <w:jc w:val="right"/>
            <w:rPr>
              <w:rFonts w:eastAsia="Times New Roman"/>
              <w:sz w:val="16"/>
              <w:szCs w:val="16"/>
            </w:rPr>
          </w:pPr>
          <w:r w:rsidRPr="00362DE1">
            <w:rPr>
              <w:rFonts w:eastAsia="Times New Roman"/>
              <w:sz w:val="16"/>
              <w:szCs w:val="16"/>
            </w:rPr>
            <w:t xml:space="preserve"> </w:t>
          </w:r>
          <w:r w:rsidRPr="00371B1C">
            <w:rPr>
              <w:rFonts w:eastAsia="Times New Roman"/>
              <w:sz w:val="16"/>
              <w:szCs w:val="16"/>
            </w:rPr>
            <w:t>Version Number</w:t>
          </w:r>
        </w:p>
      </w:tc>
      <w:tc>
        <w:tcPr>
          <w:tcW w:w="310" w:type="pct"/>
        </w:tcPr>
        <w:p w14:paraId="68F21F0F" w14:textId="60E8DE83" w:rsidR="00406549" w:rsidRPr="00371B1C" w:rsidRDefault="00406549" w:rsidP="001A65DF">
          <w:pPr>
            <w:tabs>
              <w:tab w:val="left" w:pos="4891"/>
            </w:tabs>
            <w:spacing w:after="0" w:line="240" w:lineRule="auto"/>
            <w:jc w:val="right"/>
            <w:rPr>
              <w:rFonts w:eastAsia="Times New Roman"/>
              <w:sz w:val="16"/>
              <w:szCs w:val="16"/>
            </w:rPr>
          </w:pPr>
          <w:r>
            <w:rPr>
              <w:rFonts w:eastAsia="Times New Roman"/>
              <w:sz w:val="16"/>
              <w:szCs w:val="16"/>
            </w:rPr>
            <w:t>[ 2</w:t>
          </w:r>
          <w:r w:rsidRPr="00371B1C">
            <w:rPr>
              <w:rFonts w:eastAsia="Times New Roman"/>
              <w:sz w:val="16"/>
              <w:szCs w:val="16"/>
            </w:rPr>
            <w:t>.0  ]</w:t>
          </w:r>
        </w:p>
      </w:tc>
    </w:tr>
  </w:tbl>
  <w:p w14:paraId="7AE603C9" w14:textId="77777777" w:rsidR="00406549" w:rsidRPr="00B178AE" w:rsidRDefault="00406549" w:rsidP="001A65DF">
    <w:pPr>
      <w:pStyle w:val="Header"/>
      <w:jc w:val="right"/>
      <w:rPr>
        <w:b/>
        <w:color w:val="808080" w:themeColor="background1" w:themeShade="8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D64C8"/>
    <w:multiLevelType w:val="hybridMultilevel"/>
    <w:tmpl w:val="2D3827A4"/>
    <w:lvl w:ilvl="0" w:tplc="38429C00">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EF6F09"/>
    <w:multiLevelType w:val="hybridMultilevel"/>
    <w:tmpl w:val="0BF882BC"/>
    <w:lvl w:ilvl="0" w:tplc="38429C00">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40C5D45"/>
    <w:multiLevelType w:val="hybridMultilevel"/>
    <w:tmpl w:val="E962DD12"/>
    <w:lvl w:ilvl="0" w:tplc="38429C00">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478146E"/>
    <w:multiLevelType w:val="hybridMultilevel"/>
    <w:tmpl w:val="DBB6898C"/>
    <w:lvl w:ilvl="0" w:tplc="38429C00">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6896002"/>
    <w:multiLevelType w:val="hybridMultilevel"/>
    <w:tmpl w:val="CDD4E0D4"/>
    <w:lvl w:ilvl="0" w:tplc="38429C0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7BD1258"/>
    <w:multiLevelType w:val="multilevel"/>
    <w:tmpl w:val="67D83364"/>
    <w:lvl w:ilvl="0">
      <w:start w:val="1"/>
      <w:numFmt w:val="decimal"/>
      <w:lvlText w:val="%1."/>
      <w:lvlJc w:val="left"/>
      <w:pPr>
        <w:tabs>
          <w:tab w:val="num" w:pos="567"/>
        </w:tabs>
        <w:ind w:left="680" w:hanging="680"/>
      </w:pPr>
      <w:rPr>
        <w:rFonts w:hint="default"/>
      </w:rPr>
    </w:lvl>
    <w:lvl w:ilvl="1">
      <w:start w:val="1"/>
      <w:numFmt w:val="decimal"/>
      <w:lvlText w:val="%1.%2"/>
      <w:lvlJc w:val="left"/>
      <w:pPr>
        <w:tabs>
          <w:tab w:val="num" w:pos="567"/>
        </w:tabs>
        <w:ind w:left="680" w:hanging="680"/>
      </w:pPr>
      <w:rPr>
        <w:rFonts w:ascii="Calibri" w:hAnsi="Calibri" w:cs="Calibri" w:hint="default"/>
        <w:b/>
        <w:bCs w:val="0"/>
        <w:i w:val="0"/>
        <w:iCs w:val="0"/>
        <w:caps w:val="0"/>
        <w:smallCaps w:val="0"/>
        <w:strike w:val="0"/>
        <w:dstrike w:val="0"/>
        <w:noProof w:val="0"/>
        <w:snapToGrid w:val="0"/>
        <w:vanish w:val="0"/>
        <w:color w:val="000000"/>
        <w:spacing w:val="0"/>
        <w:kern w:val="0"/>
        <w:position w:val="0"/>
        <w:sz w:val="24"/>
        <w:szCs w:val="22"/>
        <w:u w:val="none"/>
        <w:effect w:val="none"/>
        <w:vertAlign w:val="baseline"/>
        <w:em w:val="none"/>
        <w:specVanish w:val="0"/>
      </w:rPr>
    </w:lvl>
    <w:lvl w:ilvl="2">
      <w:start w:val="1"/>
      <w:numFmt w:val="decimal"/>
      <w:lvlText w:val="%1.%2.%3"/>
      <w:lvlJc w:val="left"/>
      <w:pPr>
        <w:tabs>
          <w:tab w:val="num" w:pos="1917"/>
        </w:tabs>
        <w:ind w:left="2030" w:hanging="680"/>
      </w:pPr>
      <w:rPr>
        <w:rFonts w:hint="default"/>
      </w:rPr>
    </w:lvl>
    <w:lvl w:ilvl="3">
      <w:start w:val="1"/>
      <w:numFmt w:val="decimal"/>
      <w:lvlText w:val="%1.%2.%3.%4"/>
      <w:lvlJc w:val="left"/>
      <w:pPr>
        <w:tabs>
          <w:tab w:val="num" w:pos="927"/>
        </w:tabs>
        <w:ind w:left="1040" w:hanging="680"/>
      </w:pPr>
      <w:rPr>
        <w:rFonts w:hint="default"/>
      </w:rPr>
    </w:lvl>
    <w:lvl w:ilvl="4">
      <w:numFmt w:val="none"/>
      <w:lvlText w:val=""/>
      <w:lvlJc w:val="left"/>
      <w:pPr>
        <w:tabs>
          <w:tab w:val="num" w:pos="360"/>
        </w:tabs>
        <w:ind w:left="0" w:firstLine="0"/>
      </w:pPr>
      <w:rPr>
        <w:rFonts w:hint="default"/>
      </w:rPr>
    </w:lvl>
    <w:lvl w:ilvl="5">
      <w:numFmt w:val="none"/>
      <w:lvlText w:val=""/>
      <w:lvlJc w:val="left"/>
      <w:pPr>
        <w:tabs>
          <w:tab w:val="num" w:pos="360"/>
        </w:tabs>
        <w:ind w:left="0" w:firstLine="0"/>
      </w:pPr>
      <w:rPr>
        <w:rFonts w:hint="default"/>
      </w:rPr>
    </w:lvl>
    <w:lvl w:ilvl="6">
      <w:numFmt w:val="none"/>
      <w:lvlText w:val=""/>
      <w:lvlJc w:val="left"/>
      <w:pPr>
        <w:tabs>
          <w:tab w:val="num" w:pos="360"/>
        </w:tabs>
        <w:ind w:left="0" w:firstLine="0"/>
      </w:pPr>
      <w:rPr>
        <w:rFonts w:hint="default"/>
      </w:rPr>
    </w:lvl>
    <w:lvl w:ilvl="7">
      <w:numFmt w:val="decimal"/>
      <w:lvlText w:val=""/>
      <w:lvlJc w:val="left"/>
      <w:pPr>
        <w:ind w:left="0" w:firstLine="0"/>
      </w:pPr>
      <w:rPr>
        <w:rFonts w:hint="default"/>
      </w:rPr>
    </w:lvl>
    <w:lvl w:ilvl="8">
      <w:numFmt w:val="decimal"/>
      <w:lvlText w:val=""/>
      <w:lvlJc w:val="left"/>
      <w:pPr>
        <w:ind w:left="0" w:firstLine="0"/>
      </w:pPr>
      <w:rPr>
        <w:rFonts w:hint="default"/>
      </w:rPr>
    </w:lvl>
  </w:abstractNum>
  <w:abstractNum w:abstractNumId="6">
    <w:nsid w:val="09082364"/>
    <w:multiLevelType w:val="hybridMultilevel"/>
    <w:tmpl w:val="D7F8C954"/>
    <w:lvl w:ilvl="0" w:tplc="38429C00">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099715ED"/>
    <w:multiLevelType w:val="hybridMultilevel"/>
    <w:tmpl w:val="BDF02492"/>
    <w:lvl w:ilvl="0" w:tplc="38429C00">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099C44F3"/>
    <w:multiLevelType w:val="hybridMultilevel"/>
    <w:tmpl w:val="A0C2A646"/>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0B0979EF"/>
    <w:multiLevelType w:val="hybridMultilevel"/>
    <w:tmpl w:val="18249ADA"/>
    <w:lvl w:ilvl="0" w:tplc="0409000B">
      <w:start w:val="1"/>
      <w:numFmt w:val="bullet"/>
      <w:lvlText w:val=""/>
      <w:lvlJc w:val="left"/>
      <w:pPr>
        <w:ind w:left="720" w:hanging="360"/>
      </w:pPr>
      <w:rPr>
        <w:rFonts w:ascii="Wingdings" w:hAnsi="Wingdings"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0BE7AA2"/>
    <w:multiLevelType w:val="hybridMultilevel"/>
    <w:tmpl w:val="E51E5C98"/>
    <w:lvl w:ilvl="0" w:tplc="38429C00">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118258F5"/>
    <w:multiLevelType w:val="hybridMultilevel"/>
    <w:tmpl w:val="F788C3D4"/>
    <w:lvl w:ilvl="0" w:tplc="04090003">
      <w:start w:val="1"/>
      <w:numFmt w:val="bullet"/>
      <w:lvlText w:val="o"/>
      <w:lvlJc w:val="left"/>
      <w:pPr>
        <w:ind w:left="720" w:hanging="360"/>
      </w:pPr>
      <w:rPr>
        <w:rFonts w:ascii="Courier New" w:hAnsi="Courier New" w:cs="Courier New"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1E77C71"/>
    <w:multiLevelType w:val="hybridMultilevel"/>
    <w:tmpl w:val="BCAEE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4CF7A0B"/>
    <w:multiLevelType w:val="hybridMultilevel"/>
    <w:tmpl w:val="AF9C74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nsid w:val="1A574368"/>
    <w:multiLevelType w:val="hybridMultilevel"/>
    <w:tmpl w:val="6E5C40BA"/>
    <w:lvl w:ilvl="0" w:tplc="0409000B">
      <w:start w:val="1"/>
      <w:numFmt w:val="bullet"/>
      <w:lvlText w:val=""/>
      <w:lvlJc w:val="left"/>
      <w:pPr>
        <w:ind w:left="720" w:hanging="360"/>
      </w:pPr>
      <w:rPr>
        <w:rFonts w:ascii="Wingdings" w:hAnsi="Wingdings"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C1469CE"/>
    <w:multiLevelType w:val="hybridMultilevel"/>
    <w:tmpl w:val="9886E4E2"/>
    <w:lvl w:ilvl="0" w:tplc="38429C0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D003FB5"/>
    <w:multiLevelType w:val="hybridMultilevel"/>
    <w:tmpl w:val="830AB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DB96D2A"/>
    <w:multiLevelType w:val="hybridMultilevel"/>
    <w:tmpl w:val="6D98D88E"/>
    <w:lvl w:ilvl="0" w:tplc="38429C00">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1E096851"/>
    <w:multiLevelType w:val="hybridMultilevel"/>
    <w:tmpl w:val="5C301D82"/>
    <w:lvl w:ilvl="0" w:tplc="38429C00">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1E526357"/>
    <w:multiLevelType w:val="multilevel"/>
    <w:tmpl w:val="FA202670"/>
    <w:lvl w:ilvl="0">
      <w:start w:val="1"/>
      <w:numFmt w:val="bullet"/>
      <w:lvlText w:val=""/>
      <w:lvlJc w:val="left"/>
      <w:pPr>
        <w:ind w:left="720" w:hanging="360"/>
      </w:pPr>
      <w:rPr>
        <w:rFonts w:ascii="Symbol" w:hAnsi="Symbol" w:hint="default"/>
      </w:rPr>
    </w:lvl>
    <w:lvl w:ilvl="1">
      <w:start w:val="1"/>
      <w:numFmt w:val="none"/>
      <w:lvlText w:val="-"/>
      <w:lvlJc w:val="left"/>
      <w:pPr>
        <w:ind w:left="1440" w:hanging="360"/>
      </w:pPr>
      <w:rPr>
        <w:rFont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0">
    <w:nsid w:val="234E2A0A"/>
    <w:multiLevelType w:val="hybridMultilevel"/>
    <w:tmpl w:val="C4FEE984"/>
    <w:lvl w:ilvl="0" w:tplc="38429C00">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25597312"/>
    <w:multiLevelType w:val="hybridMultilevel"/>
    <w:tmpl w:val="A27CECA4"/>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2A7E5740"/>
    <w:multiLevelType w:val="hybridMultilevel"/>
    <w:tmpl w:val="E59296F8"/>
    <w:lvl w:ilvl="0" w:tplc="38429C00">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2DAB2905"/>
    <w:multiLevelType w:val="hybridMultilevel"/>
    <w:tmpl w:val="9132A8CE"/>
    <w:lvl w:ilvl="0" w:tplc="38429C00">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2FDB19D0"/>
    <w:multiLevelType w:val="hybridMultilevel"/>
    <w:tmpl w:val="D76E42F4"/>
    <w:lvl w:ilvl="0" w:tplc="38429C00">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318868D9"/>
    <w:multiLevelType w:val="hybridMultilevel"/>
    <w:tmpl w:val="50F4FCA8"/>
    <w:lvl w:ilvl="0" w:tplc="E7D443B2">
      <w:start w:val="617"/>
      <w:numFmt w:val="bullet"/>
      <w:lvlText w:val="-"/>
      <w:lvlJc w:val="left"/>
      <w:pPr>
        <w:ind w:left="720" w:hanging="360"/>
      </w:pPr>
      <w:rPr>
        <w:rFonts w:ascii="Arial" w:eastAsia="Calibr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nsid w:val="32134F1C"/>
    <w:multiLevelType w:val="hybridMultilevel"/>
    <w:tmpl w:val="5F522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3224E03"/>
    <w:multiLevelType w:val="hybridMultilevel"/>
    <w:tmpl w:val="002AC9B2"/>
    <w:lvl w:ilvl="0" w:tplc="38429C00">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34056530"/>
    <w:multiLevelType w:val="hybridMultilevel"/>
    <w:tmpl w:val="656C55F2"/>
    <w:lvl w:ilvl="0" w:tplc="38429C00">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345022D2"/>
    <w:multiLevelType w:val="hybridMultilevel"/>
    <w:tmpl w:val="3372EDA0"/>
    <w:lvl w:ilvl="0" w:tplc="38429C00">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37AC0EB1"/>
    <w:multiLevelType w:val="hybridMultilevel"/>
    <w:tmpl w:val="5BF2D26C"/>
    <w:lvl w:ilvl="0" w:tplc="38429C00">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3CFB2A8C"/>
    <w:multiLevelType w:val="hybridMultilevel"/>
    <w:tmpl w:val="3208B8DC"/>
    <w:lvl w:ilvl="0" w:tplc="38429C00">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3E0F76FA"/>
    <w:multiLevelType w:val="hybridMultilevel"/>
    <w:tmpl w:val="530ED75C"/>
    <w:lvl w:ilvl="0" w:tplc="8C8A2932">
      <w:start w:val="1"/>
      <w:numFmt w:val="bullet"/>
      <w:lvlText w:val="•"/>
      <w:lvlJc w:val="left"/>
      <w:pPr>
        <w:tabs>
          <w:tab w:val="num" w:pos="720"/>
        </w:tabs>
        <w:ind w:left="720" w:hanging="360"/>
      </w:pPr>
      <w:rPr>
        <w:rFonts w:ascii="Arial" w:hAnsi="Arial" w:hint="default"/>
      </w:rPr>
    </w:lvl>
    <w:lvl w:ilvl="1" w:tplc="E2381264">
      <w:start w:val="1"/>
      <w:numFmt w:val="bullet"/>
      <w:lvlText w:val="•"/>
      <w:lvlJc w:val="left"/>
      <w:pPr>
        <w:tabs>
          <w:tab w:val="num" w:pos="1440"/>
        </w:tabs>
        <w:ind w:left="1440" w:hanging="360"/>
      </w:pPr>
      <w:rPr>
        <w:rFonts w:ascii="Arial" w:hAnsi="Arial" w:hint="default"/>
      </w:rPr>
    </w:lvl>
    <w:lvl w:ilvl="2" w:tplc="F8465F12" w:tentative="1">
      <w:start w:val="1"/>
      <w:numFmt w:val="bullet"/>
      <w:lvlText w:val="•"/>
      <w:lvlJc w:val="left"/>
      <w:pPr>
        <w:tabs>
          <w:tab w:val="num" w:pos="2160"/>
        </w:tabs>
        <w:ind w:left="2160" w:hanging="360"/>
      </w:pPr>
      <w:rPr>
        <w:rFonts w:ascii="Arial" w:hAnsi="Arial" w:hint="default"/>
      </w:rPr>
    </w:lvl>
    <w:lvl w:ilvl="3" w:tplc="8BD62DCC" w:tentative="1">
      <w:start w:val="1"/>
      <w:numFmt w:val="bullet"/>
      <w:lvlText w:val="•"/>
      <w:lvlJc w:val="left"/>
      <w:pPr>
        <w:tabs>
          <w:tab w:val="num" w:pos="2880"/>
        </w:tabs>
        <w:ind w:left="2880" w:hanging="360"/>
      </w:pPr>
      <w:rPr>
        <w:rFonts w:ascii="Arial" w:hAnsi="Arial" w:hint="default"/>
      </w:rPr>
    </w:lvl>
    <w:lvl w:ilvl="4" w:tplc="45462536" w:tentative="1">
      <w:start w:val="1"/>
      <w:numFmt w:val="bullet"/>
      <w:lvlText w:val="•"/>
      <w:lvlJc w:val="left"/>
      <w:pPr>
        <w:tabs>
          <w:tab w:val="num" w:pos="3600"/>
        </w:tabs>
        <w:ind w:left="3600" w:hanging="360"/>
      </w:pPr>
      <w:rPr>
        <w:rFonts w:ascii="Arial" w:hAnsi="Arial" w:hint="default"/>
      </w:rPr>
    </w:lvl>
    <w:lvl w:ilvl="5" w:tplc="0AF2223C" w:tentative="1">
      <w:start w:val="1"/>
      <w:numFmt w:val="bullet"/>
      <w:lvlText w:val="•"/>
      <w:lvlJc w:val="left"/>
      <w:pPr>
        <w:tabs>
          <w:tab w:val="num" w:pos="4320"/>
        </w:tabs>
        <w:ind w:left="4320" w:hanging="360"/>
      </w:pPr>
      <w:rPr>
        <w:rFonts w:ascii="Arial" w:hAnsi="Arial" w:hint="default"/>
      </w:rPr>
    </w:lvl>
    <w:lvl w:ilvl="6" w:tplc="AF641936" w:tentative="1">
      <w:start w:val="1"/>
      <w:numFmt w:val="bullet"/>
      <w:lvlText w:val="•"/>
      <w:lvlJc w:val="left"/>
      <w:pPr>
        <w:tabs>
          <w:tab w:val="num" w:pos="5040"/>
        </w:tabs>
        <w:ind w:left="5040" w:hanging="360"/>
      </w:pPr>
      <w:rPr>
        <w:rFonts w:ascii="Arial" w:hAnsi="Arial" w:hint="default"/>
      </w:rPr>
    </w:lvl>
    <w:lvl w:ilvl="7" w:tplc="9386F062" w:tentative="1">
      <w:start w:val="1"/>
      <w:numFmt w:val="bullet"/>
      <w:lvlText w:val="•"/>
      <w:lvlJc w:val="left"/>
      <w:pPr>
        <w:tabs>
          <w:tab w:val="num" w:pos="5760"/>
        </w:tabs>
        <w:ind w:left="5760" w:hanging="360"/>
      </w:pPr>
      <w:rPr>
        <w:rFonts w:ascii="Arial" w:hAnsi="Arial" w:hint="default"/>
      </w:rPr>
    </w:lvl>
    <w:lvl w:ilvl="8" w:tplc="A85C7D86" w:tentative="1">
      <w:start w:val="1"/>
      <w:numFmt w:val="bullet"/>
      <w:lvlText w:val="•"/>
      <w:lvlJc w:val="left"/>
      <w:pPr>
        <w:tabs>
          <w:tab w:val="num" w:pos="6480"/>
        </w:tabs>
        <w:ind w:left="6480" w:hanging="360"/>
      </w:pPr>
      <w:rPr>
        <w:rFonts w:ascii="Arial" w:hAnsi="Arial" w:hint="default"/>
      </w:rPr>
    </w:lvl>
  </w:abstractNum>
  <w:abstractNum w:abstractNumId="33">
    <w:nsid w:val="3EE92DD9"/>
    <w:multiLevelType w:val="hybridMultilevel"/>
    <w:tmpl w:val="578867F0"/>
    <w:lvl w:ilvl="0" w:tplc="38429C00">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4465154D"/>
    <w:multiLevelType w:val="hybridMultilevel"/>
    <w:tmpl w:val="33A4A016"/>
    <w:lvl w:ilvl="0" w:tplc="566CC946">
      <w:start w:val="1"/>
      <w:numFmt w:val="bullet"/>
      <w:lvlText w:val="o"/>
      <w:lvlJc w:val="left"/>
      <w:pPr>
        <w:ind w:left="720" w:hanging="360"/>
      </w:pPr>
      <w:rPr>
        <w:rFonts w:ascii="Courier New" w:hAnsi="Courier New" w:hint="default"/>
        <w:color w:val="auto"/>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46E73E6A"/>
    <w:multiLevelType w:val="hybridMultilevel"/>
    <w:tmpl w:val="7294F5E0"/>
    <w:lvl w:ilvl="0" w:tplc="38429C0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47BC2F72"/>
    <w:multiLevelType w:val="hybridMultilevel"/>
    <w:tmpl w:val="A93AA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47DA46CD"/>
    <w:multiLevelType w:val="hybridMultilevel"/>
    <w:tmpl w:val="BC745CFE"/>
    <w:lvl w:ilvl="0" w:tplc="38429C00">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nsid w:val="47DE41D2"/>
    <w:multiLevelType w:val="hybridMultilevel"/>
    <w:tmpl w:val="9AF4FCAE"/>
    <w:lvl w:ilvl="0" w:tplc="38429C00">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nsid w:val="49161DD8"/>
    <w:multiLevelType w:val="hybridMultilevel"/>
    <w:tmpl w:val="490EF074"/>
    <w:lvl w:ilvl="0" w:tplc="38429C0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4A7F3B37"/>
    <w:multiLevelType w:val="multilevel"/>
    <w:tmpl w:val="A958157A"/>
    <w:styleLink w:val="Style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1">
    <w:nsid w:val="4C4F2FEA"/>
    <w:multiLevelType w:val="hybridMultilevel"/>
    <w:tmpl w:val="B0CE77B4"/>
    <w:lvl w:ilvl="0" w:tplc="38429C0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4D1D2563"/>
    <w:multiLevelType w:val="hybridMultilevel"/>
    <w:tmpl w:val="FF2A7100"/>
    <w:lvl w:ilvl="0" w:tplc="4350E1CA">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4E1707E3"/>
    <w:multiLevelType w:val="hybridMultilevel"/>
    <w:tmpl w:val="89C028EC"/>
    <w:lvl w:ilvl="0" w:tplc="38429C0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4F890B2D"/>
    <w:multiLevelType w:val="hybridMultilevel"/>
    <w:tmpl w:val="D0C6FA12"/>
    <w:lvl w:ilvl="0" w:tplc="38429C00">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nsid w:val="506458F7"/>
    <w:multiLevelType w:val="hybridMultilevel"/>
    <w:tmpl w:val="A2E4795E"/>
    <w:lvl w:ilvl="0" w:tplc="38429C00">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nsid w:val="51200FE4"/>
    <w:multiLevelType w:val="hybridMultilevel"/>
    <w:tmpl w:val="8A5ED526"/>
    <w:lvl w:ilvl="0" w:tplc="38429C00">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nsid w:val="51FE4181"/>
    <w:multiLevelType w:val="hybridMultilevel"/>
    <w:tmpl w:val="7362E6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8">
    <w:nsid w:val="57121DAB"/>
    <w:multiLevelType w:val="hybridMultilevel"/>
    <w:tmpl w:val="B4942180"/>
    <w:lvl w:ilvl="0" w:tplc="88CCA430">
      <w:start w:val="1"/>
      <w:numFmt w:val="bullet"/>
      <w:lvlText w:val="•"/>
      <w:lvlJc w:val="left"/>
      <w:pPr>
        <w:tabs>
          <w:tab w:val="num" w:pos="720"/>
        </w:tabs>
        <w:ind w:left="720" w:hanging="360"/>
      </w:pPr>
      <w:rPr>
        <w:rFonts w:ascii="Arial" w:hAnsi="Arial" w:hint="default"/>
      </w:rPr>
    </w:lvl>
    <w:lvl w:ilvl="1" w:tplc="434C1502" w:tentative="1">
      <w:start w:val="1"/>
      <w:numFmt w:val="bullet"/>
      <w:lvlText w:val="•"/>
      <w:lvlJc w:val="left"/>
      <w:pPr>
        <w:tabs>
          <w:tab w:val="num" w:pos="1440"/>
        </w:tabs>
        <w:ind w:left="1440" w:hanging="360"/>
      </w:pPr>
      <w:rPr>
        <w:rFonts w:ascii="Arial" w:hAnsi="Arial" w:hint="default"/>
      </w:rPr>
    </w:lvl>
    <w:lvl w:ilvl="2" w:tplc="4C70B5A4" w:tentative="1">
      <w:start w:val="1"/>
      <w:numFmt w:val="bullet"/>
      <w:lvlText w:val="•"/>
      <w:lvlJc w:val="left"/>
      <w:pPr>
        <w:tabs>
          <w:tab w:val="num" w:pos="2160"/>
        </w:tabs>
        <w:ind w:left="2160" w:hanging="360"/>
      </w:pPr>
      <w:rPr>
        <w:rFonts w:ascii="Arial" w:hAnsi="Arial" w:hint="default"/>
      </w:rPr>
    </w:lvl>
    <w:lvl w:ilvl="3" w:tplc="DA16FD66" w:tentative="1">
      <w:start w:val="1"/>
      <w:numFmt w:val="bullet"/>
      <w:lvlText w:val="•"/>
      <w:lvlJc w:val="left"/>
      <w:pPr>
        <w:tabs>
          <w:tab w:val="num" w:pos="2880"/>
        </w:tabs>
        <w:ind w:left="2880" w:hanging="360"/>
      </w:pPr>
      <w:rPr>
        <w:rFonts w:ascii="Arial" w:hAnsi="Arial" w:hint="default"/>
      </w:rPr>
    </w:lvl>
    <w:lvl w:ilvl="4" w:tplc="D730E0A2" w:tentative="1">
      <w:start w:val="1"/>
      <w:numFmt w:val="bullet"/>
      <w:lvlText w:val="•"/>
      <w:lvlJc w:val="left"/>
      <w:pPr>
        <w:tabs>
          <w:tab w:val="num" w:pos="3600"/>
        </w:tabs>
        <w:ind w:left="3600" w:hanging="360"/>
      </w:pPr>
      <w:rPr>
        <w:rFonts w:ascii="Arial" w:hAnsi="Arial" w:hint="default"/>
      </w:rPr>
    </w:lvl>
    <w:lvl w:ilvl="5" w:tplc="5B9CC2A4" w:tentative="1">
      <w:start w:val="1"/>
      <w:numFmt w:val="bullet"/>
      <w:lvlText w:val="•"/>
      <w:lvlJc w:val="left"/>
      <w:pPr>
        <w:tabs>
          <w:tab w:val="num" w:pos="4320"/>
        </w:tabs>
        <w:ind w:left="4320" w:hanging="360"/>
      </w:pPr>
      <w:rPr>
        <w:rFonts w:ascii="Arial" w:hAnsi="Arial" w:hint="default"/>
      </w:rPr>
    </w:lvl>
    <w:lvl w:ilvl="6" w:tplc="9A3088A6" w:tentative="1">
      <w:start w:val="1"/>
      <w:numFmt w:val="bullet"/>
      <w:lvlText w:val="•"/>
      <w:lvlJc w:val="left"/>
      <w:pPr>
        <w:tabs>
          <w:tab w:val="num" w:pos="5040"/>
        </w:tabs>
        <w:ind w:left="5040" w:hanging="360"/>
      </w:pPr>
      <w:rPr>
        <w:rFonts w:ascii="Arial" w:hAnsi="Arial" w:hint="default"/>
      </w:rPr>
    </w:lvl>
    <w:lvl w:ilvl="7" w:tplc="B68EDCBC" w:tentative="1">
      <w:start w:val="1"/>
      <w:numFmt w:val="bullet"/>
      <w:lvlText w:val="•"/>
      <w:lvlJc w:val="left"/>
      <w:pPr>
        <w:tabs>
          <w:tab w:val="num" w:pos="5760"/>
        </w:tabs>
        <w:ind w:left="5760" w:hanging="360"/>
      </w:pPr>
      <w:rPr>
        <w:rFonts w:ascii="Arial" w:hAnsi="Arial" w:hint="default"/>
      </w:rPr>
    </w:lvl>
    <w:lvl w:ilvl="8" w:tplc="B1D6CD86" w:tentative="1">
      <w:start w:val="1"/>
      <w:numFmt w:val="bullet"/>
      <w:lvlText w:val="•"/>
      <w:lvlJc w:val="left"/>
      <w:pPr>
        <w:tabs>
          <w:tab w:val="num" w:pos="6480"/>
        </w:tabs>
        <w:ind w:left="6480" w:hanging="360"/>
      </w:pPr>
      <w:rPr>
        <w:rFonts w:ascii="Arial" w:hAnsi="Arial" w:hint="default"/>
      </w:rPr>
    </w:lvl>
  </w:abstractNum>
  <w:abstractNum w:abstractNumId="49">
    <w:nsid w:val="57A2372E"/>
    <w:multiLevelType w:val="hybridMultilevel"/>
    <w:tmpl w:val="47A6295A"/>
    <w:lvl w:ilvl="0" w:tplc="03D0ADFC">
      <w:start w:val="10"/>
      <w:numFmt w:val="decimal"/>
      <w:lvlText w:val="%1."/>
      <w:lvlJc w:val="left"/>
      <w:pPr>
        <w:ind w:left="735" w:hanging="375"/>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58574458"/>
    <w:multiLevelType w:val="hybridMultilevel"/>
    <w:tmpl w:val="50EA9268"/>
    <w:lvl w:ilvl="0" w:tplc="38429C00">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1">
    <w:nsid w:val="5A4964C4"/>
    <w:multiLevelType w:val="hybridMultilevel"/>
    <w:tmpl w:val="1688B0C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2">
    <w:nsid w:val="5DDB6A7F"/>
    <w:multiLevelType w:val="hybridMultilevel"/>
    <w:tmpl w:val="B8868F54"/>
    <w:lvl w:ilvl="0" w:tplc="38429C00">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3">
    <w:nsid w:val="5EC865B8"/>
    <w:multiLevelType w:val="hybridMultilevel"/>
    <w:tmpl w:val="35BE0BFC"/>
    <w:lvl w:ilvl="0" w:tplc="04090015">
      <w:start w:val="1"/>
      <w:numFmt w:val="upperLetter"/>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4">
    <w:nsid w:val="60962AF5"/>
    <w:multiLevelType w:val="multilevel"/>
    <w:tmpl w:val="67D83364"/>
    <w:lvl w:ilvl="0">
      <w:start w:val="1"/>
      <w:numFmt w:val="decimal"/>
      <w:lvlText w:val="%1."/>
      <w:lvlJc w:val="left"/>
      <w:pPr>
        <w:tabs>
          <w:tab w:val="num" w:pos="567"/>
        </w:tabs>
        <w:ind w:left="680" w:hanging="680"/>
      </w:pPr>
      <w:rPr>
        <w:rFonts w:hint="default"/>
      </w:rPr>
    </w:lvl>
    <w:lvl w:ilvl="1">
      <w:start w:val="1"/>
      <w:numFmt w:val="decimal"/>
      <w:lvlText w:val="%1.%2"/>
      <w:lvlJc w:val="left"/>
      <w:pPr>
        <w:tabs>
          <w:tab w:val="num" w:pos="567"/>
        </w:tabs>
        <w:ind w:left="680" w:hanging="680"/>
      </w:pPr>
      <w:rPr>
        <w:rFonts w:ascii="Calibri" w:hAnsi="Calibri" w:cs="Calibri" w:hint="default"/>
        <w:b/>
        <w:bCs w:val="0"/>
        <w:i w:val="0"/>
        <w:iCs w:val="0"/>
        <w:caps w:val="0"/>
        <w:smallCaps w:val="0"/>
        <w:strike w:val="0"/>
        <w:dstrike w:val="0"/>
        <w:noProof w:val="0"/>
        <w:snapToGrid w:val="0"/>
        <w:vanish w:val="0"/>
        <w:color w:val="000000"/>
        <w:spacing w:val="0"/>
        <w:kern w:val="0"/>
        <w:position w:val="0"/>
        <w:sz w:val="24"/>
        <w:szCs w:val="22"/>
        <w:u w:val="none"/>
        <w:effect w:val="none"/>
        <w:vertAlign w:val="baseline"/>
        <w:em w:val="none"/>
        <w:specVanish w:val="0"/>
      </w:rPr>
    </w:lvl>
    <w:lvl w:ilvl="2">
      <w:start w:val="1"/>
      <w:numFmt w:val="decimal"/>
      <w:lvlText w:val="%1.%2.%3"/>
      <w:lvlJc w:val="left"/>
      <w:pPr>
        <w:tabs>
          <w:tab w:val="num" w:pos="1917"/>
        </w:tabs>
        <w:ind w:left="2030" w:hanging="680"/>
      </w:pPr>
      <w:rPr>
        <w:rFonts w:hint="default"/>
      </w:rPr>
    </w:lvl>
    <w:lvl w:ilvl="3">
      <w:start w:val="1"/>
      <w:numFmt w:val="decimal"/>
      <w:lvlText w:val="%1.%2.%3.%4"/>
      <w:lvlJc w:val="left"/>
      <w:pPr>
        <w:tabs>
          <w:tab w:val="num" w:pos="837"/>
        </w:tabs>
        <w:ind w:left="950" w:hanging="680"/>
      </w:pPr>
      <w:rPr>
        <w:rFonts w:hint="default"/>
      </w:rPr>
    </w:lvl>
    <w:lvl w:ilvl="4">
      <w:numFmt w:val="none"/>
      <w:lvlText w:val=""/>
      <w:lvlJc w:val="left"/>
      <w:pPr>
        <w:tabs>
          <w:tab w:val="num" w:pos="360"/>
        </w:tabs>
        <w:ind w:left="0" w:firstLine="0"/>
      </w:pPr>
      <w:rPr>
        <w:rFonts w:hint="default"/>
      </w:rPr>
    </w:lvl>
    <w:lvl w:ilvl="5">
      <w:numFmt w:val="none"/>
      <w:lvlText w:val=""/>
      <w:lvlJc w:val="left"/>
      <w:pPr>
        <w:tabs>
          <w:tab w:val="num" w:pos="360"/>
        </w:tabs>
        <w:ind w:left="0" w:firstLine="0"/>
      </w:pPr>
      <w:rPr>
        <w:rFonts w:hint="default"/>
      </w:rPr>
    </w:lvl>
    <w:lvl w:ilvl="6">
      <w:numFmt w:val="none"/>
      <w:lvlText w:val=""/>
      <w:lvlJc w:val="left"/>
      <w:pPr>
        <w:tabs>
          <w:tab w:val="num" w:pos="360"/>
        </w:tabs>
        <w:ind w:left="0" w:firstLine="0"/>
      </w:pPr>
      <w:rPr>
        <w:rFonts w:hint="default"/>
      </w:rPr>
    </w:lvl>
    <w:lvl w:ilvl="7">
      <w:numFmt w:val="decimal"/>
      <w:lvlText w:val=""/>
      <w:lvlJc w:val="left"/>
      <w:pPr>
        <w:ind w:left="0" w:firstLine="0"/>
      </w:pPr>
      <w:rPr>
        <w:rFonts w:hint="default"/>
      </w:rPr>
    </w:lvl>
    <w:lvl w:ilvl="8">
      <w:numFmt w:val="decimal"/>
      <w:lvlText w:val=""/>
      <w:lvlJc w:val="left"/>
      <w:pPr>
        <w:ind w:left="0" w:firstLine="0"/>
      </w:pPr>
      <w:rPr>
        <w:rFonts w:hint="default"/>
      </w:rPr>
    </w:lvl>
  </w:abstractNum>
  <w:abstractNum w:abstractNumId="55">
    <w:nsid w:val="60E57EA6"/>
    <w:multiLevelType w:val="multilevel"/>
    <w:tmpl w:val="FA202670"/>
    <w:lvl w:ilvl="0">
      <w:start w:val="1"/>
      <w:numFmt w:val="bullet"/>
      <w:lvlText w:val=""/>
      <w:lvlJc w:val="left"/>
      <w:pPr>
        <w:ind w:left="720" w:hanging="360"/>
      </w:pPr>
      <w:rPr>
        <w:rFonts w:ascii="Symbol" w:hAnsi="Symbol" w:hint="default"/>
      </w:rPr>
    </w:lvl>
    <w:lvl w:ilvl="1">
      <w:start w:val="1"/>
      <w:numFmt w:val="none"/>
      <w:lvlText w:val="-"/>
      <w:lvlJc w:val="left"/>
      <w:pPr>
        <w:ind w:left="1440" w:hanging="360"/>
      </w:pPr>
      <w:rPr>
        <w:rFont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6">
    <w:nsid w:val="61222160"/>
    <w:multiLevelType w:val="hybridMultilevel"/>
    <w:tmpl w:val="4B3A7D8C"/>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7">
    <w:nsid w:val="61530936"/>
    <w:multiLevelType w:val="hybridMultilevel"/>
    <w:tmpl w:val="174C2A66"/>
    <w:lvl w:ilvl="0" w:tplc="08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68E276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9">
    <w:nsid w:val="6C3503E0"/>
    <w:multiLevelType w:val="hybridMultilevel"/>
    <w:tmpl w:val="A964E69E"/>
    <w:lvl w:ilvl="0" w:tplc="38429C00">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0">
    <w:nsid w:val="6E6723F7"/>
    <w:multiLevelType w:val="hybridMultilevel"/>
    <w:tmpl w:val="ED22D256"/>
    <w:lvl w:ilvl="0" w:tplc="38429C00">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1">
    <w:nsid w:val="6F5B34E4"/>
    <w:multiLevelType w:val="hybridMultilevel"/>
    <w:tmpl w:val="AF969E22"/>
    <w:lvl w:ilvl="0" w:tplc="38429C00">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2">
    <w:nsid w:val="6F902611"/>
    <w:multiLevelType w:val="hybridMultilevel"/>
    <w:tmpl w:val="E5ACB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6FC23F3C"/>
    <w:multiLevelType w:val="hybridMultilevel"/>
    <w:tmpl w:val="4E625946"/>
    <w:lvl w:ilvl="0" w:tplc="6C882796">
      <w:start w:val="1"/>
      <w:numFmt w:val="bullet"/>
      <w:lvlText w:val="•"/>
      <w:lvlJc w:val="left"/>
      <w:pPr>
        <w:tabs>
          <w:tab w:val="num" w:pos="720"/>
        </w:tabs>
        <w:ind w:left="720" w:hanging="360"/>
      </w:pPr>
      <w:rPr>
        <w:rFonts w:ascii="Arial" w:hAnsi="Arial" w:hint="default"/>
      </w:rPr>
    </w:lvl>
    <w:lvl w:ilvl="1" w:tplc="13B441C2" w:tentative="1">
      <w:start w:val="1"/>
      <w:numFmt w:val="bullet"/>
      <w:lvlText w:val="•"/>
      <w:lvlJc w:val="left"/>
      <w:pPr>
        <w:tabs>
          <w:tab w:val="num" w:pos="1440"/>
        </w:tabs>
        <w:ind w:left="1440" w:hanging="360"/>
      </w:pPr>
      <w:rPr>
        <w:rFonts w:ascii="Arial" w:hAnsi="Arial" w:hint="default"/>
      </w:rPr>
    </w:lvl>
    <w:lvl w:ilvl="2" w:tplc="3574F64E" w:tentative="1">
      <w:start w:val="1"/>
      <w:numFmt w:val="bullet"/>
      <w:lvlText w:val="•"/>
      <w:lvlJc w:val="left"/>
      <w:pPr>
        <w:tabs>
          <w:tab w:val="num" w:pos="2160"/>
        </w:tabs>
        <w:ind w:left="2160" w:hanging="360"/>
      </w:pPr>
      <w:rPr>
        <w:rFonts w:ascii="Arial" w:hAnsi="Arial" w:hint="default"/>
      </w:rPr>
    </w:lvl>
    <w:lvl w:ilvl="3" w:tplc="C1B496B2" w:tentative="1">
      <w:start w:val="1"/>
      <w:numFmt w:val="bullet"/>
      <w:lvlText w:val="•"/>
      <w:lvlJc w:val="left"/>
      <w:pPr>
        <w:tabs>
          <w:tab w:val="num" w:pos="2880"/>
        </w:tabs>
        <w:ind w:left="2880" w:hanging="360"/>
      </w:pPr>
      <w:rPr>
        <w:rFonts w:ascii="Arial" w:hAnsi="Arial" w:hint="default"/>
      </w:rPr>
    </w:lvl>
    <w:lvl w:ilvl="4" w:tplc="C72C7D3E" w:tentative="1">
      <w:start w:val="1"/>
      <w:numFmt w:val="bullet"/>
      <w:lvlText w:val="•"/>
      <w:lvlJc w:val="left"/>
      <w:pPr>
        <w:tabs>
          <w:tab w:val="num" w:pos="3600"/>
        </w:tabs>
        <w:ind w:left="3600" w:hanging="360"/>
      </w:pPr>
      <w:rPr>
        <w:rFonts w:ascii="Arial" w:hAnsi="Arial" w:hint="default"/>
      </w:rPr>
    </w:lvl>
    <w:lvl w:ilvl="5" w:tplc="40F09E4A" w:tentative="1">
      <w:start w:val="1"/>
      <w:numFmt w:val="bullet"/>
      <w:lvlText w:val="•"/>
      <w:lvlJc w:val="left"/>
      <w:pPr>
        <w:tabs>
          <w:tab w:val="num" w:pos="4320"/>
        </w:tabs>
        <w:ind w:left="4320" w:hanging="360"/>
      </w:pPr>
      <w:rPr>
        <w:rFonts w:ascii="Arial" w:hAnsi="Arial" w:hint="default"/>
      </w:rPr>
    </w:lvl>
    <w:lvl w:ilvl="6" w:tplc="E5C2C870" w:tentative="1">
      <w:start w:val="1"/>
      <w:numFmt w:val="bullet"/>
      <w:lvlText w:val="•"/>
      <w:lvlJc w:val="left"/>
      <w:pPr>
        <w:tabs>
          <w:tab w:val="num" w:pos="5040"/>
        </w:tabs>
        <w:ind w:left="5040" w:hanging="360"/>
      </w:pPr>
      <w:rPr>
        <w:rFonts w:ascii="Arial" w:hAnsi="Arial" w:hint="default"/>
      </w:rPr>
    </w:lvl>
    <w:lvl w:ilvl="7" w:tplc="04684484" w:tentative="1">
      <w:start w:val="1"/>
      <w:numFmt w:val="bullet"/>
      <w:lvlText w:val="•"/>
      <w:lvlJc w:val="left"/>
      <w:pPr>
        <w:tabs>
          <w:tab w:val="num" w:pos="5760"/>
        </w:tabs>
        <w:ind w:left="5760" w:hanging="360"/>
      </w:pPr>
      <w:rPr>
        <w:rFonts w:ascii="Arial" w:hAnsi="Arial" w:hint="default"/>
      </w:rPr>
    </w:lvl>
    <w:lvl w:ilvl="8" w:tplc="0ACA6864" w:tentative="1">
      <w:start w:val="1"/>
      <w:numFmt w:val="bullet"/>
      <w:lvlText w:val="•"/>
      <w:lvlJc w:val="left"/>
      <w:pPr>
        <w:tabs>
          <w:tab w:val="num" w:pos="6480"/>
        </w:tabs>
        <w:ind w:left="6480" w:hanging="360"/>
      </w:pPr>
      <w:rPr>
        <w:rFonts w:ascii="Arial" w:hAnsi="Arial" w:hint="default"/>
      </w:rPr>
    </w:lvl>
  </w:abstractNum>
  <w:abstractNum w:abstractNumId="64">
    <w:nsid w:val="76765FC7"/>
    <w:multiLevelType w:val="multilevel"/>
    <w:tmpl w:val="67D83364"/>
    <w:lvl w:ilvl="0">
      <w:start w:val="1"/>
      <w:numFmt w:val="decimal"/>
      <w:lvlText w:val="%1."/>
      <w:lvlJc w:val="left"/>
      <w:pPr>
        <w:tabs>
          <w:tab w:val="num" w:pos="567"/>
        </w:tabs>
        <w:ind w:left="680" w:hanging="680"/>
      </w:pPr>
      <w:rPr>
        <w:rFonts w:hint="default"/>
      </w:rPr>
    </w:lvl>
    <w:lvl w:ilvl="1">
      <w:start w:val="1"/>
      <w:numFmt w:val="decimal"/>
      <w:lvlText w:val="%1.%2"/>
      <w:lvlJc w:val="left"/>
      <w:pPr>
        <w:tabs>
          <w:tab w:val="num" w:pos="567"/>
        </w:tabs>
        <w:ind w:left="680" w:hanging="680"/>
      </w:pPr>
      <w:rPr>
        <w:rFonts w:ascii="Calibri" w:hAnsi="Calibri" w:cs="Calibri" w:hint="default"/>
        <w:b/>
        <w:bCs w:val="0"/>
        <w:i w:val="0"/>
        <w:iCs w:val="0"/>
        <w:caps w:val="0"/>
        <w:smallCaps w:val="0"/>
        <w:strike w:val="0"/>
        <w:dstrike w:val="0"/>
        <w:noProof w:val="0"/>
        <w:snapToGrid w:val="0"/>
        <w:vanish w:val="0"/>
        <w:color w:val="000000"/>
        <w:spacing w:val="0"/>
        <w:kern w:val="0"/>
        <w:position w:val="0"/>
        <w:sz w:val="24"/>
        <w:szCs w:val="22"/>
        <w:u w:val="none"/>
        <w:effect w:val="none"/>
        <w:vertAlign w:val="baseline"/>
        <w:em w:val="none"/>
        <w:specVanish w:val="0"/>
      </w:rPr>
    </w:lvl>
    <w:lvl w:ilvl="2">
      <w:start w:val="1"/>
      <w:numFmt w:val="decimal"/>
      <w:lvlText w:val="%1.%2.%3"/>
      <w:lvlJc w:val="left"/>
      <w:pPr>
        <w:tabs>
          <w:tab w:val="num" w:pos="1917"/>
        </w:tabs>
        <w:ind w:left="2030" w:hanging="680"/>
      </w:pPr>
      <w:rPr>
        <w:rFonts w:hint="default"/>
      </w:rPr>
    </w:lvl>
    <w:lvl w:ilvl="3">
      <w:start w:val="1"/>
      <w:numFmt w:val="decimal"/>
      <w:lvlText w:val="%1.%2.%3.%4"/>
      <w:lvlJc w:val="left"/>
      <w:pPr>
        <w:tabs>
          <w:tab w:val="num" w:pos="837"/>
        </w:tabs>
        <w:ind w:left="950" w:hanging="680"/>
      </w:pPr>
      <w:rPr>
        <w:rFonts w:hint="default"/>
      </w:rPr>
    </w:lvl>
    <w:lvl w:ilvl="4">
      <w:numFmt w:val="none"/>
      <w:lvlText w:val=""/>
      <w:lvlJc w:val="left"/>
      <w:pPr>
        <w:tabs>
          <w:tab w:val="num" w:pos="360"/>
        </w:tabs>
        <w:ind w:left="0" w:firstLine="0"/>
      </w:pPr>
      <w:rPr>
        <w:rFonts w:hint="default"/>
      </w:rPr>
    </w:lvl>
    <w:lvl w:ilvl="5">
      <w:numFmt w:val="none"/>
      <w:lvlText w:val=""/>
      <w:lvlJc w:val="left"/>
      <w:pPr>
        <w:tabs>
          <w:tab w:val="num" w:pos="360"/>
        </w:tabs>
        <w:ind w:left="0" w:firstLine="0"/>
      </w:pPr>
      <w:rPr>
        <w:rFonts w:hint="default"/>
      </w:rPr>
    </w:lvl>
    <w:lvl w:ilvl="6">
      <w:numFmt w:val="none"/>
      <w:lvlText w:val=""/>
      <w:lvlJc w:val="left"/>
      <w:pPr>
        <w:tabs>
          <w:tab w:val="num" w:pos="360"/>
        </w:tabs>
        <w:ind w:left="0" w:firstLine="0"/>
      </w:pPr>
      <w:rPr>
        <w:rFonts w:hint="default"/>
      </w:rPr>
    </w:lvl>
    <w:lvl w:ilvl="7">
      <w:numFmt w:val="decimal"/>
      <w:lvlText w:val=""/>
      <w:lvlJc w:val="left"/>
      <w:pPr>
        <w:ind w:left="0" w:firstLine="0"/>
      </w:pPr>
      <w:rPr>
        <w:rFonts w:hint="default"/>
      </w:rPr>
    </w:lvl>
    <w:lvl w:ilvl="8">
      <w:numFmt w:val="decimal"/>
      <w:lvlText w:val=""/>
      <w:lvlJc w:val="left"/>
      <w:pPr>
        <w:ind w:left="0" w:firstLine="0"/>
      </w:pPr>
      <w:rPr>
        <w:rFonts w:hint="default"/>
      </w:rPr>
    </w:lvl>
  </w:abstractNum>
  <w:abstractNum w:abstractNumId="65">
    <w:nsid w:val="79297109"/>
    <w:multiLevelType w:val="hybridMultilevel"/>
    <w:tmpl w:val="30020F2C"/>
    <w:lvl w:ilvl="0" w:tplc="C4F80E62">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nsid w:val="7B6068DB"/>
    <w:multiLevelType w:val="hybridMultilevel"/>
    <w:tmpl w:val="ADE267D0"/>
    <w:lvl w:ilvl="0" w:tplc="38429C00">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7">
    <w:nsid w:val="7BDF7E1E"/>
    <w:multiLevelType w:val="hybridMultilevel"/>
    <w:tmpl w:val="A140AC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nsid w:val="7D630874"/>
    <w:multiLevelType w:val="hybridMultilevel"/>
    <w:tmpl w:val="D024760C"/>
    <w:lvl w:ilvl="0" w:tplc="38429C00">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9">
    <w:nsid w:val="7FE723C5"/>
    <w:multiLevelType w:val="hybridMultilevel"/>
    <w:tmpl w:val="CB283DAA"/>
    <w:lvl w:ilvl="0" w:tplc="0809001B">
      <w:start w:val="1"/>
      <w:numFmt w:val="lowerRoman"/>
      <w:lvlText w:val="%1."/>
      <w:lvlJc w:val="right"/>
      <w:pPr>
        <w:ind w:left="894" w:hanging="360"/>
      </w:pPr>
    </w:lvl>
    <w:lvl w:ilvl="1" w:tplc="0809001B">
      <w:start w:val="1"/>
      <w:numFmt w:val="lowerRoman"/>
      <w:lvlText w:val="%2."/>
      <w:lvlJc w:val="right"/>
      <w:pPr>
        <w:ind w:left="1614" w:hanging="360"/>
      </w:pPr>
    </w:lvl>
    <w:lvl w:ilvl="2" w:tplc="0809001B" w:tentative="1">
      <w:start w:val="1"/>
      <w:numFmt w:val="lowerRoman"/>
      <w:lvlText w:val="%3."/>
      <w:lvlJc w:val="right"/>
      <w:pPr>
        <w:ind w:left="2334" w:hanging="180"/>
      </w:pPr>
    </w:lvl>
    <w:lvl w:ilvl="3" w:tplc="0809000F" w:tentative="1">
      <w:start w:val="1"/>
      <w:numFmt w:val="decimal"/>
      <w:lvlText w:val="%4."/>
      <w:lvlJc w:val="left"/>
      <w:pPr>
        <w:ind w:left="3054" w:hanging="360"/>
      </w:pPr>
    </w:lvl>
    <w:lvl w:ilvl="4" w:tplc="08090019" w:tentative="1">
      <w:start w:val="1"/>
      <w:numFmt w:val="lowerLetter"/>
      <w:lvlText w:val="%5."/>
      <w:lvlJc w:val="left"/>
      <w:pPr>
        <w:ind w:left="3774" w:hanging="360"/>
      </w:pPr>
    </w:lvl>
    <w:lvl w:ilvl="5" w:tplc="0809001B" w:tentative="1">
      <w:start w:val="1"/>
      <w:numFmt w:val="lowerRoman"/>
      <w:lvlText w:val="%6."/>
      <w:lvlJc w:val="right"/>
      <w:pPr>
        <w:ind w:left="4494" w:hanging="180"/>
      </w:pPr>
    </w:lvl>
    <w:lvl w:ilvl="6" w:tplc="0809000F" w:tentative="1">
      <w:start w:val="1"/>
      <w:numFmt w:val="decimal"/>
      <w:lvlText w:val="%7."/>
      <w:lvlJc w:val="left"/>
      <w:pPr>
        <w:ind w:left="5214" w:hanging="360"/>
      </w:pPr>
    </w:lvl>
    <w:lvl w:ilvl="7" w:tplc="08090019" w:tentative="1">
      <w:start w:val="1"/>
      <w:numFmt w:val="lowerLetter"/>
      <w:lvlText w:val="%8."/>
      <w:lvlJc w:val="left"/>
      <w:pPr>
        <w:ind w:left="5934" w:hanging="360"/>
      </w:pPr>
    </w:lvl>
    <w:lvl w:ilvl="8" w:tplc="0809001B" w:tentative="1">
      <w:start w:val="1"/>
      <w:numFmt w:val="lowerRoman"/>
      <w:lvlText w:val="%9."/>
      <w:lvlJc w:val="right"/>
      <w:pPr>
        <w:ind w:left="6654" w:hanging="180"/>
      </w:pPr>
    </w:lvl>
  </w:abstractNum>
  <w:num w:numId="1">
    <w:abstractNumId w:val="54"/>
  </w:num>
  <w:num w:numId="2">
    <w:abstractNumId w:val="40"/>
  </w:num>
  <w:num w:numId="3">
    <w:abstractNumId w:val="49"/>
  </w:num>
  <w:num w:numId="4">
    <w:abstractNumId w:val="31"/>
  </w:num>
  <w:num w:numId="5">
    <w:abstractNumId w:val="44"/>
  </w:num>
  <w:num w:numId="6">
    <w:abstractNumId w:val="37"/>
  </w:num>
  <w:num w:numId="7">
    <w:abstractNumId w:val="38"/>
  </w:num>
  <w:num w:numId="8">
    <w:abstractNumId w:val="8"/>
  </w:num>
  <w:num w:numId="9">
    <w:abstractNumId w:val="3"/>
  </w:num>
  <w:num w:numId="10">
    <w:abstractNumId w:val="53"/>
  </w:num>
  <w:num w:numId="11">
    <w:abstractNumId w:val="24"/>
  </w:num>
  <w:num w:numId="12">
    <w:abstractNumId w:val="18"/>
  </w:num>
  <w:num w:numId="13">
    <w:abstractNumId w:val="61"/>
  </w:num>
  <w:num w:numId="14">
    <w:abstractNumId w:val="22"/>
  </w:num>
  <w:num w:numId="15">
    <w:abstractNumId w:val="10"/>
  </w:num>
  <w:num w:numId="16">
    <w:abstractNumId w:val="59"/>
  </w:num>
  <w:num w:numId="17">
    <w:abstractNumId w:val="20"/>
  </w:num>
  <w:num w:numId="18">
    <w:abstractNumId w:val="33"/>
  </w:num>
  <w:num w:numId="19">
    <w:abstractNumId w:val="52"/>
  </w:num>
  <w:num w:numId="20">
    <w:abstractNumId w:val="51"/>
  </w:num>
  <w:num w:numId="21">
    <w:abstractNumId w:val="50"/>
  </w:num>
  <w:num w:numId="22">
    <w:abstractNumId w:val="27"/>
  </w:num>
  <w:num w:numId="23">
    <w:abstractNumId w:val="29"/>
  </w:num>
  <w:num w:numId="24">
    <w:abstractNumId w:val="7"/>
  </w:num>
  <w:num w:numId="25">
    <w:abstractNumId w:val="69"/>
  </w:num>
  <w:num w:numId="26">
    <w:abstractNumId w:val="16"/>
  </w:num>
  <w:num w:numId="27">
    <w:abstractNumId w:val="67"/>
  </w:num>
  <w:num w:numId="28">
    <w:abstractNumId w:val="57"/>
  </w:num>
  <w:num w:numId="29">
    <w:abstractNumId w:val="62"/>
  </w:num>
  <w:num w:numId="30">
    <w:abstractNumId w:val="2"/>
  </w:num>
  <w:num w:numId="31">
    <w:abstractNumId w:val="6"/>
  </w:num>
  <w:num w:numId="32">
    <w:abstractNumId w:val="60"/>
  </w:num>
  <w:num w:numId="33">
    <w:abstractNumId w:val="17"/>
  </w:num>
  <w:num w:numId="34">
    <w:abstractNumId w:val="66"/>
  </w:num>
  <w:num w:numId="35">
    <w:abstractNumId w:val="25"/>
  </w:num>
  <w:num w:numId="36">
    <w:abstractNumId w:val="12"/>
  </w:num>
  <w:num w:numId="37">
    <w:abstractNumId w:val="42"/>
  </w:num>
  <w:num w:numId="38">
    <w:abstractNumId w:val="14"/>
  </w:num>
  <w:num w:numId="39">
    <w:abstractNumId w:val="11"/>
  </w:num>
  <w:num w:numId="40">
    <w:abstractNumId w:val="9"/>
  </w:num>
  <w:num w:numId="41">
    <w:abstractNumId w:val="34"/>
  </w:num>
  <w:num w:numId="42">
    <w:abstractNumId w:val="0"/>
  </w:num>
  <w:num w:numId="43">
    <w:abstractNumId w:val="35"/>
  </w:num>
  <w:num w:numId="44">
    <w:abstractNumId w:val="5"/>
  </w:num>
  <w:num w:numId="45">
    <w:abstractNumId w:val="64"/>
  </w:num>
  <w:num w:numId="46">
    <w:abstractNumId w:val="48"/>
  </w:num>
  <w:num w:numId="47">
    <w:abstractNumId w:val="32"/>
  </w:num>
  <w:num w:numId="48">
    <w:abstractNumId w:val="63"/>
  </w:num>
  <w:num w:numId="49">
    <w:abstractNumId w:val="65"/>
  </w:num>
  <w:num w:numId="50">
    <w:abstractNumId w:val="56"/>
  </w:num>
  <w:num w:numId="51">
    <w:abstractNumId w:val="21"/>
  </w:num>
  <w:num w:numId="52">
    <w:abstractNumId w:val="28"/>
  </w:num>
  <w:num w:numId="53">
    <w:abstractNumId w:val="46"/>
  </w:num>
  <w:num w:numId="54">
    <w:abstractNumId w:val="68"/>
  </w:num>
  <w:num w:numId="55">
    <w:abstractNumId w:val="23"/>
  </w:num>
  <w:num w:numId="56">
    <w:abstractNumId w:val="26"/>
  </w:num>
  <w:num w:numId="57">
    <w:abstractNumId w:val="30"/>
  </w:num>
  <w:num w:numId="58">
    <w:abstractNumId w:val="55"/>
  </w:num>
  <w:num w:numId="59">
    <w:abstractNumId w:val="36"/>
  </w:num>
  <w:num w:numId="60">
    <w:abstractNumId w:val="1"/>
  </w:num>
  <w:num w:numId="61">
    <w:abstractNumId w:val="45"/>
  </w:num>
  <w:num w:numId="62">
    <w:abstractNumId w:val="39"/>
  </w:num>
  <w:num w:numId="63">
    <w:abstractNumId w:val="15"/>
  </w:num>
  <w:num w:numId="64">
    <w:abstractNumId w:val="41"/>
  </w:num>
  <w:num w:numId="65">
    <w:abstractNumId w:val="58"/>
  </w:num>
  <w:num w:numId="66">
    <w:abstractNumId w:val="19"/>
  </w:num>
  <w:num w:numId="67">
    <w:abstractNumId w:val="47"/>
  </w:num>
  <w:num w:numId="68">
    <w:abstractNumId w:val="13"/>
  </w:num>
  <w:num w:numId="69">
    <w:abstractNumId w:val="4"/>
  </w:num>
  <w:num w:numId="70">
    <w:abstractNumId w:val="43"/>
  </w:num>
  <w:numIdMacAtCleanup w:val="63"/>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enjamin Fierros">
    <w15:presenceInfo w15:providerId="None" w15:userId="Benjamin Fierro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4288"/>
    <w:rsid w:val="00003D16"/>
    <w:rsid w:val="00004C8B"/>
    <w:rsid w:val="00005045"/>
    <w:rsid w:val="0000542D"/>
    <w:rsid w:val="000076CD"/>
    <w:rsid w:val="00007B5A"/>
    <w:rsid w:val="00010A00"/>
    <w:rsid w:val="000111BE"/>
    <w:rsid w:val="000147F3"/>
    <w:rsid w:val="0002542D"/>
    <w:rsid w:val="000254F9"/>
    <w:rsid w:val="0003172F"/>
    <w:rsid w:val="00036A4C"/>
    <w:rsid w:val="00037DD3"/>
    <w:rsid w:val="0004015E"/>
    <w:rsid w:val="00042908"/>
    <w:rsid w:val="0004486A"/>
    <w:rsid w:val="00051512"/>
    <w:rsid w:val="000542D4"/>
    <w:rsid w:val="000573DD"/>
    <w:rsid w:val="00057749"/>
    <w:rsid w:val="00060670"/>
    <w:rsid w:val="00061899"/>
    <w:rsid w:val="00062285"/>
    <w:rsid w:val="00066A81"/>
    <w:rsid w:val="00070A58"/>
    <w:rsid w:val="000765FB"/>
    <w:rsid w:val="000864B0"/>
    <w:rsid w:val="00090B3E"/>
    <w:rsid w:val="00090F9A"/>
    <w:rsid w:val="0009126E"/>
    <w:rsid w:val="00093D99"/>
    <w:rsid w:val="000957EA"/>
    <w:rsid w:val="000964AC"/>
    <w:rsid w:val="00097288"/>
    <w:rsid w:val="000A1CA2"/>
    <w:rsid w:val="000A5362"/>
    <w:rsid w:val="000A5700"/>
    <w:rsid w:val="000A58FA"/>
    <w:rsid w:val="000A7823"/>
    <w:rsid w:val="000B2BF7"/>
    <w:rsid w:val="000B3F8D"/>
    <w:rsid w:val="000B657D"/>
    <w:rsid w:val="000C1B06"/>
    <w:rsid w:val="000C1B36"/>
    <w:rsid w:val="000C1E02"/>
    <w:rsid w:val="000C5DC9"/>
    <w:rsid w:val="000D3A3E"/>
    <w:rsid w:val="000D3F74"/>
    <w:rsid w:val="000D4D3D"/>
    <w:rsid w:val="000D5762"/>
    <w:rsid w:val="000D6119"/>
    <w:rsid w:val="000D6DCF"/>
    <w:rsid w:val="000E4C0C"/>
    <w:rsid w:val="000E7FE9"/>
    <w:rsid w:val="000F3163"/>
    <w:rsid w:val="000F41ED"/>
    <w:rsid w:val="000F7334"/>
    <w:rsid w:val="0010609C"/>
    <w:rsid w:val="0011687B"/>
    <w:rsid w:val="00117634"/>
    <w:rsid w:val="001204A5"/>
    <w:rsid w:val="001212B8"/>
    <w:rsid w:val="00121C5D"/>
    <w:rsid w:val="00125EF2"/>
    <w:rsid w:val="001263CB"/>
    <w:rsid w:val="001301AF"/>
    <w:rsid w:val="00130F8A"/>
    <w:rsid w:val="0013182E"/>
    <w:rsid w:val="00131C3B"/>
    <w:rsid w:val="00133F8C"/>
    <w:rsid w:val="0013561D"/>
    <w:rsid w:val="001366C8"/>
    <w:rsid w:val="00137A26"/>
    <w:rsid w:val="00141085"/>
    <w:rsid w:val="001441FC"/>
    <w:rsid w:val="001510C7"/>
    <w:rsid w:val="001520DE"/>
    <w:rsid w:val="001546EB"/>
    <w:rsid w:val="001553CE"/>
    <w:rsid w:val="00156B03"/>
    <w:rsid w:val="00156C21"/>
    <w:rsid w:val="00157B7A"/>
    <w:rsid w:val="001618A5"/>
    <w:rsid w:val="0016453C"/>
    <w:rsid w:val="00165E0E"/>
    <w:rsid w:val="0017106B"/>
    <w:rsid w:val="00172A4F"/>
    <w:rsid w:val="001736B6"/>
    <w:rsid w:val="00173DEA"/>
    <w:rsid w:val="00174055"/>
    <w:rsid w:val="001845F8"/>
    <w:rsid w:val="00184DCB"/>
    <w:rsid w:val="001903BB"/>
    <w:rsid w:val="00191471"/>
    <w:rsid w:val="00191F4B"/>
    <w:rsid w:val="00197D74"/>
    <w:rsid w:val="001A3F6D"/>
    <w:rsid w:val="001A5A3C"/>
    <w:rsid w:val="001A65DF"/>
    <w:rsid w:val="001B2B8A"/>
    <w:rsid w:val="001B4432"/>
    <w:rsid w:val="001B55FE"/>
    <w:rsid w:val="001B56DE"/>
    <w:rsid w:val="001B5BE1"/>
    <w:rsid w:val="001C03CE"/>
    <w:rsid w:val="001C10A2"/>
    <w:rsid w:val="001C358E"/>
    <w:rsid w:val="001C4D34"/>
    <w:rsid w:val="001C543D"/>
    <w:rsid w:val="001C5AAE"/>
    <w:rsid w:val="001D6A93"/>
    <w:rsid w:val="001E3641"/>
    <w:rsid w:val="001E532E"/>
    <w:rsid w:val="001F00E3"/>
    <w:rsid w:val="001F0F3D"/>
    <w:rsid w:val="001F1D44"/>
    <w:rsid w:val="001F294D"/>
    <w:rsid w:val="001F2D95"/>
    <w:rsid w:val="001F3CF2"/>
    <w:rsid w:val="001F7A14"/>
    <w:rsid w:val="002036A8"/>
    <w:rsid w:val="00205458"/>
    <w:rsid w:val="002068E8"/>
    <w:rsid w:val="00206D41"/>
    <w:rsid w:val="002120A0"/>
    <w:rsid w:val="00213EBA"/>
    <w:rsid w:val="00215538"/>
    <w:rsid w:val="00215BFE"/>
    <w:rsid w:val="002163F1"/>
    <w:rsid w:val="00216A36"/>
    <w:rsid w:val="00220BB1"/>
    <w:rsid w:val="00221213"/>
    <w:rsid w:val="002226D6"/>
    <w:rsid w:val="0023196A"/>
    <w:rsid w:val="00232A5D"/>
    <w:rsid w:val="002336C3"/>
    <w:rsid w:val="00237F72"/>
    <w:rsid w:val="00242497"/>
    <w:rsid w:val="00244B87"/>
    <w:rsid w:val="00244F6E"/>
    <w:rsid w:val="002450B1"/>
    <w:rsid w:val="00246276"/>
    <w:rsid w:val="00247EFB"/>
    <w:rsid w:val="00252CB5"/>
    <w:rsid w:val="00253923"/>
    <w:rsid w:val="00254106"/>
    <w:rsid w:val="00254F91"/>
    <w:rsid w:val="00255BAA"/>
    <w:rsid w:val="0026024C"/>
    <w:rsid w:val="00260C78"/>
    <w:rsid w:val="00263006"/>
    <w:rsid w:val="0026609E"/>
    <w:rsid w:val="002666F5"/>
    <w:rsid w:val="0026766E"/>
    <w:rsid w:val="00267974"/>
    <w:rsid w:val="00270031"/>
    <w:rsid w:val="002734F4"/>
    <w:rsid w:val="002769B4"/>
    <w:rsid w:val="002777AA"/>
    <w:rsid w:val="002777CC"/>
    <w:rsid w:val="002803BD"/>
    <w:rsid w:val="00280436"/>
    <w:rsid w:val="0028126A"/>
    <w:rsid w:val="002819E7"/>
    <w:rsid w:val="00282907"/>
    <w:rsid w:val="002854DF"/>
    <w:rsid w:val="002911D0"/>
    <w:rsid w:val="002939DB"/>
    <w:rsid w:val="00293E2B"/>
    <w:rsid w:val="002A0474"/>
    <w:rsid w:val="002A0837"/>
    <w:rsid w:val="002A2634"/>
    <w:rsid w:val="002A26ED"/>
    <w:rsid w:val="002A505B"/>
    <w:rsid w:val="002A5D59"/>
    <w:rsid w:val="002A5DA6"/>
    <w:rsid w:val="002B3DC4"/>
    <w:rsid w:val="002B473F"/>
    <w:rsid w:val="002B6FE8"/>
    <w:rsid w:val="002C1838"/>
    <w:rsid w:val="002D0746"/>
    <w:rsid w:val="002D0B8B"/>
    <w:rsid w:val="002D0E55"/>
    <w:rsid w:val="002D5C4A"/>
    <w:rsid w:val="002D5DAB"/>
    <w:rsid w:val="002D698D"/>
    <w:rsid w:val="002D7658"/>
    <w:rsid w:val="002E30C5"/>
    <w:rsid w:val="002E60C6"/>
    <w:rsid w:val="002E67A0"/>
    <w:rsid w:val="002F209B"/>
    <w:rsid w:val="002F45A1"/>
    <w:rsid w:val="002F4A2E"/>
    <w:rsid w:val="002F6CDF"/>
    <w:rsid w:val="002F7401"/>
    <w:rsid w:val="002F7BFE"/>
    <w:rsid w:val="00301094"/>
    <w:rsid w:val="00302EE5"/>
    <w:rsid w:val="003043EE"/>
    <w:rsid w:val="00304458"/>
    <w:rsid w:val="00304641"/>
    <w:rsid w:val="00304EC5"/>
    <w:rsid w:val="00305568"/>
    <w:rsid w:val="00305603"/>
    <w:rsid w:val="0031041D"/>
    <w:rsid w:val="003107E5"/>
    <w:rsid w:val="00313029"/>
    <w:rsid w:val="00313389"/>
    <w:rsid w:val="003142A0"/>
    <w:rsid w:val="003161BC"/>
    <w:rsid w:val="00320381"/>
    <w:rsid w:val="00322A89"/>
    <w:rsid w:val="003242B4"/>
    <w:rsid w:val="0032719B"/>
    <w:rsid w:val="003360CE"/>
    <w:rsid w:val="00336F19"/>
    <w:rsid w:val="003404F2"/>
    <w:rsid w:val="00340596"/>
    <w:rsid w:val="003408A0"/>
    <w:rsid w:val="00342BA1"/>
    <w:rsid w:val="003446B6"/>
    <w:rsid w:val="00346932"/>
    <w:rsid w:val="00347268"/>
    <w:rsid w:val="0034727F"/>
    <w:rsid w:val="003510A0"/>
    <w:rsid w:val="00353F7B"/>
    <w:rsid w:val="00355AFA"/>
    <w:rsid w:val="00356512"/>
    <w:rsid w:val="00356CCB"/>
    <w:rsid w:val="00357FCD"/>
    <w:rsid w:val="00362DE1"/>
    <w:rsid w:val="00362F83"/>
    <w:rsid w:val="00363334"/>
    <w:rsid w:val="003641CE"/>
    <w:rsid w:val="00371B1C"/>
    <w:rsid w:val="00372F8D"/>
    <w:rsid w:val="003752FF"/>
    <w:rsid w:val="00375DB0"/>
    <w:rsid w:val="00376BDC"/>
    <w:rsid w:val="0037756B"/>
    <w:rsid w:val="00382F68"/>
    <w:rsid w:val="00383BC7"/>
    <w:rsid w:val="0038408C"/>
    <w:rsid w:val="00384347"/>
    <w:rsid w:val="0038449A"/>
    <w:rsid w:val="00385736"/>
    <w:rsid w:val="00386EEF"/>
    <w:rsid w:val="00391C1E"/>
    <w:rsid w:val="00393006"/>
    <w:rsid w:val="00394E05"/>
    <w:rsid w:val="00396E06"/>
    <w:rsid w:val="003A0EBB"/>
    <w:rsid w:val="003A112B"/>
    <w:rsid w:val="003A1409"/>
    <w:rsid w:val="003A14A1"/>
    <w:rsid w:val="003A7BB6"/>
    <w:rsid w:val="003B0E0B"/>
    <w:rsid w:val="003B12CC"/>
    <w:rsid w:val="003B1C13"/>
    <w:rsid w:val="003B25D2"/>
    <w:rsid w:val="003B2620"/>
    <w:rsid w:val="003B2939"/>
    <w:rsid w:val="003B34E4"/>
    <w:rsid w:val="003B43F2"/>
    <w:rsid w:val="003B5229"/>
    <w:rsid w:val="003B5980"/>
    <w:rsid w:val="003B65E1"/>
    <w:rsid w:val="003C2390"/>
    <w:rsid w:val="003D0325"/>
    <w:rsid w:val="003D15E8"/>
    <w:rsid w:val="003D4697"/>
    <w:rsid w:val="003D5E85"/>
    <w:rsid w:val="003E2728"/>
    <w:rsid w:val="003E734F"/>
    <w:rsid w:val="003E7B7F"/>
    <w:rsid w:val="003F06A6"/>
    <w:rsid w:val="003F6792"/>
    <w:rsid w:val="003F76F3"/>
    <w:rsid w:val="00402F87"/>
    <w:rsid w:val="00403B40"/>
    <w:rsid w:val="00406549"/>
    <w:rsid w:val="004118AC"/>
    <w:rsid w:val="00422DA2"/>
    <w:rsid w:val="004246E2"/>
    <w:rsid w:val="00425733"/>
    <w:rsid w:val="00426DFD"/>
    <w:rsid w:val="00426EB9"/>
    <w:rsid w:val="004310A0"/>
    <w:rsid w:val="00431E9F"/>
    <w:rsid w:val="0043398E"/>
    <w:rsid w:val="0044308A"/>
    <w:rsid w:val="00444644"/>
    <w:rsid w:val="004448D1"/>
    <w:rsid w:val="0044516A"/>
    <w:rsid w:val="004453F2"/>
    <w:rsid w:val="00445762"/>
    <w:rsid w:val="00446561"/>
    <w:rsid w:val="00446BFB"/>
    <w:rsid w:val="00452843"/>
    <w:rsid w:val="00453F1F"/>
    <w:rsid w:val="00454B3A"/>
    <w:rsid w:val="00455050"/>
    <w:rsid w:val="00456694"/>
    <w:rsid w:val="00456A17"/>
    <w:rsid w:val="00461508"/>
    <w:rsid w:val="00461F37"/>
    <w:rsid w:val="00462F6E"/>
    <w:rsid w:val="00464422"/>
    <w:rsid w:val="004650D6"/>
    <w:rsid w:val="0047111F"/>
    <w:rsid w:val="00476FDA"/>
    <w:rsid w:val="004809E3"/>
    <w:rsid w:val="00480DE0"/>
    <w:rsid w:val="0048305B"/>
    <w:rsid w:val="00483277"/>
    <w:rsid w:val="0048442E"/>
    <w:rsid w:val="00493B2A"/>
    <w:rsid w:val="00494D0A"/>
    <w:rsid w:val="00496418"/>
    <w:rsid w:val="004A0506"/>
    <w:rsid w:val="004A5554"/>
    <w:rsid w:val="004B1B22"/>
    <w:rsid w:val="004B1F65"/>
    <w:rsid w:val="004B28A2"/>
    <w:rsid w:val="004B468D"/>
    <w:rsid w:val="004B65F7"/>
    <w:rsid w:val="004B7FDA"/>
    <w:rsid w:val="004C0455"/>
    <w:rsid w:val="004C174E"/>
    <w:rsid w:val="004C3836"/>
    <w:rsid w:val="004C3F1A"/>
    <w:rsid w:val="004C4047"/>
    <w:rsid w:val="004C4441"/>
    <w:rsid w:val="004C7E1E"/>
    <w:rsid w:val="004C7E21"/>
    <w:rsid w:val="004D01A4"/>
    <w:rsid w:val="004D05F2"/>
    <w:rsid w:val="004D074B"/>
    <w:rsid w:val="004D12DF"/>
    <w:rsid w:val="004D14CB"/>
    <w:rsid w:val="004D3D44"/>
    <w:rsid w:val="004D4E11"/>
    <w:rsid w:val="004D6619"/>
    <w:rsid w:val="004E6183"/>
    <w:rsid w:val="004E6325"/>
    <w:rsid w:val="004F111E"/>
    <w:rsid w:val="004F553B"/>
    <w:rsid w:val="004F63C6"/>
    <w:rsid w:val="00504E2D"/>
    <w:rsid w:val="00505DED"/>
    <w:rsid w:val="00510626"/>
    <w:rsid w:val="005117C8"/>
    <w:rsid w:val="005118F0"/>
    <w:rsid w:val="00511F11"/>
    <w:rsid w:val="005138DD"/>
    <w:rsid w:val="00522F96"/>
    <w:rsid w:val="005256B7"/>
    <w:rsid w:val="00525A9F"/>
    <w:rsid w:val="005274D7"/>
    <w:rsid w:val="00531C85"/>
    <w:rsid w:val="00533187"/>
    <w:rsid w:val="00534585"/>
    <w:rsid w:val="005346AC"/>
    <w:rsid w:val="00534875"/>
    <w:rsid w:val="00537053"/>
    <w:rsid w:val="005372EF"/>
    <w:rsid w:val="00540909"/>
    <w:rsid w:val="005410F0"/>
    <w:rsid w:val="00542866"/>
    <w:rsid w:val="00542CE5"/>
    <w:rsid w:val="00543B45"/>
    <w:rsid w:val="00544BBC"/>
    <w:rsid w:val="00551882"/>
    <w:rsid w:val="00551F81"/>
    <w:rsid w:val="005528BA"/>
    <w:rsid w:val="00554E24"/>
    <w:rsid w:val="00554FCF"/>
    <w:rsid w:val="005569EC"/>
    <w:rsid w:val="0056156E"/>
    <w:rsid w:val="005619E7"/>
    <w:rsid w:val="00562261"/>
    <w:rsid w:val="005633DD"/>
    <w:rsid w:val="00564499"/>
    <w:rsid w:val="00564F3E"/>
    <w:rsid w:val="005657CD"/>
    <w:rsid w:val="00571C38"/>
    <w:rsid w:val="00574902"/>
    <w:rsid w:val="00574E21"/>
    <w:rsid w:val="005841D7"/>
    <w:rsid w:val="005871FF"/>
    <w:rsid w:val="005903DB"/>
    <w:rsid w:val="00592BEC"/>
    <w:rsid w:val="00597D2D"/>
    <w:rsid w:val="00597E1C"/>
    <w:rsid w:val="005A3957"/>
    <w:rsid w:val="005A588A"/>
    <w:rsid w:val="005A61AF"/>
    <w:rsid w:val="005A63F2"/>
    <w:rsid w:val="005A676C"/>
    <w:rsid w:val="005A6F8C"/>
    <w:rsid w:val="005B0BAF"/>
    <w:rsid w:val="005B2C88"/>
    <w:rsid w:val="005B3267"/>
    <w:rsid w:val="005B334C"/>
    <w:rsid w:val="005B52F3"/>
    <w:rsid w:val="005B60EF"/>
    <w:rsid w:val="005B6B9B"/>
    <w:rsid w:val="005C06CC"/>
    <w:rsid w:val="005C0CB8"/>
    <w:rsid w:val="005C2A8E"/>
    <w:rsid w:val="005C3105"/>
    <w:rsid w:val="005D0549"/>
    <w:rsid w:val="005D1745"/>
    <w:rsid w:val="005D5716"/>
    <w:rsid w:val="005D620D"/>
    <w:rsid w:val="005E05A7"/>
    <w:rsid w:val="005E0716"/>
    <w:rsid w:val="005E117D"/>
    <w:rsid w:val="005E305D"/>
    <w:rsid w:val="005E3CCE"/>
    <w:rsid w:val="005E5232"/>
    <w:rsid w:val="005E5524"/>
    <w:rsid w:val="005E618C"/>
    <w:rsid w:val="005E6364"/>
    <w:rsid w:val="005E7713"/>
    <w:rsid w:val="005F1E23"/>
    <w:rsid w:val="005F2200"/>
    <w:rsid w:val="005F566C"/>
    <w:rsid w:val="005F6399"/>
    <w:rsid w:val="00600B68"/>
    <w:rsid w:val="006019C5"/>
    <w:rsid w:val="00602C3A"/>
    <w:rsid w:val="006049B7"/>
    <w:rsid w:val="00605AB5"/>
    <w:rsid w:val="00605D4F"/>
    <w:rsid w:val="00611623"/>
    <w:rsid w:val="00611C6A"/>
    <w:rsid w:val="00613C63"/>
    <w:rsid w:val="006140C1"/>
    <w:rsid w:val="00617324"/>
    <w:rsid w:val="00617925"/>
    <w:rsid w:val="0062529E"/>
    <w:rsid w:val="00627823"/>
    <w:rsid w:val="00633C1F"/>
    <w:rsid w:val="006358E6"/>
    <w:rsid w:val="006404E3"/>
    <w:rsid w:val="00645516"/>
    <w:rsid w:val="0064647A"/>
    <w:rsid w:val="00650333"/>
    <w:rsid w:val="00650D9E"/>
    <w:rsid w:val="00650E73"/>
    <w:rsid w:val="0065134F"/>
    <w:rsid w:val="006550A7"/>
    <w:rsid w:val="0065687B"/>
    <w:rsid w:val="00656906"/>
    <w:rsid w:val="00660001"/>
    <w:rsid w:val="00663257"/>
    <w:rsid w:val="00665252"/>
    <w:rsid w:val="00667CCD"/>
    <w:rsid w:val="00671478"/>
    <w:rsid w:val="006725DC"/>
    <w:rsid w:val="00675A37"/>
    <w:rsid w:val="00677695"/>
    <w:rsid w:val="006817E1"/>
    <w:rsid w:val="00681D4B"/>
    <w:rsid w:val="00681F64"/>
    <w:rsid w:val="00682415"/>
    <w:rsid w:val="006856C5"/>
    <w:rsid w:val="0068574F"/>
    <w:rsid w:val="00686B52"/>
    <w:rsid w:val="00687F4C"/>
    <w:rsid w:val="00694344"/>
    <w:rsid w:val="0069636A"/>
    <w:rsid w:val="006963E1"/>
    <w:rsid w:val="006A0E6E"/>
    <w:rsid w:val="006A125E"/>
    <w:rsid w:val="006A2C17"/>
    <w:rsid w:val="006A3F3D"/>
    <w:rsid w:val="006A5E81"/>
    <w:rsid w:val="006A6ED3"/>
    <w:rsid w:val="006A7C12"/>
    <w:rsid w:val="006B1048"/>
    <w:rsid w:val="006B1C6C"/>
    <w:rsid w:val="006B27EB"/>
    <w:rsid w:val="006B4051"/>
    <w:rsid w:val="006B462C"/>
    <w:rsid w:val="006B47C9"/>
    <w:rsid w:val="006B51FA"/>
    <w:rsid w:val="006B5C7C"/>
    <w:rsid w:val="006B6E1C"/>
    <w:rsid w:val="006C140B"/>
    <w:rsid w:val="006C2616"/>
    <w:rsid w:val="006C4C73"/>
    <w:rsid w:val="006D05CA"/>
    <w:rsid w:val="006D1D2C"/>
    <w:rsid w:val="006D4607"/>
    <w:rsid w:val="006D4A1A"/>
    <w:rsid w:val="006D6491"/>
    <w:rsid w:val="006E038C"/>
    <w:rsid w:val="006E0711"/>
    <w:rsid w:val="006E0D93"/>
    <w:rsid w:val="006E4898"/>
    <w:rsid w:val="006F175D"/>
    <w:rsid w:val="006F243E"/>
    <w:rsid w:val="006F3DFF"/>
    <w:rsid w:val="006F3EFC"/>
    <w:rsid w:val="006F544E"/>
    <w:rsid w:val="00700A85"/>
    <w:rsid w:val="0070519F"/>
    <w:rsid w:val="007079FF"/>
    <w:rsid w:val="0072224D"/>
    <w:rsid w:val="00722F77"/>
    <w:rsid w:val="00723FE3"/>
    <w:rsid w:val="0072414D"/>
    <w:rsid w:val="0072611B"/>
    <w:rsid w:val="00726B1C"/>
    <w:rsid w:val="00735495"/>
    <w:rsid w:val="0073621C"/>
    <w:rsid w:val="007362A8"/>
    <w:rsid w:val="00736698"/>
    <w:rsid w:val="00737AC8"/>
    <w:rsid w:val="00742E2C"/>
    <w:rsid w:val="00744A1B"/>
    <w:rsid w:val="0074541A"/>
    <w:rsid w:val="00747849"/>
    <w:rsid w:val="0075269A"/>
    <w:rsid w:val="0075291F"/>
    <w:rsid w:val="0075325F"/>
    <w:rsid w:val="007572CD"/>
    <w:rsid w:val="007603E9"/>
    <w:rsid w:val="007636BC"/>
    <w:rsid w:val="00765C62"/>
    <w:rsid w:val="00771BBA"/>
    <w:rsid w:val="007735B2"/>
    <w:rsid w:val="0077581D"/>
    <w:rsid w:val="00776589"/>
    <w:rsid w:val="0077660A"/>
    <w:rsid w:val="00777905"/>
    <w:rsid w:val="007809FC"/>
    <w:rsid w:val="00784F28"/>
    <w:rsid w:val="00785302"/>
    <w:rsid w:val="007855C2"/>
    <w:rsid w:val="00785EA3"/>
    <w:rsid w:val="00786428"/>
    <w:rsid w:val="0078745D"/>
    <w:rsid w:val="007973F5"/>
    <w:rsid w:val="007A0481"/>
    <w:rsid w:val="007A11AA"/>
    <w:rsid w:val="007A3A09"/>
    <w:rsid w:val="007A48DD"/>
    <w:rsid w:val="007A71E6"/>
    <w:rsid w:val="007A72D4"/>
    <w:rsid w:val="007A77D2"/>
    <w:rsid w:val="007B03EA"/>
    <w:rsid w:val="007B2589"/>
    <w:rsid w:val="007B25E1"/>
    <w:rsid w:val="007B611B"/>
    <w:rsid w:val="007C02D3"/>
    <w:rsid w:val="007C2065"/>
    <w:rsid w:val="007D434D"/>
    <w:rsid w:val="007D51CE"/>
    <w:rsid w:val="007D548B"/>
    <w:rsid w:val="007E0845"/>
    <w:rsid w:val="007E122B"/>
    <w:rsid w:val="007E1FAB"/>
    <w:rsid w:val="007E3879"/>
    <w:rsid w:val="007E507A"/>
    <w:rsid w:val="007E5DE2"/>
    <w:rsid w:val="007E6BFC"/>
    <w:rsid w:val="007F075C"/>
    <w:rsid w:val="007F0A28"/>
    <w:rsid w:val="007F492E"/>
    <w:rsid w:val="007F5098"/>
    <w:rsid w:val="00801931"/>
    <w:rsid w:val="00802BED"/>
    <w:rsid w:val="00802C68"/>
    <w:rsid w:val="00804CF9"/>
    <w:rsid w:val="00810821"/>
    <w:rsid w:val="00812FF8"/>
    <w:rsid w:val="00823217"/>
    <w:rsid w:val="0082619D"/>
    <w:rsid w:val="00826FFC"/>
    <w:rsid w:val="00827E81"/>
    <w:rsid w:val="008321AC"/>
    <w:rsid w:val="0083345B"/>
    <w:rsid w:val="008415BA"/>
    <w:rsid w:val="00842A6F"/>
    <w:rsid w:val="0084494E"/>
    <w:rsid w:val="00845AED"/>
    <w:rsid w:val="0085345D"/>
    <w:rsid w:val="008541F5"/>
    <w:rsid w:val="0085531B"/>
    <w:rsid w:val="008579A2"/>
    <w:rsid w:val="00860046"/>
    <w:rsid w:val="00861735"/>
    <w:rsid w:val="00861B2D"/>
    <w:rsid w:val="00861D37"/>
    <w:rsid w:val="00861F05"/>
    <w:rsid w:val="00863562"/>
    <w:rsid w:val="008719E9"/>
    <w:rsid w:val="00871E49"/>
    <w:rsid w:val="008721F5"/>
    <w:rsid w:val="0087228B"/>
    <w:rsid w:val="00874DA1"/>
    <w:rsid w:val="00880D1A"/>
    <w:rsid w:val="00881E67"/>
    <w:rsid w:val="00883CD9"/>
    <w:rsid w:val="00884E73"/>
    <w:rsid w:val="00885B82"/>
    <w:rsid w:val="00891A38"/>
    <w:rsid w:val="00891A43"/>
    <w:rsid w:val="00894AE9"/>
    <w:rsid w:val="00895B94"/>
    <w:rsid w:val="00896254"/>
    <w:rsid w:val="00897507"/>
    <w:rsid w:val="008A24BA"/>
    <w:rsid w:val="008A27F5"/>
    <w:rsid w:val="008A4064"/>
    <w:rsid w:val="008A5810"/>
    <w:rsid w:val="008A5E71"/>
    <w:rsid w:val="008A79BB"/>
    <w:rsid w:val="008B07D3"/>
    <w:rsid w:val="008B1323"/>
    <w:rsid w:val="008B16EA"/>
    <w:rsid w:val="008B2886"/>
    <w:rsid w:val="008B38B4"/>
    <w:rsid w:val="008C3509"/>
    <w:rsid w:val="008C5260"/>
    <w:rsid w:val="008C6521"/>
    <w:rsid w:val="008C6AB0"/>
    <w:rsid w:val="008C6C02"/>
    <w:rsid w:val="008C6CA1"/>
    <w:rsid w:val="008D1B3A"/>
    <w:rsid w:val="008D4450"/>
    <w:rsid w:val="008D65E2"/>
    <w:rsid w:val="008D78EA"/>
    <w:rsid w:val="008D7D1C"/>
    <w:rsid w:val="008E208E"/>
    <w:rsid w:val="008E2152"/>
    <w:rsid w:val="008E295E"/>
    <w:rsid w:val="008F032D"/>
    <w:rsid w:val="008F2106"/>
    <w:rsid w:val="008F3670"/>
    <w:rsid w:val="009014D4"/>
    <w:rsid w:val="00902A19"/>
    <w:rsid w:val="00910C81"/>
    <w:rsid w:val="009114F2"/>
    <w:rsid w:val="009125E1"/>
    <w:rsid w:val="00920F60"/>
    <w:rsid w:val="00921A3D"/>
    <w:rsid w:val="00923756"/>
    <w:rsid w:val="00927C37"/>
    <w:rsid w:val="00931941"/>
    <w:rsid w:val="00936406"/>
    <w:rsid w:val="00940296"/>
    <w:rsid w:val="0094418D"/>
    <w:rsid w:val="00946264"/>
    <w:rsid w:val="00947173"/>
    <w:rsid w:val="0094751E"/>
    <w:rsid w:val="00950957"/>
    <w:rsid w:val="00951159"/>
    <w:rsid w:val="009516AF"/>
    <w:rsid w:val="009519F0"/>
    <w:rsid w:val="00951BBB"/>
    <w:rsid w:val="00954954"/>
    <w:rsid w:val="0095495D"/>
    <w:rsid w:val="00954F45"/>
    <w:rsid w:val="00962BF6"/>
    <w:rsid w:val="00964003"/>
    <w:rsid w:val="0096752A"/>
    <w:rsid w:val="00967B2B"/>
    <w:rsid w:val="00973266"/>
    <w:rsid w:val="00973C7F"/>
    <w:rsid w:val="009752F6"/>
    <w:rsid w:val="00975B00"/>
    <w:rsid w:val="00981DFF"/>
    <w:rsid w:val="009858C3"/>
    <w:rsid w:val="0099259E"/>
    <w:rsid w:val="009933CF"/>
    <w:rsid w:val="0099481D"/>
    <w:rsid w:val="00996913"/>
    <w:rsid w:val="009A34F3"/>
    <w:rsid w:val="009A40DC"/>
    <w:rsid w:val="009B08D6"/>
    <w:rsid w:val="009B1330"/>
    <w:rsid w:val="009B38E4"/>
    <w:rsid w:val="009B7738"/>
    <w:rsid w:val="009C2DD0"/>
    <w:rsid w:val="009C41B8"/>
    <w:rsid w:val="009C790E"/>
    <w:rsid w:val="009D2336"/>
    <w:rsid w:val="009D26B2"/>
    <w:rsid w:val="009D59E8"/>
    <w:rsid w:val="009E039E"/>
    <w:rsid w:val="009E25D9"/>
    <w:rsid w:val="009E2FB8"/>
    <w:rsid w:val="009E3497"/>
    <w:rsid w:val="009E380A"/>
    <w:rsid w:val="009E6B21"/>
    <w:rsid w:val="009F6CFA"/>
    <w:rsid w:val="009F7209"/>
    <w:rsid w:val="009F7DDB"/>
    <w:rsid w:val="00A000FE"/>
    <w:rsid w:val="00A00E26"/>
    <w:rsid w:val="00A0285D"/>
    <w:rsid w:val="00A0462D"/>
    <w:rsid w:val="00A04DBB"/>
    <w:rsid w:val="00A06BB5"/>
    <w:rsid w:val="00A111B0"/>
    <w:rsid w:val="00A11EB5"/>
    <w:rsid w:val="00A12DAD"/>
    <w:rsid w:val="00A14012"/>
    <w:rsid w:val="00A1491E"/>
    <w:rsid w:val="00A25C40"/>
    <w:rsid w:val="00A26D53"/>
    <w:rsid w:val="00A30447"/>
    <w:rsid w:val="00A31BF6"/>
    <w:rsid w:val="00A352E0"/>
    <w:rsid w:val="00A40F6B"/>
    <w:rsid w:val="00A423A5"/>
    <w:rsid w:val="00A43D45"/>
    <w:rsid w:val="00A4436A"/>
    <w:rsid w:val="00A45143"/>
    <w:rsid w:val="00A45BA6"/>
    <w:rsid w:val="00A53D44"/>
    <w:rsid w:val="00A54756"/>
    <w:rsid w:val="00A55311"/>
    <w:rsid w:val="00A55433"/>
    <w:rsid w:val="00A57A2A"/>
    <w:rsid w:val="00A64104"/>
    <w:rsid w:val="00A67BC0"/>
    <w:rsid w:val="00A7324A"/>
    <w:rsid w:val="00A74764"/>
    <w:rsid w:val="00A77888"/>
    <w:rsid w:val="00A77978"/>
    <w:rsid w:val="00A837D7"/>
    <w:rsid w:val="00A85BA9"/>
    <w:rsid w:val="00A969F5"/>
    <w:rsid w:val="00AA0199"/>
    <w:rsid w:val="00AA134E"/>
    <w:rsid w:val="00AA1AE8"/>
    <w:rsid w:val="00AA2EE4"/>
    <w:rsid w:val="00AA33D1"/>
    <w:rsid w:val="00AA3FA9"/>
    <w:rsid w:val="00AA4FAF"/>
    <w:rsid w:val="00AA507B"/>
    <w:rsid w:val="00AB18FA"/>
    <w:rsid w:val="00AB3662"/>
    <w:rsid w:val="00AB73D2"/>
    <w:rsid w:val="00AB79BD"/>
    <w:rsid w:val="00AB7F7D"/>
    <w:rsid w:val="00AC4F54"/>
    <w:rsid w:val="00AC60A0"/>
    <w:rsid w:val="00AC755C"/>
    <w:rsid w:val="00AD2CAD"/>
    <w:rsid w:val="00AD44C5"/>
    <w:rsid w:val="00AD46B1"/>
    <w:rsid w:val="00AD7D38"/>
    <w:rsid w:val="00AE11C6"/>
    <w:rsid w:val="00AE1B69"/>
    <w:rsid w:val="00AE429D"/>
    <w:rsid w:val="00AE5D3F"/>
    <w:rsid w:val="00AE6B1C"/>
    <w:rsid w:val="00AE6EDD"/>
    <w:rsid w:val="00AE7200"/>
    <w:rsid w:val="00AE752C"/>
    <w:rsid w:val="00AE7BA4"/>
    <w:rsid w:val="00AF1F9E"/>
    <w:rsid w:val="00AF36AC"/>
    <w:rsid w:val="00AF5E5D"/>
    <w:rsid w:val="00AF6836"/>
    <w:rsid w:val="00B00042"/>
    <w:rsid w:val="00B0601C"/>
    <w:rsid w:val="00B07363"/>
    <w:rsid w:val="00B10D1A"/>
    <w:rsid w:val="00B13255"/>
    <w:rsid w:val="00B16D6B"/>
    <w:rsid w:val="00B16EFC"/>
    <w:rsid w:val="00B178AE"/>
    <w:rsid w:val="00B251B2"/>
    <w:rsid w:val="00B25A43"/>
    <w:rsid w:val="00B33073"/>
    <w:rsid w:val="00B3414B"/>
    <w:rsid w:val="00B3464E"/>
    <w:rsid w:val="00B352A1"/>
    <w:rsid w:val="00B357DF"/>
    <w:rsid w:val="00B3712C"/>
    <w:rsid w:val="00B43EB2"/>
    <w:rsid w:val="00B457F9"/>
    <w:rsid w:val="00B45C31"/>
    <w:rsid w:val="00B477E1"/>
    <w:rsid w:val="00B5028C"/>
    <w:rsid w:val="00B51E7E"/>
    <w:rsid w:val="00B52E32"/>
    <w:rsid w:val="00B55DB2"/>
    <w:rsid w:val="00B65A13"/>
    <w:rsid w:val="00B65D8E"/>
    <w:rsid w:val="00B6784B"/>
    <w:rsid w:val="00B720F7"/>
    <w:rsid w:val="00B754A4"/>
    <w:rsid w:val="00B756C9"/>
    <w:rsid w:val="00B75C61"/>
    <w:rsid w:val="00B80034"/>
    <w:rsid w:val="00B82B4B"/>
    <w:rsid w:val="00B82EE3"/>
    <w:rsid w:val="00B83408"/>
    <w:rsid w:val="00B8692E"/>
    <w:rsid w:val="00B86C43"/>
    <w:rsid w:val="00B87BCF"/>
    <w:rsid w:val="00B90FE8"/>
    <w:rsid w:val="00B920AA"/>
    <w:rsid w:val="00B923A1"/>
    <w:rsid w:val="00B93EAA"/>
    <w:rsid w:val="00B93FD5"/>
    <w:rsid w:val="00B966F8"/>
    <w:rsid w:val="00BA0C4C"/>
    <w:rsid w:val="00BA12F4"/>
    <w:rsid w:val="00BA2396"/>
    <w:rsid w:val="00BA5AA9"/>
    <w:rsid w:val="00BA7161"/>
    <w:rsid w:val="00BB1132"/>
    <w:rsid w:val="00BB3BB6"/>
    <w:rsid w:val="00BB4DCA"/>
    <w:rsid w:val="00BB5A9E"/>
    <w:rsid w:val="00BB5B16"/>
    <w:rsid w:val="00BB7C56"/>
    <w:rsid w:val="00BC135B"/>
    <w:rsid w:val="00BC2121"/>
    <w:rsid w:val="00BC24B7"/>
    <w:rsid w:val="00BD145D"/>
    <w:rsid w:val="00BD3C7C"/>
    <w:rsid w:val="00BE006C"/>
    <w:rsid w:val="00BF1763"/>
    <w:rsid w:val="00BF17D4"/>
    <w:rsid w:val="00BF190C"/>
    <w:rsid w:val="00BF1E2A"/>
    <w:rsid w:val="00BF2714"/>
    <w:rsid w:val="00BF35BF"/>
    <w:rsid w:val="00BF562D"/>
    <w:rsid w:val="00BF57B5"/>
    <w:rsid w:val="00C04A15"/>
    <w:rsid w:val="00C05360"/>
    <w:rsid w:val="00C05B09"/>
    <w:rsid w:val="00C0721C"/>
    <w:rsid w:val="00C11ADC"/>
    <w:rsid w:val="00C12217"/>
    <w:rsid w:val="00C14178"/>
    <w:rsid w:val="00C14378"/>
    <w:rsid w:val="00C1462B"/>
    <w:rsid w:val="00C14758"/>
    <w:rsid w:val="00C1561C"/>
    <w:rsid w:val="00C16785"/>
    <w:rsid w:val="00C23F7D"/>
    <w:rsid w:val="00C2625C"/>
    <w:rsid w:val="00C2677A"/>
    <w:rsid w:val="00C2763B"/>
    <w:rsid w:val="00C345A1"/>
    <w:rsid w:val="00C37670"/>
    <w:rsid w:val="00C40F7F"/>
    <w:rsid w:val="00C4380C"/>
    <w:rsid w:val="00C43DAC"/>
    <w:rsid w:val="00C4480C"/>
    <w:rsid w:val="00C46EF2"/>
    <w:rsid w:val="00C502CB"/>
    <w:rsid w:val="00C51A2B"/>
    <w:rsid w:val="00C51F69"/>
    <w:rsid w:val="00C57FA9"/>
    <w:rsid w:val="00C61C3A"/>
    <w:rsid w:val="00C62121"/>
    <w:rsid w:val="00C632B3"/>
    <w:rsid w:val="00C663D4"/>
    <w:rsid w:val="00C67BF6"/>
    <w:rsid w:val="00C72190"/>
    <w:rsid w:val="00C72D48"/>
    <w:rsid w:val="00C72D79"/>
    <w:rsid w:val="00C75581"/>
    <w:rsid w:val="00C76809"/>
    <w:rsid w:val="00C809EC"/>
    <w:rsid w:val="00C84838"/>
    <w:rsid w:val="00C90EB6"/>
    <w:rsid w:val="00C91830"/>
    <w:rsid w:val="00C931DC"/>
    <w:rsid w:val="00C94B5E"/>
    <w:rsid w:val="00CA114B"/>
    <w:rsid w:val="00CA2453"/>
    <w:rsid w:val="00CA28ED"/>
    <w:rsid w:val="00CA2BDC"/>
    <w:rsid w:val="00CA3032"/>
    <w:rsid w:val="00CB243C"/>
    <w:rsid w:val="00CB25CC"/>
    <w:rsid w:val="00CB26DF"/>
    <w:rsid w:val="00CB427F"/>
    <w:rsid w:val="00CB42C8"/>
    <w:rsid w:val="00CB6C62"/>
    <w:rsid w:val="00CB751D"/>
    <w:rsid w:val="00CC0AC2"/>
    <w:rsid w:val="00CC177C"/>
    <w:rsid w:val="00CC27B1"/>
    <w:rsid w:val="00CC290C"/>
    <w:rsid w:val="00CC4B97"/>
    <w:rsid w:val="00CC50CB"/>
    <w:rsid w:val="00CC58EB"/>
    <w:rsid w:val="00CC5B00"/>
    <w:rsid w:val="00CC79D7"/>
    <w:rsid w:val="00CD2EEB"/>
    <w:rsid w:val="00CD31B1"/>
    <w:rsid w:val="00CD39BC"/>
    <w:rsid w:val="00CD46C1"/>
    <w:rsid w:val="00CE03C6"/>
    <w:rsid w:val="00CE4486"/>
    <w:rsid w:val="00CE4F3E"/>
    <w:rsid w:val="00CE578E"/>
    <w:rsid w:val="00CE7334"/>
    <w:rsid w:val="00CE7400"/>
    <w:rsid w:val="00CF009C"/>
    <w:rsid w:val="00CF00A5"/>
    <w:rsid w:val="00CF3BE1"/>
    <w:rsid w:val="00D00A70"/>
    <w:rsid w:val="00D03F65"/>
    <w:rsid w:val="00D04A4C"/>
    <w:rsid w:val="00D054CA"/>
    <w:rsid w:val="00D10F8D"/>
    <w:rsid w:val="00D1581D"/>
    <w:rsid w:val="00D17C57"/>
    <w:rsid w:val="00D17CDB"/>
    <w:rsid w:val="00D213CB"/>
    <w:rsid w:val="00D2155F"/>
    <w:rsid w:val="00D31E4F"/>
    <w:rsid w:val="00D34D28"/>
    <w:rsid w:val="00D3580F"/>
    <w:rsid w:val="00D37127"/>
    <w:rsid w:val="00D4301C"/>
    <w:rsid w:val="00D445B2"/>
    <w:rsid w:val="00D44F3B"/>
    <w:rsid w:val="00D45081"/>
    <w:rsid w:val="00D45497"/>
    <w:rsid w:val="00D46D4A"/>
    <w:rsid w:val="00D473BF"/>
    <w:rsid w:val="00D5000F"/>
    <w:rsid w:val="00D53FFC"/>
    <w:rsid w:val="00D55723"/>
    <w:rsid w:val="00D571E6"/>
    <w:rsid w:val="00D610FE"/>
    <w:rsid w:val="00D619C6"/>
    <w:rsid w:val="00D6203C"/>
    <w:rsid w:val="00D63ACE"/>
    <w:rsid w:val="00D63D50"/>
    <w:rsid w:val="00D65D8F"/>
    <w:rsid w:val="00D66202"/>
    <w:rsid w:val="00D663F4"/>
    <w:rsid w:val="00D666EE"/>
    <w:rsid w:val="00D66AD3"/>
    <w:rsid w:val="00D675A0"/>
    <w:rsid w:val="00D727AD"/>
    <w:rsid w:val="00D7790C"/>
    <w:rsid w:val="00D77D1A"/>
    <w:rsid w:val="00D82A0F"/>
    <w:rsid w:val="00D84B4F"/>
    <w:rsid w:val="00D84FF6"/>
    <w:rsid w:val="00D85DDB"/>
    <w:rsid w:val="00D87576"/>
    <w:rsid w:val="00D90471"/>
    <w:rsid w:val="00D92F46"/>
    <w:rsid w:val="00D96D30"/>
    <w:rsid w:val="00DA3317"/>
    <w:rsid w:val="00DA4D26"/>
    <w:rsid w:val="00DA5956"/>
    <w:rsid w:val="00DB0D15"/>
    <w:rsid w:val="00DB135C"/>
    <w:rsid w:val="00DB2B0B"/>
    <w:rsid w:val="00DB47A1"/>
    <w:rsid w:val="00DB7678"/>
    <w:rsid w:val="00DB7938"/>
    <w:rsid w:val="00DB7B3F"/>
    <w:rsid w:val="00DC1B4E"/>
    <w:rsid w:val="00DC5D5A"/>
    <w:rsid w:val="00DC7F5D"/>
    <w:rsid w:val="00DD1979"/>
    <w:rsid w:val="00DD2CC9"/>
    <w:rsid w:val="00DD4D28"/>
    <w:rsid w:val="00DD4F60"/>
    <w:rsid w:val="00DE2380"/>
    <w:rsid w:val="00DE2713"/>
    <w:rsid w:val="00DE3875"/>
    <w:rsid w:val="00DF2661"/>
    <w:rsid w:val="00DF2C0A"/>
    <w:rsid w:val="00DF3739"/>
    <w:rsid w:val="00DF7DD0"/>
    <w:rsid w:val="00E04287"/>
    <w:rsid w:val="00E057DD"/>
    <w:rsid w:val="00E10943"/>
    <w:rsid w:val="00E14C4F"/>
    <w:rsid w:val="00E208F5"/>
    <w:rsid w:val="00E20AC7"/>
    <w:rsid w:val="00E21A3C"/>
    <w:rsid w:val="00E2205B"/>
    <w:rsid w:val="00E26088"/>
    <w:rsid w:val="00E26FE5"/>
    <w:rsid w:val="00E31B7D"/>
    <w:rsid w:val="00E3216C"/>
    <w:rsid w:val="00E336D2"/>
    <w:rsid w:val="00E339D2"/>
    <w:rsid w:val="00E3667E"/>
    <w:rsid w:val="00E37360"/>
    <w:rsid w:val="00E415FB"/>
    <w:rsid w:val="00E42593"/>
    <w:rsid w:val="00E43BC9"/>
    <w:rsid w:val="00E449CE"/>
    <w:rsid w:val="00E46527"/>
    <w:rsid w:val="00E521E2"/>
    <w:rsid w:val="00E5489E"/>
    <w:rsid w:val="00E57D6D"/>
    <w:rsid w:val="00E57E4F"/>
    <w:rsid w:val="00E617B2"/>
    <w:rsid w:val="00E61E3E"/>
    <w:rsid w:val="00E66FFB"/>
    <w:rsid w:val="00E70799"/>
    <w:rsid w:val="00E7104B"/>
    <w:rsid w:val="00E7375B"/>
    <w:rsid w:val="00E74288"/>
    <w:rsid w:val="00E76094"/>
    <w:rsid w:val="00E764E9"/>
    <w:rsid w:val="00E77D9C"/>
    <w:rsid w:val="00E8004A"/>
    <w:rsid w:val="00E85231"/>
    <w:rsid w:val="00E85488"/>
    <w:rsid w:val="00E87B72"/>
    <w:rsid w:val="00E909BD"/>
    <w:rsid w:val="00E93AD5"/>
    <w:rsid w:val="00E9447A"/>
    <w:rsid w:val="00E94EEF"/>
    <w:rsid w:val="00EA3322"/>
    <w:rsid w:val="00EA40AA"/>
    <w:rsid w:val="00EA6C9C"/>
    <w:rsid w:val="00EB0A0D"/>
    <w:rsid w:val="00EB22AA"/>
    <w:rsid w:val="00EB3105"/>
    <w:rsid w:val="00EB3BE7"/>
    <w:rsid w:val="00EB67F3"/>
    <w:rsid w:val="00EC29A9"/>
    <w:rsid w:val="00EC4DAF"/>
    <w:rsid w:val="00EC4EFB"/>
    <w:rsid w:val="00EC7034"/>
    <w:rsid w:val="00ED05B8"/>
    <w:rsid w:val="00ED392B"/>
    <w:rsid w:val="00ED54CF"/>
    <w:rsid w:val="00ED64FF"/>
    <w:rsid w:val="00ED72D3"/>
    <w:rsid w:val="00EE0CC1"/>
    <w:rsid w:val="00EE6BEE"/>
    <w:rsid w:val="00EF017C"/>
    <w:rsid w:val="00EF0941"/>
    <w:rsid w:val="00EF3F19"/>
    <w:rsid w:val="00EF4335"/>
    <w:rsid w:val="00EF72BB"/>
    <w:rsid w:val="00F00376"/>
    <w:rsid w:val="00F01503"/>
    <w:rsid w:val="00F037AC"/>
    <w:rsid w:val="00F064A0"/>
    <w:rsid w:val="00F10149"/>
    <w:rsid w:val="00F12C73"/>
    <w:rsid w:val="00F137DD"/>
    <w:rsid w:val="00F138BB"/>
    <w:rsid w:val="00F15ECB"/>
    <w:rsid w:val="00F16087"/>
    <w:rsid w:val="00F25E3B"/>
    <w:rsid w:val="00F26E62"/>
    <w:rsid w:val="00F34844"/>
    <w:rsid w:val="00F3693B"/>
    <w:rsid w:val="00F41CA8"/>
    <w:rsid w:val="00F42B16"/>
    <w:rsid w:val="00F43461"/>
    <w:rsid w:val="00F43A59"/>
    <w:rsid w:val="00F43DE2"/>
    <w:rsid w:val="00F470D5"/>
    <w:rsid w:val="00F470E4"/>
    <w:rsid w:val="00F5077B"/>
    <w:rsid w:val="00F52DE6"/>
    <w:rsid w:val="00F53EB3"/>
    <w:rsid w:val="00F67296"/>
    <w:rsid w:val="00F702D8"/>
    <w:rsid w:val="00F704FF"/>
    <w:rsid w:val="00F7119F"/>
    <w:rsid w:val="00F741E2"/>
    <w:rsid w:val="00F82D8C"/>
    <w:rsid w:val="00F834EF"/>
    <w:rsid w:val="00F83835"/>
    <w:rsid w:val="00F91BE2"/>
    <w:rsid w:val="00F935AD"/>
    <w:rsid w:val="00F95F1B"/>
    <w:rsid w:val="00F9625C"/>
    <w:rsid w:val="00F97534"/>
    <w:rsid w:val="00FA0E3F"/>
    <w:rsid w:val="00FA3A26"/>
    <w:rsid w:val="00FA513C"/>
    <w:rsid w:val="00FB16F9"/>
    <w:rsid w:val="00FB263D"/>
    <w:rsid w:val="00FB4497"/>
    <w:rsid w:val="00FB4966"/>
    <w:rsid w:val="00FC1114"/>
    <w:rsid w:val="00FC2445"/>
    <w:rsid w:val="00FC6780"/>
    <w:rsid w:val="00FD1AD4"/>
    <w:rsid w:val="00FD4265"/>
    <w:rsid w:val="00FD522C"/>
    <w:rsid w:val="00FD587F"/>
    <w:rsid w:val="00FD5E7C"/>
    <w:rsid w:val="00FD6507"/>
    <w:rsid w:val="00FE030C"/>
    <w:rsid w:val="00FE26C9"/>
    <w:rsid w:val="00FE2804"/>
    <w:rsid w:val="00FE4314"/>
    <w:rsid w:val="00FE443A"/>
    <w:rsid w:val="00FF064A"/>
    <w:rsid w:val="00FF2F85"/>
    <w:rsid w:val="00FF3878"/>
    <w:rsid w:val="00FF46F5"/>
    <w:rsid w:val="00FF495D"/>
    <w:rsid w:val="00FF4FA5"/>
    <w:rsid w:val="00FF5D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4AFAC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6A17"/>
    <w:rPr>
      <w:rFonts w:ascii="Calibri" w:eastAsia="Calibri" w:hAnsi="Calibri" w:cs="Times New Roman"/>
    </w:rPr>
  </w:style>
  <w:style w:type="paragraph" w:styleId="Heading1">
    <w:name w:val="heading 1"/>
    <w:basedOn w:val="Normal"/>
    <w:next w:val="Normal"/>
    <w:link w:val="Heading1Char"/>
    <w:uiPriority w:val="9"/>
    <w:qFormat/>
    <w:rsid w:val="00E7428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E7428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7428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742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4288"/>
    <w:rPr>
      <w:rFonts w:ascii="Tahoma" w:eastAsia="Calibri" w:hAnsi="Tahoma" w:cs="Tahoma"/>
      <w:sz w:val="16"/>
      <w:szCs w:val="16"/>
    </w:rPr>
  </w:style>
  <w:style w:type="paragraph" w:styleId="TOC1">
    <w:name w:val="toc 1"/>
    <w:basedOn w:val="Normal"/>
    <w:next w:val="Normal"/>
    <w:autoRedefine/>
    <w:uiPriority w:val="39"/>
    <w:unhideWhenUsed/>
    <w:qFormat/>
    <w:rsid w:val="00E74288"/>
    <w:pPr>
      <w:spacing w:before="120" w:after="120"/>
    </w:pPr>
    <w:rPr>
      <w:b/>
      <w:caps/>
      <w:color w:val="FF0000"/>
      <w:sz w:val="20"/>
    </w:rPr>
  </w:style>
  <w:style w:type="paragraph" w:styleId="TOC2">
    <w:name w:val="toc 2"/>
    <w:basedOn w:val="Normal"/>
    <w:next w:val="Normal"/>
    <w:autoRedefine/>
    <w:uiPriority w:val="39"/>
    <w:unhideWhenUsed/>
    <w:qFormat/>
    <w:rsid w:val="003E7B7F"/>
    <w:pPr>
      <w:tabs>
        <w:tab w:val="left" w:pos="880"/>
        <w:tab w:val="right" w:leader="dot" w:pos="9350"/>
      </w:tabs>
      <w:spacing w:after="0" w:line="252" w:lineRule="auto"/>
      <w:ind w:left="216"/>
    </w:pPr>
    <w:rPr>
      <w:b/>
      <w:smallCaps/>
      <w:sz w:val="20"/>
      <w:szCs w:val="20"/>
    </w:rPr>
  </w:style>
  <w:style w:type="character" w:styleId="Hyperlink">
    <w:name w:val="Hyperlink"/>
    <w:aliases w:val="Indice 1º nivel"/>
    <w:basedOn w:val="DefaultParagraphFont"/>
    <w:uiPriority w:val="99"/>
    <w:unhideWhenUsed/>
    <w:rsid w:val="00E74288"/>
    <w:rPr>
      <w:color w:val="0000FF" w:themeColor="hyperlink"/>
      <w:u w:val="single"/>
    </w:rPr>
  </w:style>
  <w:style w:type="paragraph" w:customStyle="1" w:styleId="SANUS1">
    <w:name w:val="SANUS 1"/>
    <w:basedOn w:val="Heading1"/>
    <w:link w:val="SANUS1Char"/>
    <w:qFormat/>
    <w:rsid w:val="00E74288"/>
    <w:pPr>
      <w:keepNext w:val="0"/>
      <w:keepLines w:val="0"/>
      <w:pBdr>
        <w:bottom w:val="single" w:sz="4" w:space="1" w:color="FF0000"/>
      </w:pBdr>
      <w:spacing w:before="120" w:after="120"/>
      <w:contextualSpacing/>
    </w:pPr>
    <w:rPr>
      <w:rFonts w:ascii="Calibri" w:eastAsia="Calibri" w:hAnsi="Calibri" w:cs="Times New Roman"/>
      <w:color w:val="FF0000"/>
      <w:lang w:bidi="en-US"/>
    </w:rPr>
  </w:style>
  <w:style w:type="character" w:customStyle="1" w:styleId="SANUS1Char">
    <w:name w:val="SANUS 1 Char"/>
    <w:link w:val="SANUS1"/>
    <w:rsid w:val="00E74288"/>
    <w:rPr>
      <w:rFonts w:ascii="Calibri" w:eastAsia="Calibri" w:hAnsi="Calibri" w:cs="Times New Roman"/>
      <w:b/>
      <w:bCs/>
      <w:color w:val="FF0000"/>
      <w:sz w:val="28"/>
      <w:szCs w:val="28"/>
      <w:lang w:bidi="en-US"/>
    </w:rPr>
  </w:style>
  <w:style w:type="paragraph" w:customStyle="1" w:styleId="SANUS2">
    <w:name w:val="SAN US 2"/>
    <w:basedOn w:val="Heading2"/>
    <w:link w:val="SANUS2Char"/>
    <w:qFormat/>
    <w:rsid w:val="00E74288"/>
    <w:pPr>
      <w:keepNext w:val="0"/>
      <w:keepLines w:val="0"/>
      <w:spacing w:before="120" w:after="120"/>
    </w:pPr>
    <w:rPr>
      <w:rFonts w:ascii="Calibri" w:eastAsia="Calibri" w:hAnsi="Calibri" w:cs="Times New Roman"/>
      <w:color w:val="auto"/>
      <w:sz w:val="24"/>
      <w:szCs w:val="24"/>
      <w:lang w:bidi="en-US"/>
    </w:rPr>
  </w:style>
  <w:style w:type="character" w:customStyle="1" w:styleId="SANUS2Char">
    <w:name w:val="SAN US 2 Char"/>
    <w:link w:val="SANUS2"/>
    <w:rsid w:val="00E74288"/>
    <w:rPr>
      <w:rFonts w:ascii="Calibri" w:eastAsia="Calibri" w:hAnsi="Calibri" w:cs="Times New Roman"/>
      <w:b/>
      <w:bCs/>
      <w:sz w:val="24"/>
      <w:szCs w:val="24"/>
      <w:lang w:bidi="en-US"/>
    </w:rPr>
  </w:style>
  <w:style w:type="paragraph" w:customStyle="1" w:styleId="Normal1">
    <w:name w:val="Normal1"/>
    <w:basedOn w:val="Normal"/>
    <w:link w:val="Normal1Char"/>
    <w:qFormat/>
    <w:rsid w:val="00E74288"/>
    <w:pPr>
      <w:spacing w:before="120"/>
    </w:pPr>
    <w:rPr>
      <w:rFonts w:eastAsia="Times New Roman"/>
    </w:rPr>
  </w:style>
  <w:style w:type="character" w:customStyle="1" w:styleId="Normal1Char">
    <w:name w:val="Normal1 Char"/>
    <w:link w:val="Normal1"/>
    <w:rsid w:val="00E74288"/>
    <w:rPr>
      <w:rFonts w:ascii="Calibri" w:eastAsia="Times New Roman" w:hAnsi="Calibri" w:cs="Times New Roman"/>
    </w:rPr>
  </w:style>
  <w:style w:type="character" w:customStyle="1" w:styleId="Heading1Char">
    <w:name w:val="Heading 1 Char"/>
    <w:basedOn w:val="DefaultParagraphFont"/>
    <w:link w:val="Heading1"/>
    <w:uiPriority w:val="9"/>
    <w:rsid w:val="00E7428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E74288"/>
    <w:rPr>
      <w:rFonts w:asciiTheme="majorHAnsi" w:eastAsiaTheme="majorEastAsia" w:hAnsiTheme="majorHAnsi" w:cstheme="majorBidi"/>
      <w:b/>
      <w:bCs/>
      <w:color w:val="4F81BD" w:themeColor="accent1"/>
      <w:sz w:val="26"/>
      <w:szCs w:val="26"/>
    </w:rPr>
  </w:style>
  <w:style w:type="numbering" w:customStyle="1" w:styleId="Style1">
    <w:name w:val="Style1"/>
    <w:uiPriority w:val="99"/>
    <w:rsid w:val="00E74288"/>
    <w:pPr>
      <w:numPr>
        <w:numId w:val="2"/>
      </w:numPr>
    </w:pPr>
  </w:style>
  <w:style w:type="paragraph" w:customStyle="1" w:styleId="SANUS3">
    <w:name w:val="SAN US 3"/>
    <w:basedOn w:val="Heading3"/>
    <w:link w:val="SANUS3Char"/>
    <w:qFormat/>
    <w:rsid w:val="00E74288"/>
    <w:pPr>
      <w:keepNext w:val="0"/>
      <w:keepLines w:val="0"/>
      <w:spacing w:before="120" w:after="120"/>
      <w:outlineLvl w:val="1"/>
    </w:pPr>
    <w:rPr>
      <w:rFonts w:ascii="Calibri" w:eastAsia="Calibri" w:hAnsi="Calibri" w:cs="Calibri"/>
      <w:color w:val="auto"/>
      <w:lang w:bidi="en-US"/>
    </w:rPr>
  </w:style>
  <w:style w:type="character" w:customStyle="1" w:styleId="SANUS3Char">
    <w:name w:val="SAN US 3 Char"/>
    <w:link w:val="SANUS3"/>
    <w:rsid w:val="00E74288"/>
    <w:rPr>
      <w:rFonts w:ascii="Calibri" w:eastAsia="Calibri" w:hAnsi="Calibri" w:cs="Calibri"/>
      <w:b/>
      <w:bCs/>
      <w:lang w:bidi="en-US"/>
    </w:rPr>
  </w:style>
  <w:style w:type="character" w:styleId="CommentReference">
    <w:name w:val="annotation reference"/>
    <w:basedOn w:val="DefaultParagraphFont"/>
    <w:uiPriority w:val="99"/>
    <w:unhideWhenUsed/>
    <w:rsid w:val="00E74288"/>
    <w:rPr>
      <w:sz w:val="16"/>
      <w:szCs w:val="16"/>
    </w:rPr>
  </w:style>
  <w:style w:type="paragraph" w:styleId="CommentText">
    <w:name w:val="annotation text"/>
    <w:basedOn w:val="Normal"/>
    <w:link w:val="CommentTextChar"/>
    <w:uiPriority w:val="99"/>
    <w:unhideWhenUsed/>
    <w:rsid w:val="00E74288"/>
    <w:pPr>
      <w:spacing w:line="240" w:lineRule="auto"/>
    </w:pPr>
    <w:rPr>
      <w:sz w:val="20"/>
      <w:szCs w:val="20"/>
    </w:rPr>
  </w:style>
  <w:style w:type="character" w:customStyle="1" w:styleId="CommentTextChar">
    <w:name w:val="Comment Text Char"/>
    <w:basedOn w:val="DefaultParagraphFont"/>
    <w:link w:val="CommentText"/>
    <w:uiPriority w:val="99"/>
    <w:rsid w:val="00E74288"/>
    <w:rPr>
      <w:rFonts w:ascii="Calibri" w:eastAsia="Calibri" w:hAnsi="Calibri" w:cs="Times New Roman"/>
      <w:sz w:val="20"/>
      <w:szCs w:val="20"/>
    </w:rPr>
  </w:style>
  <w:style w:type="character" w:customStyle="1" w:styleId="ListParagraphChar">
    <w:name w:val="List Paragraph Char"/>
    <w:link w:val="ListParagraph"/>
    <w:uiPriority w:val="34"/>
    <w:locked/>
    <w:rsid w:val="00E74288"/>
    <w:rPr>
      <w:szCs w:val="24"/>
      <w:lang w:val="en-GB"/>
    </w:rPr>
  </w:style>
  <w:style w:type="paragraph" w:styleId="ListParagraph">
    <w:name w:val="List Paragraph"/>
    <w:basedOn w:val="Normal"/>
    <w:link w:val="ListParagraphChar"/>
    <w:uiPriority w:val="34"/>
    <w:qFormat/>
    <w:rsid w:val="00E74288"/>
    <w:pPr>
      <w:ind w:left="720"/>
      <w:contextualSpacing/>
    </w:pPr>
    <w:rPr>
      <w:rFonts w:asciiTheme="minorHAnsi" w:eastAsiaTheme="minorHAnsi" w:hAnsiTheme="minorHAnsi" w:cstheme="minorBidi"/>
      <w:szCs w:val="24"/>
      <w:lang w:val="en-GB"/>
    </w:rPr>
  </w:style>
  <w:style w:type="paragraph" w:styleId="FootnoteText">
    <w:name w:val="footnote text"/>
    <w:basedOn w:val="Normal"/>
    <w:link w:val="FootnoteTextChar"/>
    <w:uiPriority w:val="99"/>
    <w:unhideWhenUsed/>
    <w:rsid w:val="00E74288"/>
    <w:pPr>
      <w:spacing w:after="0" w:line="240" w:lineRule="auto"/>
    </w:pPr>
    <w:rPr>
      <w:sz w:val="20"/>
      <w:szCs w:val="20"/>
    </w:rPr>
  </w:style>
  <w:style w:type="character" w:customStyle="1" w:styleId="FootnoteTextChar">
    <w:name w:val="Footnote Text Char"/>
    <w:basedOn w:val="DefaultParagraphFont"/>
    <w:link w:val="FootnoteText"/>
    <w:uiPriority w:val="99"/>
    <w:rsid w:val="00E74288"/>
    <w:rPr>
      <w:rFonts w:ascii="Calibri" w:eastAsia="Calibri" w:hAnsi="Calibri" w:cs="Times New Roman"/>
      <w:sz w:val="20"/>
      <w:szCs w:val="20"/>
    </w:rPr>
  </w:style>
  <w:style w:type="character" w:styleId="FootnoteReference">
    <w:name w:val="footnote reference"/>
    <w:basedOn w:val="DefaultParagraphFont"/>
    <w:uiPriority w:val="99"/>
    <w:unhideWhenUsed/>
    <w:rsid w:val="00E74288"/>
    <w:rPr>
      <w:vertAlign w:val="superscript"/>
    </w:rPr>
  </w:style>
  <w:style w:type="table" w:styleId="TableGrid">
    <w:name w:val="Table Grid"/>
    <w:basedOn w:val="TableNormal"/>
    <w:uiPriority w:val="59"/>
    <w:rsid w:val="00E74288"/>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E74288"/>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A837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37D7"/>
    <w:rPr>
      <w:rFonts w:ascii="Calibri" w:eastAsia="Calibri" w:hAnsi="Calibri" w:cs="Times New Roman"/>
    </w:rPr>
  </w:style>
  <w:style w:type="paragraph" w:styleId="Footer">
    <w:name w:val="footer"/>
    <w:basedOn w:val="Normal"/>
    <w:link w:val="FooterChar"/>
    <w:uiPriority w:val="99"/>
    <w:unhideWhenUsed/>
    <w:rsid w:val="00A837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37D7"/>
    <w:rPr>
      <w:rFonts w:ascii="Calibri" w:eastAsia="Calibri" w:hAnsi="Calibri" w:cs="Times New Roman"/>
    </w:rPr>
  </w:style>
  <w:style w:type="paragraph" w:styleId="TOC3">
    <w:name w:val="toc 3"/>
    <w:basedOn w:val="Normal"/>
    <w:next w:val="Normal"/>
    <w:autoRedefine/>
    <w:uiPriority w:val="39"/>
    <w:unhideWhenUsed/>
    <w:rsid w:val="00BF17D4"/>
    <w:pPr>
      <w:spacing w:after="100"/>
      <w:ind w:left="440"/>
    </w:pPr>
  </w:style>
  <w:style w:type="paragraph" w:styleId="TOC4">
    <w:name w:val="toc 4"/>
    <w:basedOn w:val="Normal"/>
    <w:next w:val="Normal"/>
    <w:autoRedefine/>
    <w:uiPriority w:val="39"/>
    <w:unhideWhenUsed/>
    <w:rsid w:val="00BF17D4"/>
    <w:pPr>
      <w:spacing w:after="100"/>
      <w:ind w:left="660"/>
    </w:pPr>
    <w:rPr>
      <w:rFonts w:asciiTheme="minorHAnsi" w:eastAsiaTheme="minorEastAsia" w:hAnsiTheme="minorHAnsi" w:cstheme="minorBidi"/>
    </w:rPr>
  </w:style>
  <w:style w:type="paragraph" w:styleId="TOC5">
    <w:name w:val="toc 5"/>
    <w:basedOn w:val="Normal"/>
    <w:next w:val="Normal"/>
    <w:autoRedefine/>
    <w:uiPriority w:val="39"/>
    <w:unhideWhenUsed/>
    <w:rsid w:val="00BF17D4"/>
    <w:pPr>
      <w:spacing w:after="100"/>
      <w:ind w:left="880"/>
    </w:pPr>
    <w:rPr>
      <w:rFonts w:asciiTheme="minorHAnsi" w:eastAsiaTheme="minorEastAsia" w:hAnsiTheme="minorHAnsi" w:cstheme="minorBidi"/>
    </w:rPr>
  </w:style>
  <w:style w:type="paragraph" w:styleId="TOC6">
    <w:name w:val="toc 6"/>
    <w:basedOn w:val="Normal"/>
    <w:next w:val="Normal"/>
    <w:autoRedefine/>
    <w:uiPriority w:val="39"/>
    <w:unhideWhenUsed/>
    <w:rsid w:val="00BF17D4"/>
    <w:pPr>
      <w:spacing w:after="100"/>
      <w:ind w:left="1100"/>
    </w:pPr>
    <w:rPr>
      <w:rFonts w:asciiTheme="minorHAnsi" w:eastAsiaTheme="minorEastAsia" w:hAnsiTheme="minorHAnsi" w:cstheme="minorBidi"/>
    </w:rPr>
  </w:style>
  <w:style w:type="paragraph" w:styleId="TOC7">
    <w:name w:val="toc 7"/>
    <w:basedOn w:val="Normal"/>
    <w:next w:val="Normal"/>
    <w:autoRedefine/>
    <w:uiPriority w:val="39"/>
    <w:unhideWhenUsed/>
    <w:rsid w:val="00BF17D4"/>
    <w:pPr>
      <w:spacing w:after="100"/>
      <w:ind w:left="1320"/>
    </w:pPr>
    <w:rPr>
      <w:rFonts w:asciiTheme="minorHAnsi" w:eastAsiaTheme="minorEastAsia" w:hAnsiTheme="minorHAnsi" w:cstheme="minorBidi"/>
    </w:rPr>
  </w:style>
  <w:style w:type="paragraph" w:styleId="TOC8">
    <w:name w:val="toc 8"/>
    <w:basedOn w:val="Normal"/>
    <w:next w:val="Normal"/>
    <w:autoRedefine/>
    <w:uiPriority w:val="39"/>
    <w:unhideWhenUsed/>
    <w:rsid w:val="00BF17D4"/>
    <w:pPr>
      <w:spacing w:after="100"/>
      <w:ind w:left="1540"/>
    </w:pPr>
    <w:rPr>
      <w:rFonts w:asciiTheme="minorHAnsi" w:eastAsiaTheme="minorEastAsia" w:hAnsiTheme="minorHAnsi" w:cstheme="minorBidi"/>
    </w:rPr>
  </w:style>
  <w:style w:type="paragraph" w:styleId="TOC9">
    <w:name w:val="toc 9"/>
    <w:basedOn w:val="Normal"/>
    <w:next w:val="Normal"/>
    <w:autoRedefine/>
    <w:uiPriority w:val="39"/>
    <w:unhideWhenUsed/>
    <w:rsid w:val="00BF17D4"/>
    <w:pPr>
      <w:spacing w:after="100"/>
      <w:ind w:left="1760"/>
    </w:pPr>
    <w:rPr>
      <w:rFonts w:asciiTheme="minorHAnsi" w:eastAsiaTheme="minorEastAsia" w:hAnsiTheme="minorHAnsi" w:cstheme="minorBidi"/>
    </w:rPr>
  </w:style>
  <w:style w:type="paragraph" w:styleId="CommentSubject">
    <w:name w:val="annotation subject"/>
    <w:basedOn w:val="CommentText"/>
    <w:next w:val="CommentText"/>
    <w:link w:val="CommentSubjectChar"/>
    <w:uiPriority w:val="99"/>
    <w:semiHidden/>
    <w:unhideWhenUsed/>
    <w:rsid w:val="00FF3878"/>
    <w:rPr>
      <w:b/>
      <w:bCs/>
    </w:rPr>
  </w:style>
  <w:style w:type="character" w:customStyle="1" w:styleId="CommentSubjectChar">
    <w:name w:val="Comment Subject Char"/>
    <w:basedOn w:val="CommentTextChar"/>
    <w:link w:val="CommentSubject"/>
    <w:uiPriority w:val="99"/>
    <w:semiHidden/>
    <w:rsid w:val="00FF3878"/>
    <w:rPr>
      <w:rFonts w:ascii="Calibri" w:eastAsia="Calibri" w:hAnsi="Calibri" w:cs="Times New Roman"/>
      <w:b/>
      <w:bCs/>
      <w:sz w:val="20"/>
      <w:szCs w:val="20"/>
    </w:rPr>
  </w:style>
  <w:style w:type="paragraph" w:styleId="Revision">
    <w:name w:val="Revision"/>
    <w:hidden/>
    <w:uiPriority w:val="99"/>
    <w:semiHidden/>
    <w:rsid w:val="00FF3878"/>
    <w:pPr>
      <w:spacing w:after="0" w:line="240" w:lineRule="auto"/>
    </w:pPr>
    <w:rPr>
      <w:rFonts w:ascii="Calibri" w:eastAsia="Calibri" w:hAnsi="Calibri" w:cs="Times New Roman"/>
    </w:rPr>
  </w:style>
  <w:style w:type="character" w:styleId="PlaceholderText">
    <w:name w:val="Placeholder Text"/>
    <w:basedOn w:val="DefaultParagraphFont"/>
    <w:uiPriority w:val="99"/>
    <w:semiHidden/>
    <w:rsid w:val="00DD2CC9"/>
    <w:rPr>
      <w:color w:val="808080"/>
    </w:rPr>
  </w:style>
  <w:style w:type="table" w:customStyle="1" w:styleId="TableGrid1">
    <w:name w:val="Table Grid1"/>
    <w:basedOn w:val="TableNormal"/>
    <w:next w:val="TableGrid"/>
    <w:uiPriority w:val="59"/>
    <w:rsid w:val="00E20AC7"/>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CF3BE1"/>
    <w:pPr>
      <w:spacing w:before="100" w:beforeAutospacing="1" w:after="100" w:afterAutospacing="1" w:line="240" w:lineRule="auto"/>
    </w:pPr>
    <w:rPr>
      <w:rFonts w:ascii="Times New Roman" w:eastAsia="Times New Roman" w:hAnsi="Times New Roman"/>
      <w:sz w:val="24"/>
      <w:szCs w:val="24"/>
    </w:rPr>
  </w:style>
  <w:style w:type="paragraph" w:styleId="TOCHeading">
    <w:name w:val="TOC Heading"/>
    <w:basedOn w:val="Heading1"/>
    <w:next w:val="Normal"/>
    <w:uiPriority w:val="39"/>
    <w:semiHidden/>
    <w:unhideWhenUsed/>
    <w:qFormat/>
    <w:rsid w:val="00431E9F"/>
    <w:pPr>
      <w:outlineLvl w:val="9"/>
    </w:pPr>
    <w:rPr>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6A17"/>
    <w:rPr>
      <w:rFonts w:ascii="Calibri" w:eastAsia="Calibri" w:hAnsi="Calibri" w:cs="Times New Roman"/>
    </w:rPr>
  </w:style>
  <w:style w:type="paragraph" w:styleId="Heading1">
    <w:name w:val="heading 1"/>
    <w:basedOn w:val="Normal"/>
    <w:next w:val="Normal"/>
    <w:link w:val="Heading1Char"/>
    <w:uiPriority w:val="9"/>
    <w:qFormat/>
    <w:rsid w:val="00E7428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E7428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7428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742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4288"/>
    <w:rPr>
      <w:rFonts w:ascii="Tahoma" w:eastAsia="Calibri" w:hAnsi="Tahoma" w:cs="Tahoma"/>
      <w:sz w:val="16"/>
      <w:szCs w:val="16"/>
    </w:rPr>
  </w:style>
  <w:style w:type="paragraph" w:styleId="TOC1">
    <w:name w:val="toc 1"/>
    <w:basedOn w:val="Normal"/>
    <w:next w:val="Normal"/>
    <w:autoRedefine/>
    <w:uiPriority w:val="39"/>
    <w:unhideWhenUsed/>
    <w:qFormat/>
    <w:rsid w:val="00E74288"/>
    <w:pPr>
      <w:spacing w:before="120" w:after="120"/>
    </w:pPr>
    <w:rPr>
      <w:b/>
      <w:caps/>
      <w:color w:val="FF0000"/>
      <w:sz w:val="20"/>
    </w:rPr>
  </w:style>
  <w:style w:type="paragraph" w:styleId="TOC2">
    <w:name w:val="toc 2"/>
    <w:basedOn w:val="Normal"/>
    <w:next w:val="Normal"/>
    <w:autoRedefine/>
    <w:uiPriority w:val="39"/>
    <w:unhideWhenUsed/>
    <w:qFormat/>
    <w:rsid w:val="003E7B7F"/>
    <w:pPr>
      <w:tabs>
        <w:tab w:val="left" w:pos="880"/>
        <w:tab w:val="right" w:leader="dot" w:pos="9350"/>
      </w:tabs>
      <w:spacing w:after="0" w:line="252" w:lineRule="auto"/>
      <w:ind w:left="216"/>
    </w:pPr>
    <w:rPr>
      <w:b/>
      <w:smallCaps/>
      <w:sz w:val="20"/>
      <w:szCs w:val="20"/>
    </w:rPr>
  </w:style>
  <w:style w:type="character" w:styleId="Hyperlink">
    <w:name w:val="Hyperlink"/>
    <w:aliases w:val="Indice 1º nivel"/>
    <w:basedOn w:val="DefaultParagraphFont"/>
    <w:uiPriority w:val="99"/>
    <w:unhideWhenUsed/>
    <w:rsid w:val="00E74288"/>
    <w:rPr>
      <w:color w:val="0000FF" w:themeColor="hyperlink"/>
      <w:u w:val="single"/>
    </w:rPr>
  </w:style>
  <w:style w:type="paragraph" w:customStyle="1" w:styleId="SANUS1">
    <w:name w:val="SANUS 1"/>
    <w:basedOn w:val="Heading1"/>
    <w:link w:val="SANUS1Char"/>
    <w:qFormat/>
    <w:rsid w:val="00E74288"/>
    <w:pPr>
      <w:keepNext w:val="0"/>
      <w:keepLines w:val="0"/>
      <w:pBdr>
        <w:bottom w:val="single" w:sz="4" w:space="1" w:color="FF0000"/>
      </w:pBdr>
      <w:spacing w:before="120" w:after="120"/>
      <w:contextualSpacing/>
    </w:pPr>
    <w:rPr>
      <w:rFonts w:ascii="Calibri" w:eastAsia="Calibri" w:hAnsi="Calibri" w:cs="Times New Roman"/>
      <w:color w:val="FF0000"/>
      <w:lang w:bidi="en-US"/>
    </w:rPr>
  </w:style>
  <w:style w:type="character" w:customStyle="1" w:styleId="SANUS1Char">
    <w:name w:val="SANUS 1 Char"/>
    <w:link w:val="SANUS1"/>
    <w:rsid w:val="00E74288"/>
    <w:rPr>
      <w:rFonts w:ascii="Calibri" w:eastAsia="Calibri" w:hAnsi="Calibri" w:cs="Times New Roman"/>
      <w:b/>
      <w:bCs/>
      <w:color w:val="FF0000"/>
      <w:sz w:val="28"/>
      <w:szCs w:val="28"/>
      <w:lang w:bidi="en-US"/>
    </w:rPr>
  </w:style>
  <w:style w:type="paragraph" w:customStyle="1" w:styleId="SANUS2">
    <w:name w:val="SAN US 2"/>
    <w:basedOn w:val="Heading2"/>
    <w:link w:val="SANUS2Char"/>
    <w:qFormat/>
    <w:rsid w:val="00E74288"/>
    <w:pPr>
      <w:keepNext w:val="0"/>
      <w:keepLines w:val="0"/>
      <w:spacing w:before="120" w:after="120"/>
    </w:pPr>
    <w:rPr>
      <w:rFonts w:ascii="Calibri" w:eastAsia="Calibri" w:hAnsi="Calibri" w:cs="Times New Roman"/>
      <w:color w:val="auto"/>
      <w:sz w:val="24"/>
      <w:szCs w:val="24"/>
      <w:lang w:bidi="en-US"/>
    </w:rPr>
  </w:style>
  <w:style w:type="character" w:customStyle="1" w:styleId="SANUS2Char">
    <w:name w:val="SAN US 2 Char"/>
    <w:link w:val="SANUS2"/>
    <w:rsid w:val="00E74288"/>
    <w:rPr>
      <w:rFonts w:ascii="Calibri" w:eastAsia="Calibri" w:hAnsi="Calibri" w:cs="Times New Roman"/>
      <w:b/>
      <w:bCs/>
      <w:sz w:val="24"/>
      <w:szCs w:val="24"/>
      <w:lang w:bidi="en-US"/>
    </w:rPr>
  </w:style>
  <w:style w:type="paragraph" w:customStyle="1" w:styleId="Normal1">
    <w:name w:val="Normal1"/>
    <w:basedOn w:val="Normal"/>
    <w:link w:val="Normal1Char"/>
    <w:qFormat/>
    <w:rsid w:val="00E74288"/>
    <w:pPr>
      <w:spacing w:before="120"/>
    </w:pPr>
    <w:rPr>
      <w:rFonts w:eastAsia="Times New Roman"/>
    </w:rPr>
  </w:style>
  <w:style w:type="character" w:customStyle="1" w:styleId="Normal1Char">
    <w:name w:val="Normal1 Char"/>
    <w:link w:val="Normal1"/>
    <w:rsid w:val="00E74288"/>
    <w:rPr>
      <w:rFonts w:ascii="Calibri" w:eastAsia="Times New Roman" w:hAnsi="Calibri" w:cs="Times New Roman"/>
    </w:rPr>
  </w:style>
  <w:style w:type="character" w:customStyle="1" w:styleId="Heading1Char">
    <w:name w:val="Heading 1 Char"/>
    <w:basedOn w:val="DefaultParagraphFont"/>
    <w:link w:val="Heading1"/>
    <w:uiPriority w:val="9"/>
    <w:rsid w:val="00E7428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E74288"/>
    <w:rPr>
      <w:rFonts w:asciiTheme="majorHAnsi" w:eastAsiaTheme="majorEastAsia" w:hAnsiTheme="majorHAnsi" w:cstheme="majorBidi"/>
      <w:b/>
      <w:bCs/>
      <w:color w:val="4F81BD" w:themeColor="accent1"/>
      <w:sz w:val="26"/>
      <w:szCs w:val="26"/>
    </w:rPr>
  </w:style>
  <w:style w:type="numbering" w:customStyle="1" w:styleId="Style1">
    <w:name w:val="Style1"/>
    <w:uiPriority w:val="99"/>
    <w:rsid w:val="00E74288"/>
    <w:pPr>
      <w:numPr>
        <w:numId w:val="2"/>
      </w:numPr>
    </w:pPr>
  </w:style>
  <w:style w:type="paragraph" w:customStyle="1" w:styleId="SANUS3">
    <w:name w:val="SAN US 3"/>
    <w:basedOn w:val="Heading3"/>
    <w:link w:val="SANUS3Char"/>
    <w:qFormat/>
    <w:rsid w:val="00E74288"/>
    <w:pPr>
      <w:keepNext w:val="0"/>
      <w:keepLines w:val="0"/>
      <w:spacing w:before="120" w:after="120"/>
      <w:outlineLvl w:val="1"/>
    </w:pPr>
    <w:rPr>
      <w:rFonts w:ascii="Calibri" w:eastAsia="Calibri" w:hAnsi="Calibri" w:cs="Calibri"/>
      <w:color w:val="auto"/>
      <w:lang w:bidi="en-US"/>
    </w:rPr>
  </w:style>
  <w:style w:type="character" w:customStyle="1" w:styleId="SANUS3Char">
    <w:name w:val="SAN US 3 Char"/>
    <w:link w:val="SANUS3"/>
    <w:rsid w:val="00E74288"/>
    <w:rPr>
      <w:rFonts w:ascii="Calibri" w:eastAsia="Calibri" w:hAnsi="Calibri" w:cs="Calibri"/>
      <w:b/>
      <w:bCs/>
      <w:lang w:bidi="en-US"/>
    </w:rPr>
  </w:style>
  <w:style w:type="character" w:styleId="CommentReference">
    <w:name w:val="annotation reference"/>
    <w:basedOn w:val="DefaultParagraphFont"/>
    <w:uiPriority w:val="99"/>
    <w:unhideWhenUsed/>
    <w:rsid w:val="00E74288"/>
    <w:rPr>
      <w:sz w:val="16"/>
      <w:szCs w:val="16"/>
    </w:rPr>
  </w:style>
  <w:style w:type="paragraph" w:styleId="CommentText">
    <w:name w:val="annotation text"/>
    <w:basedOn w:val="Normal"/>
    <w:link w:val="CommentTextChar"/>
    <w:uiPriority w:val="99"/>
    <w:unhideWhenUsed/>
    <w:rsid w:val="00E74288"/>
    <w:pPr>
      <w:spacing w:line="240" w:lineRule="auto"/>
    </w:pPr>
    <w:rPr>
      <w:sz w:val="20"/>
      <w:szCs w:val="20"/>
    </w:rPr>
  </w:style>
  <w:style w:type="character" w:customStyle="1" w:styleId="CommentTextChar">
    <w:name w:val="Comment Text Char"/>
    <w:basedOn w:val="DefaultParagraphFont"/>
    <w:link w:val="CommentText"/>
    <w:uiPriority w:val="99"/>
    <w:rsid w:val="00E74288"/>
    <w:rPr>
      <w:rFonts w:ascii="Calibri" w:eastAsia="Calibri" w:hAnsi="Calibri" w:cs="Times New Roman"/>
      <w:sz w:val="20"/>
      <w:szCs w:val="20"/>
    </w:rPr>
  </w:style>
  <w:style w:type="character" w:customStyle="1" w:styleId="ListParagraphChar">
    <w:name w:val="List Paragraph Char"/>
    <w:link w:val="ListParagraph"/>
    <w:uiPriority w:val="34"/>
    <w:locked/>
    <w:rsid w:val="00E74288"/>
    <w:rPr>
      <w:szCs w:val="24"/>
      <w:lang w:val="en-GB"/>
    </w:rPr>
  </w:style>
  <w:style w:type="paragraph" w:styleId="ListParagraph">
    <w:name w:val="List Paragraph"/>
    <w:basedOn w:val="Normal"/>
    <w:link w:val="ListParagraphChar"/>
    <w:uiPriority w:val="34"/>
    <w:qFormat/>
    <w:rsid w:val="00E74288"/>
    <w:pPr>
      <w:ind w:left="720"/>
      <w:contextualSpacing/>
    </w:pPr>
    <w:rPr>
      <w:rFonts w:asciiTheme="minorHAnsi" w:eastAsiaTheme="minorHAnsi" w:hAnsiTheme="minorHAnsi" w:cstheme="minorBidi"/>
      <w:szCs w:val="24"/>
      <w:lang w:val="en-GB"/>
    </w:rPr>
  </w:style>
  <w:style w:type="paragraph" w:styleId="FootnoteText">
    <w:name w:val="footnote text"/>
    <w:basedOn w:val="Normal"/>
    <w:link w:val="FootnoteTextChar"/>
    <w:uiPriority w:val="99"/>
    <w:unhideWhenUsed/>
    <w:rsid w:val="00E74288"/>
    <w:pPr>
      <w:spacing w:after="0" w:line="240" w:lineRule="auto"/>
    </w:pPr>
    <w:rPr>
      <w:sz w:val="20"/>
      <w:szCs w:val="20"/>
    </w:rPr>
  </w:style>
  <w:style w:type="character" w:customStyle="1" w:styleId="FootnoteTextChar">
    <w:name w:val="Footnote Text Char"/>
    <w:basedOn w:val="DefaultParagraphFont"/>
    <w:link w:val="FootnoteText"/>
    <w:uiPriority w:val="99"/>
    <w:rsid w:val="00E74288"/>
    <w:rPr>
      <w:rFonts w:ascii="Calibri" w:eastAsia="Calibri" w:hAnsi="Calibri" w:cs="Times New Roman"/>
      <w:sz w:val="20"/>
      <w:szCs w:val="20"/>
    </w:rPr>
  </w:style>
  <w:style w:type="character" w:styleId="FootnoteReference">
    <w:name w:val="footnote reference"/>
    <w:basedOn w:val="DefaultParagraphFont"/>
    <w:uiPriority w:val="99"/>
    <w:unhideWhenUsed/>
    <w:rsid w:val="00E74288"/>
    <w:rPr>
      <w:vertAlign w:val="superscript"/>
    </w:rPr>
  </w:style>
  <w:style w:type="table" w:styleId="TableGrid">
    <w:name w:val="Table Grid"/>
    <w:basedOn w:val="TableNormal"/>
    <w:uiPriority w:val="59"/>
    <w:rsid w:val="00E74288"/>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E74288"/>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A837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37D7"/>
    <w:rPr>
      <w:rFonts w:ascii="Calibri" w:eastAsia="Calibri" w:hAnsi="Calibri" w:cs="Times New Roman"/>
    </w:rPr>
  </w:style>
  <w:style w:type="paragraph" w:styleId="Footer">
    <w:name w:val="footer"/>
    <w:basedOn w:val="Normal"/>
    <w:link w:val="FooterChar"/>
    <w:uiPriority w:val="99"/>
    <w:unhideWhenUsed/>
    <w:rsid w:val="00A837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37D7"/>
    <w:rPr>
      <w:rFonts w:ascii="Calibri" w:eastAsia="Calibri" w:hAnsi="Calibri" w:cs="Times New Roman"/>
    </w:rPr>
  </w:style>
  <w:style w:type="paragraph" w:styleId="TOC3">
    <w:name w:val="toc 3"/>
    <w:basedOn w:val="Normal"/>
    <w:next w:val="Normal"/>
    <w:autoRedefine/>
    <w:uiPriority w:val="39"/>
    <w:unhideWhenUsed/>
    <w:rsid w:val="00BF17D4"/>
    <w:pPr>
      <w:spacing w:after="100"/>
      <w:ind w:left="440"/>
    </w:pPr>
  </w:style>
  <w:style w:type="paragraph" w:styleId="TOC4">
    <w:name w:val="toc 4"/>
    <w:basedOn w:val="Normal"/>
    <w:next w:val="Normal"/>
    <w:autoRedefine/>
    <w:uiPriority w:val="39"/>
    <w:unhideWhenUsed/>
    <w:rsid w:val="00BF17D4"/>
    <w:pPr>
      <w:spacing w:after="100"/>
      <w:ind w:left="660"/>
    </w:pPr>
    <w:rPr>
      <w:rFonts w:asciiTheme="minorHAnsi" w:eastAsiaTheme="minorEastAsia" w:hAnsiTheme="minorHAnsi" w:cstheme="minorBidi"/>
    </w:rPr>
  </w:style>
  <w:style w:type="paragraph" w:styleId="TOC5">
    <w:name w:val="toc 5"/>
    <w:basedOn w:val="Normal"/>
    <w:next w:val="Normal"/>
    <w:autoRedefine/>
    <w:uiPriority w:val="39"/>
    <w:unhideWhenUsed/>
    <w:rsid w:val="00BF17D4"/>
    <w:pPr>
      <w:spacing w:after="100"/>
      <w:ind w:left="880"/>
    </w:pPr>
    <w:rPr>
      <w:rFonts w:asciiTheme="minorHAnsi" w:eastAsiaTheme="minorEastAsia" w:hAnsiTheme="minorHAnsi" w:cstheme="minorBidi"/>
    </w:rPr>
  </w:style>
  <w:style w:type="paragraph" w:styleId="TOC6">
    <w:name w:val="toc 6"/>
    <w:basedOn w:val="Normal"/>
    <w:next w:val="Normal"/>
    <w:autoRedefine/>
    <w:uiPriority w:val="39"/>
    <w:unhideWhenUsed/>
    <w:rsid w:val="00BF17D4"/>
    <w:pPr>
      <w:spacing w:after="100"/>
      <w:ind w:left="1100"/>
    </w:pPr>
    <w:rPr>
      <w:rFonts w:asciiTheme="minorHAnsi" w:eastAsiaTheme="minorEastAsia" w:hAnsiTheme="minorHAnsi" w:cstheme="minorBidi"/>
    </w:rPr>
  </w:style>
  <w:style w:type="paragraph" w:styleId="TOC7">
    <w:name w:val="toc 7"/>
    <w:basedOn w:val="Normal"/>
    <w:next w:val="Normal"/>
    <w:autoRedefine/>
    <w:uiPriority w:val="39"/>
    <w:unhideWhenUsed/>
    <w:rsid w:val="00BF17D4"/>
    <w:pPr>
      <w:spacing w:after="100"/>
      <w:ind w:left="1320"/>
    </w:pPr>
    <w:rPr>
      <w:rFonts w:asciiTheme="minorHAnsi" w:eastAsiaTheme="minorEastAsia" w:hAnsiTheme="minorHAnsi" w:cstheme="minorBidi"/>
    </w:rPr>
  </w:style>
  <w:style w:type="paragraph" w:styleId="TOC8">
    <w:name w:val="toc 8"/>
    <w:basedOn w:val="Normal"/>
    <w:next w:val="Normal"/>
    <w:autoRedefine/>
    <w:uiPriority w:val="39"/>
    <w:unhideWhenUsed/>
    <w:rsid w:val="00BF17D4"/>
    <w:pPr>
      <w:spacing w:after="100"/>
      <w:ind w:left="1540"/>
    </w:pPr>
    <w:rPr>
      <w:rFonts w:asciiTheme="minorHAnsi" w:eastAsiaTheme="minorEastAsia" w:hAnsiTheme="minorHAnsi" w:cstheme="minorBidi"/>
    </w:rPr>
  </w:style>
  <w:style w:type="paragraph" w:styleId="TOC9">
    <w:name w:val="toc 9"/>
    <w:basedOn w:val="Normal"/>
    <w:next w:val="Normal"/>
    <w:autoRedefine/>
    <w:uiPriority w:val="39"/>
    <w:unhideWhenUsed/>
    <w:rsid w:val="00BF17D4"/>
    <w:pPr>
      <w:spacing w:after="100"/>
      <w:ind w:left="1760"/>
    </w:pPr>
    <w:rPr>
      <w:rFonts w:asciiTheme="minorHAnsi" w:eastAsiaTheme="minorEastAsia" w:hAnsiTheme="minorHAnsi" w:cstheme="minorBidi"/>
    </w:rPr>
  </w:style>
  <w:style w:type="paragraph" w:styleId="CommentSubject">
    <w:name w:val="annotation subject"/>
    <w:basedOn w:val="CommentText"/>
    <w:next w:val="CommentText"/>
    <w:link w:val="CommentSubjectChar"/>
    <w:uiPriority w:val="99"/>
    <w:semiHidden/>
    <w:unhideWhenUsed/>
    <w:rsid w:val="00FF3878"/>
    <w:rPr>
      <w:b/>
      <w:bCs/>
    </w:rPr>
  </w:style>
  <w:style w:type="character" w:customStyle="1" w:styleId="CommentSubjectChar">
    <w:name w:val="Comment Subject Char"/>
    <w:basedOn w:val="CommentTextChar"/>
    <w:link w:val="CommentSubject"/>
    <w:uiPriority w:val="99"/>
    <w:semiHidden/>
    <w:rsid w:val="00FF3878"/>
    <w:rPr>
      <w:rFonts w:ascii="Calibri" w:eastAsia="Calibri" w:hAnsi="Calibri" w:cs="Times New Roman"/>
      <w:b/>
      <w:bCs/>
      <w:sz w:val="20"/>
      <w:szCs w:val="20"/>
    </w:rPr>
  </w:style>
  <w:style w:type="paragraph" w:styleId="Revision">
    <w:name w:val="Revision"/>
    <w:hidden/>
    <w:uiPriority w:val="99"/>
    <w:semiHidden/>
    <w:rsid w:val="00FF3878"/>
    <w:pPr>
      <w:spacing w:after="0" w:line="240" w:lineRule="auto"/>
    </w:pPr>
    <w:rPr>
      <w:rFonts w:ascii="Calibri" w:eastAsia="Calibri" w:hAnsi="Calibri" w:cs="Times New Roman"/>
    </w:rPr>
  </w:style>
  <w:style w:type="character" w:styleId="PlaceholderText">
    <w:name w:val="Placeholder Text"/>
    <w:basedOn w:val="DefaultParagraphFont"/>
    <w:uiPriority w:val="99"/>
    <w:semiHidden/>
    <w:rsid w:val="00DD2CC9"/>
    <w:rPr>
      <w:color w:val="808080"/>
    </w:rPr>
  </w:style>
  <w:style w:type="table" w:customStyle="1" w:styleId="TableGrid1">
    <w:name w:val="Table Grid1"/>
    <w:basedOn w:val="TableNormal"/>
    <w:next w:val="TableGrid"/>
    <w:uiPriority w:val="59"/>
    <w:rsid w:val="00E20AC7"/>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CF3BE1"/>
    <w:pPr>
      <w:spacing w:before="100" w:beforeAutospacing="1" w:after="100" w:afterAutospacing="1" w:line="240" w:lineRule="auto"/>
    </w:pPr>
    <w:rPr>
      <w:rFonts w:ascii="Times New Roman" w:eastAsia="Times New Roman" w:hAnsi="Times New Roman"/>
      <w:sz w:val="24"/>
      <w:szCs w:val="24"/>
    </w:rPr>
  </w:style>
  <w:style w:type="paragraph" w:styleId="TOCHeading">
    <w:name w:val="TOC Heading"/>
    <w:basedOn w:val="Heading1"/>
    <w:next w:val="Normal"/>
    <w:uiPriority w:val="39"/>
    <w:semiHidden/>
    <w:unhideWhenUsed/>
    <w:qFormat/>
    <w:rsid w:val="00431E9F"/>
    <w:pPr>
      <w:outlineLvl w:val="9"/>
    </w:pPr>
    <w:rPr>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307916">
      <w:bodyDiv w:val="1"/>
      <w:marLeft w:val="0"/>
      <w:marRight w:val="0"/>
      <w:marTop w:val="0"/>
      <w:marBottom w:val="0"/>
      <w:divBdr>
        <w:top w:val="none" w:sz="0" w:space="0" w:color="auto"/>
        <w:left w:val="none" w:sz="0" w:space="0" w:color="auto"/>
        <w:bottom w:val="none" w:sz="0" w:space="0" w:color="auto"/>
        <w:right w:val="none" w:sz="0" w:space="0" w:color="auto"/>
      </w:divBdr>
    </w:div>
    <w:div w:id="101077978">
      <w:bodyDiv w:val="1"/>
      <w:marLeft w:val="0"/>
      <w:marRight w:val="0"/>
      <w:marTop w:val="0"/>
      <w:marBottom w:val="0"/>
      <w:divBdr>
        <w:top w:val="none" w:sz="0" w:space="0" w:color="auto"/>
        <w:left w:val="none" w:sz="0" w:space="0" w:color="auto"/>
        <w:bottom w:val="none" w:sz="0" w:space="0" w:color="auto"/>
        <w:right w:val="none" w:sz="0" w:space="0" w:color="auto"/>
      </w:divBdr>
      <w:divsChild>
        <w:div w:id="1518156597">
          <w:marLeft w:val="446"/>
          <w:marRight w:val="0"/>
          <w:marTop w:val="0"/>
          <w:marBottom w:val="120"/>
          <w:divBdr>
            <w:top w:val="none" w:sz="0" w:space="0" w:color="auto"/>
            <w:left w:val="none" w:sz="0" w:space="0" w:color="auto"/>
            <w:bottom w:val="none" w:sz="0" w:space="0" w:color="auto"/>
            <w:right w:val="none" w:sz="0" w:space="0" w:color="auto"/>
          </w:divBdr>
        </w:div>
        <w:div w:id="305402642">
          <w:marLeft w:val="446"/>
          <w:marRight w:val="0"/>
          <w:marTop w:val="0"/>
          <w:marBottom w:val="120"/>
          <w:divBdr>
            <w:top w:val="none" w:sz="0" w:space="0" w:color="auto"/>
            <w:left w:val="none" w:sz="0" w:space="0" w:color="auto"/>
            <w:bottom w:val="none" w:sz="0" w:space="0" w:color="auto"/>
            <w:right w:val="none" w:sz="0" w:space="0" w:color="auto"/>
          </w:divBdr>
        </w:div>
        <w:div w:id="162205663">
          <w:marLeft w:val="446"/>
          <w:marRight w:val="0"/>
          <w:marTop w:val="0"/>
          <w:marBottom w:val="120"/>
          <w:divBdr>
            <w:top w:val="none" w:sz="0" w:space="0" w:color="auto"/>
            <w:left w:val="none" w:sz="0" w:space="0" w:color="auto"/>
            <w:bottom w:val="none" w:sz="0" w:space="0" w:color="auto"/>
            <w:right w:val="none" w:sz="0" w:space="0" w:color="auto"/>
          </w:divBdr>
        </w:div>
        <w:div w:id="119735378">
          <w:marLeft w:val="446"/>
          <w:marRight w:val="0"/>
          <w:marTop w:val="0"/>
          <w:marBottom w:val="120"/>
          <w:divBdr>
            <w:top w:val="none" w:sz="0" w:space="0" w:color="auto"/>
            <w:left w:val="none" w:sz="0" w:space="0" w:color="auto"/>
            <w:bottom w:val="none" w:sz="0" w:space="0" w:color="auto"/>
            <w:right w:val="none" w:sz="0" w:space="0" w:color="auto"/>
          </w:divBdr>
        </w:div>
        <w:div w:id="89739123">
          <w:marLeft w:val="446"/>
          <w:marRight w:val="0"/>
          <w:marTop w:val="0"/>
          <w:marBottom w:val="0"/>
          <w:divBdr>
            <w:top w:val="none" w:sz="0" w:space="0" w:color="auto"/>
            <w:left w:val="none" w:sz="0" w:space="0" w:color="auto"/>
            <w:bottom w:val="none" w:sz="0" w:space="0" w:color="auto"/>
            <w:right w:val="none" w:sz="0" w:space="0" w:color="auto"/>
          </w:divBdr>
        </w:div>
      </w:divsChild>
    </w:div>
    <w:div w:id="136726757">
      <w:bodyDiv w:val="1"/>
      <w:marLeft w:val="0"/>
      <w:marRight w:val="0"/>
      <w:marTop w:val="0"/>
      <w:marBottom w:val="0"/>
      <w:divBdr>
        <w:top w:val="none" w:sz="0" w:space="0" w:color="auto"/>
        <w:left w:val="none" w:sz="0" w:space="0" w:color="auto"/>
        <w:bottom w:val="none" w:sz="0" w:space="0" w:color="auto"/>
        <w:right w:val="none" w:sz="0" w:space="0" w:color="auto"/>
      </w:divBdr>
    </w:div>
    <w:div w:id="241067334">
      <w:bodyDiv w:val="1"/>
      <w:marLeft w:val="0"/>
      <w:marRight w:val="0"/>
      <w:marTop w:val="0"/>
      <w:marBottom w:val="0"/>
      <w:divBdr>
        <w:top w:val="none" w:sz="0" w:space="0" w:color="auto"/>
        <w:left w:val="none" w:sz="0" w:space="0" w:color="auto"/>
        <w:bottom w:val="none" w:sz="0" w:space="0" w:color="auto"/>
        <w:right w:val="none" w:sz="0" w:space="0" w:color="auto"/>
      </w:divBdr>
    </w:div>
    <w:div w:id="269554379">
      <w:bodyDiv w:val="1"/>
      <w:marLeft w:val="0"/>
      <w:marRight w:val="0"/>
      <w:marTop w:val="0"/>
      <w:marBottom w:val="0"/>
      <w:divBdr>
        <w:top w:val="none" w:sz="0" w:space="0" w:color="auto"/>
        <w:left w:val="none" w:sz="0" w:space="0" w:color="auto"/>
        <w:bottom w:val="none" w:sz="0" w:space="0" w:color="auto"/>
        <w:right w:val="none" w:sz="0" w:space="0" w:color="auto"/>
      </w:divBdr>
      <w:divsChild>
        <w:div w:id="212347050">
          <w:marLeft w:val="446"/>
          <w:marRight w:val="0"/>
          <w:marTop w:val="0"/>
          <w:marBottom w:val="120"/>
          <w:divBdr>
            <w:top w:val="none" w:sz="0" w:space="0" w:color="auto"/>
            <w:left w:val="none" w:sz="0" w:space="0" w:color="auto"/>
            <w:bottom w:val="none" w:sz="0" w:space="0" w:color="auto"/>
            <w:right w:val="none" w:sz="0" w:space="0" w:color="auto"/>
          </w:divBdr>
        </w:div>
      </w:divsChild>
    </w:div>
    <w:div w:id="283464334">
      <w:bodyDiv w:val="1"/>
      <w:marLeft w:val="0"/>
      <w:marRight w:val="0"/>
      <w:marTop w:val="0"/>
      <w:marBottom w:val="0"/>
      <w:divBdr>
        <w:top w:val="none" w:sz="0" w:space="0" w:color="auto"/>
        <w:left w:val="none" w:sz="0" w:space="0" w:color="auto"/>
        <w:bottom w:val="none" w:sz="0" w:space="0" w:color="auto"/>
        <w:right w:val="none" w:sz="0" w:space="0" w:color="auto"/>
      </w:divBdr>
    </w:div>
    <w:div w:id="314115340">
      <w:bodyDiv w:val="1"/>
      <w:marLeft w:val="0"/>
      <w:marRight w:val="0"/>
      <w:marTop w:val="0"/>
      <w:marBottom w:val="0"/>
      <w:divBdr>
        <w:top w:val="none" w:sz="0" w:space="0" w:color="auto"/>
        <w:left w:val="none" w:sz="0" w:space="0" w:color="auto"/>
        <w:bottom w:val="none" w:sz="0" w:space="0" w:color="auto"/>
        <w:right w:val="none" w:sz="0" w:space="0" w:color="auto"/>
      </w:divBdr>
    </w:div>
    <w:div w:id="319311668">
      <w:bodyDiv w:val="1"/>
      <w:marLeft w:val="0"/>
      <w:marRight w:val="0"/>
      <w:marTop w:val="0"/>
      <w:marBottom w:val="0"/>
      <w:divBdr>
        <w:top w:val="none" w:sz="0" w:space="0" w:color="auto"/>
        <w:left w:val="none" w:sz="0" w:space="0" w:color="auto"/>
        <w:bottom w:val="none" w:sz="0" w:space="0" w:color="auto"/>
        <w:right w:val="none" w:sz="0" w:space="0" w:color="auto"/>
      </w:divBdr>
    </w:div>
    <w:div w:id="325477073">
      <w:bodyDiv w:val="1"/>
      <w:marLeft w:val="0"/>
      <w:marRight w:val="0"/>
      <w:marTop w:val="0"/>
      <w:marBottom w:val="0"/>
      <w:divBdr>
        <w:top w:val="none" w:sz="0" w:space="0" w:color="auto"/>
        <w:left w:val="none" w:sz="0" w:space="0" w:color="auto"/>
        <w:bottom w:val="none" w:sz="0" w:space="0" w:color="auto"/>
        <w:right w:val="none" w:sz="0" w:space="0" w:color="auto"/>
      </w:divBdr>
    </w:div>
    <w:div w:id="349458201">
      <w:bodyDiv w:val="1"/>
      <w:marLeft w:val="0"/>
      <w:marRight w:val="0"/>
      <w:marTop w:val="0"/>
      <w:marBottom w:val="0"/>
      <w:divBdr>
        <w:top w:val="none" w:sz="0" w:space="0" w:color="auto"/>
        <w:left w:val="none" w:sz="0" w:space="0" w:color="auto"/>
        <w:bottom w:val="none" w:sz="0" w:space="0" w:color="auto"/>
        <w:right w:val="none" w:sz="0" w:space="0" w:color="auto"/>
      </w:divBdr>
    </w:div>
    <w:div w:id="365566527">
      <w:bodyDiv w:val="1"/>
      <w:marLeft w:val="0"/>
      <w:marRight w:val="0"/>
      <w:marTop w:val="0"/>
      <w:marBottom w:val="0"/>
      <w:divBdr>
        <w:top w:val="none" w:sz="0" w:space="0" w:color="auto"/>
        <w:left w:val="none" w:sz="0" w:space="0" w:color="auto"/>
        <w:bottom w:val="none" w:sz="0" w:space="0" w:color="auto"/>
        <w:right w:val="none" w:sz="0" w:space="0" w:color="auto"/>
      </w:divBdr>
      <w:divsChild>
        <w:div w:id="1500728890">
          <w:marLeft w:val="0"/>
          <w:marRight w:val="0"/>
          <w:marTop w:val="0"/>
          <w:marBottom w:val="0"/>
          <w:divBdr>
            <w:top w:val="none" w:sz="0" w:space="0" w:color="auto"/>
            <w:left w:val="none" w:sz="0" w:space="0" w:color="auto"/>
            <w:bottom w:val="none" w:sz="0" w:space="0" w:color="auto"/>
            <w:right w:val="none" w:sz="0" w:space="0" w:color="auto"/>
          </w:divBdr>
        </w:div>
        <w:div w:id="378432239">
          <w:marLeft w:val="0"/>
          <w:marRight w:val="0"/>
          <w:marTop w:val="0"/>
          <w:marBottom w:val="0"/>
          <w:divBdr>
            <w:top w:val="none" w:sz="0" w:space="0" w:color="auto"/>
            <w:left w:val="none" w:sz="0" w:space="0" w:color="auto"/>
            <w:bottom w:val="none" w:sz="0" w:space="0" w:color="auto"/>
            <w:right w:val="none" w:sz="0" w:space="0" w:color="auto"/>
          </w:divBdr>
        </w:div>
        <w:div w:id="144247548">
          <w:marLeft w:val="0"/>
          <w:marRight w:val="0"/>
          <w:marTop w:val="0"/>
          <w:marBottom w:val="0"/>
          <w:divBdr>
            <w:top w:val="none" w:sz="0" w:space="0" w:color="auto"/>
            <w:left w:val="none" w:sz="0" w:space="0" w:color="auto"/>
            <w:bottom w:val="none" w:sz="0" w:space="0" w:color="auto"/>
            <w:right w:val="none" w:sz="0" w:space="0" w:color="auto"/>
          </w:divBdr>
        </w:div>
        <w:div w:id="1847479928">
          <w:marLeft w:val="0"/>
          <w:marRight w:val="0"/>
          <w:marTop w:val="0"/>
          <w:marBottom w:val="0"/>
          <w:divBdr>
            <w:top w:val="none" w:sz="0" w:space="0" w:color="auto"/>
            <w:left w:val="none" w:sz="0" w:space="0" w:color="auto"/>
            <w:bottom w:val="none" w:sz="0" w:space="0" w:color="auto"/>
            <w:right w:val="none" w:sz="0" w:space="0" w:color="auto"/>
          </w:divBdr>
        </w:div>
        <w:div w:id="1731886140">
          <w:marLeft w:val="0"/>
          <w:marRight w:val="0"/>
          <w:marTop w:val="0"/>
          <w:marBottom w:val="0"/>
          <w:divBdr>
            <w:top w:val="none" w:sz="0" w:space="0" w:color="auto"/>
            <w:left w:val="none" w:sz="0" w:space="0" w:color="auto"/>
            <w:bottom w:val="none" w:sz="0" w:space="0" w:color="auto"/>
            <w:right w:val="none" w:sz="0" w:space="0" w:color="auto"/>
          </w:divBdr>
        </w:div>
        <w:div w:id="913441943">
          <w:marLeft w:val="0"/>
          <w:marRight w:val="0"/>
          <w:marTop w:val="0"/>
          <w:marBottom w:val="0"/>
          <w:divBdr>
            <w:top w:val="none" w:sz="0" w:space="0" w:color="auto"/>
            <w:left w:val="none" w:sz="0" w:space="0" w:color="auto"/>
            <w:bottom w:val="none" w:sz="0" w:space="0" w:color="auto"/>
            <w:right w:val="none" w:sz="0" w:space="0" w:color="auto"/>
          </w:divBdr>
        </w:div>
      </w:divsChild>
    </w:div>
    <w:div w:id="375811784">
      <w:bodyDiv w:val="1"/>
      <w:marLeft w:val="0"/>
      <w:marRight w:val="0"/>
      <w:marTop w:val="0"/>
      <w:marBottom w:val="0"/>
      <w:divBdr>
        <w:top w:val="none" w:sz="0" w:space="0" w:color="auto"/>
        <w:left w:val="none" w:sz="0" w:space="0" w:color="auto"/>
        <w:bottom w:val="none" w:sz="0" w:space="0" w:color="auto"/>
        <w:right w:val="none" w:sz="0" w:space="0" w:color="auto"/>
      </w:divBdr>
      <w:divsChild>
        <w:div w:id="1471098500">
          <w:marLeft w:val="274"/>
          <w:marRight w:val="0"/>
          <w:marTop w:val="0"/>
          <w:marBottom w:val="0"/>
          <w:divBdr>
            <w:top w:val="none" w:sz="0" w:space="0" w:color="auto"/>
            <w:left w:val="none" w:sz="0" w:space="0" w:color="auto"/>
            <w:bottom w:val="none" w:sz="0" w:space="0" w:color="auto"/>
            <w:right w:val="none" w:sz="0" w:space="0" w:color="auto"/>
          </w:divBdr>
        </w:div>
      </w:divsChild>
    </w:div>
    <w:div w:id="442575216">
      <w:bodyDiv w:val="1"/>
      <w:marLeft w:val="0"/>
      <w:marRight w:val="0"/>
      <w:marTop w:val="0"/>
      <w:marBottom w:val="0"/>
      <w:divBdr>
        <w:top w:val="none" w:sz="0" w:space="0" w:color="auto"/>
        <w:left w:val="none" w:sz="0" w:space="0" w:color="auto"/>
        <w:bottom w:val="none" w:sz="0" w:space="0" w:color="auto"/>
        <w:right w:val="none" w:sz="0" w:space="0" w:color="auto"/>
      </w:divBdr>
    </w:div>
    <w:div w:id="605649442">
      <w:bodyDiv w:val="1"/>
      <w:marLeft w:val="0"/>
      <w:marRight w:val="0"/>
      <w:marTop w:val="0"/>
      <w:marBottom w:val="0"/>
      <w:divBdr>
        <w:top w:val="none" w:sz="0" w:space="0" w:color="auto"/>
        <w:left w:val="none" w:sz="0" w:space="0" w:color="auto"/>
        <w:bottom w:val="none" w:sz="0" w:space="0" w:color="auto"/>
        <w:right w:val="none" w:sz="0" w:space="0" w:color="auto"/>
      </w:divBdr>
      <w:divsChild>
        <w:div w:id="1839493172">
          <w:marLeft w:val="187"/>
          <w:marRight w:val="0"/>
          <w:marTop w:val="0"/>
          <w:marBottom w:val="0"/>
          <w:divBdr>
            <w:top w:val="none" w:sz="0" w:space="0" w:color="auto"/>
            <w:left w:val="none" w:sz="0" w:space="0" w:color="auto"/>
            <w:bottom w:val="none" w:sz="0" w:space="0" w:color="auto"/>
            <w:right w:val="none" w:sz="0" w:space="0" w:color="auto"/>
          </w:divBdr>
        </w:div>
      </w:divsChild>
    </w:div>
    <w:div w:id="652567891">
      <w:bodyDiv w:val="1"/>
      <w:marLeft w:val="0"/>
      <w:marRight w:val="0"/>
      <w:marTop w:val="0"/>
      <w:marBottom w:val="0"/>
      <w:divBdr>
        <w:top w:val="none" w:sz="0" w:space="0" w:color="auto"/>
        <w:left w:val="none" w:sz="0" w:space="0" w:color="auto"/>
        <w:bottom w:val="none" w:sz="0" w:space="0" w:color="auto"/>
        <w:right w:val="none" w:sz="0" w:space="0" w:color="auto"/>
      </w:divBdr>
    </w:div>
    <w:div w:id="697464176">
      <w:bodyDiv w:val="1"/>
      <w:marLeft w:val="0"/>
      <w:marRight w:val="0"/>
      <w:marTop w:val="0"/>
      <w:marBottom w:val="0"/>
      <w:divBdr>
        <w:top w:val="none" w:sz="0" w:space="0" w:color="auto"/>
        <w:left w:val="none" w:sz="0" w:space="0" w:color="auto"/>
        <w:bottom w:val="none" w:sz="0" w:space="0" w:color="auto"/>
        <w:right w:val="none" w:sz="0" w:space="0" w:color="auto"/>
      </w:divBdr>
    </w:div>
    <w:div w:id="720785561">
      <w:bodyDiv w:val="1"/>
      <w:marLeft w:val="0"/>
      <w:marRight w:val="0"/>
      <w:marTop w:val="0"/>
      <w:marBottom w:val="0"/>
      <w:divBdr>
        <w:top w:val="none" w:sz="0" w:space="0" w:color="auto"/>
        <w:left w:val="none" w:sz="0" w:space="0" w:color="auto"/>
        <w:bottom w:val="none" w:sz="0" w:space="0" w:color="auto"/>
        <w:right w:val="none" w:sz="0" w:space="0" w:color="auto"/>
      </w:divBdr>
      <w:divsChild>
        <w:div w:id="1042167409">
          <w:marLeft w:val="274"/>
          <w:marRight w:val="0"/>
          <w:marTop w:val="0"/>
          <w:marBottom w:val="0"/>
          <w:divBdr>
            <w:top w:val="none" w:sz="0" w:space="0" w:color="auto"/>
            <w:left w:val="none" w:sz="0" w:space="0" w:color="auto"/>
            <w:bottom w:val="none" w:sz="0" w:space="0" w:color="auto"/>
            <w:right w:val="none" w:sz="0" w:space="0" w:color="auto"/>
          </w:divBdr>
        </w:div>
      </w:divsChild>
    </w:div>
    <w:div w:id="749692681">
      <w:bodyDiv w:val="1"/>
      <w:marLeft w:val="0"/>
      <w:marRight w:val="0"/>
      <w:marTop w:val="0"/>
      <w:marBottom w:val="0"/>
      <w:divBdr>
        <w:top w:val="none" w:sz="0" w:space="0" w:color="auto"/>
        <w:left w:val="none" w:sz="0" w:space="0" w:color="auto"/>
        <w:bottom w:val="none" w:sz="0" w:space="0" w:color="auto"/>
        <w:right w:val="none" w:sz="0" w:space="0" w:color="auto"/>
      </w:divBdr>
    </w:div>
    <w:div w:id="761530158">
      <w:bodyDiv w:val="1"/>
      <w:marLeft w:val="0"/>
      <w:marRight w:val="0"/>
      <w:marTop w:val="0"/>
      <w:marBottom w:val="0"/>
      <w:divBdr>
        <w:top w:val="none" w:sz="0" w:space="0" w:color="auto"/>
        <w:left w:val="none" w:sz="0" w:space="0" w:color="auto"/>
        <w:bottom w:val="none" w:sz="0" w:space="0" w:color="auto"/>
        <w:right w:val="none" w:sz="0" w:space="0" w:color="auto"/>
      </w:divBdr>
    </w:div>
    <w:div w:id="761805877">
      <w:bodyDiv w:val="1"/>
      <w:marLeft w:val="0"/>
      <w:marRight w:val="0"/>
      <w:marTop w:val="0"/>
      <w:marBottom w:val="0"/>
      <w:divBdr>
        <w:top w:val="none" w:sz="0" w:space="0" w:color="auto"/>
        <w:left w:val="none" w:sz="0" w:space="0" w:color="auto"/>
        <w:bottom w:val="none" w:sz="0" w:space="0" w:color="auto"/>
        <w:right w:val="none" w:sz="0" w:space="0" w:color="auto"/>
      </w:divBdr>
    </w:div>
    <w:div w:id="769934743">
      <w:bodyDiv w:val="1"/>
      <w:marLeft w:val="0"/>
      <w:marRight w:val="0"/>
      <w:marTop w:val="0"/>
      <w:marBottom w:val="0"/>
      <w:divBdr>
        <w:top w:val="none" w:sz="0" w:space="0" w:color="auto"/>
        <w:left w:val="none" w:sz="0" w:space="0" w:color="auto"/>
        <w:bottom w:val="none" w:sz="0" w:space="0" w:color="auto"/>
        <w:right w:val="none" w:sz="0" w:space="0" w:color="auto"/>
      </w:divBdr>
    </w:div>
    <w:div w:id="789788392">
      <w:bodyDiv w:val="1"/>
      <w:marLeft w:val="0"/>
      <w:marRight w:val="0"/>
      <w:marTop w:val="0"/>
      <w:marBottom w:val="0"/>
      <w:divBdr>
        <w:top w:val="none" w:sz="0" w:space="0" w:color="auto"/>
        <w:left w:val="none" w:sz="0" w:space="0" w:color="auto"/>
        <w:bottom w:val="none" w:sz="0" w:space="0" w:color="auto"/>
        <w:right w:val="none" w:sz="0" w:space="0" w:color="auto"/>
      </w:divBdr>
    </w:div>
    <w:div w:id="811483504">
      <w:bodyDiv w:val="1"/>
      <w:marLeft w:val="0"/>
      <w:marRight w:val="0"/>
      <w:marTop w:val="0"/>
      <w:marBottom w:val="0"/>
      <w:divBdr>
        <w:top w:val="none" w:sz="0" w:space="0" w:color="auto"/>
        <w:left w:val="none" w:sz="0" w:space="0" w:color="auto"/>
        <w:bottom w:val="none" w:sz="0" w:space="0" w:color="auto"/>
        <w:right w:val="none" w:sz="0" w:space="0" w:color="auto"/>
      </w:divBdr>
      <w:divsChild>
        <w:div w:id="1804611450">
          <w:marLeft w:val="446"/>
          <w:marRight w:val="0"/>
          <w:marTop w:val="0"/>
          <w:marBottom w:val="120"/>
          <w:divBdr>
            <w:top w:val="none" w:sz="0" w:space="0" w:color="auto"/>
            <w:left w:val="none" w:sz="0" w:space="0" w:color="auto"/>
            <w:bottom w:val="none" w:sz="0" w:space="0" w:color="auto"/>
            <w:right w:val="none" w:sz="0" w:space="0" w:color="auto"/>
          </w:divBdr>
        </w:div>
        <w:div w:id="1161849805">
          <w:marLeft w:val="446"/>
          <w:marRight w:val="0"/>
          <w:marTop w:val="0"/>
          <w:marBottom w:val="0"/>
          <w:divBdr>
            <w:top w:val="none" w:sz="0" w:space="0" w:color="auto"/>
            <w:left w:val="none" w:sz="0" w:space="0" w:color="auto"/>
            <w:bottom w:val="none" w:sz="0" w:space="0" w:color="auto"/>
            <w:right w:val="none" w:sz="0" w:space="0" w:color="auto"/>
          </w:divBdr>
        </w:div>
      </w:divsChild>
    </w:div>
    <w:div w:id="823663711">
      <w:bodyDiv w:val="1"/>
      <w:marLeft w:val="0"/>
      <w:marRight w:val="0"/>
      <w:marTop w:val="0"/>
      <w:marBottom w:val="0"/>
      <w:divBdr>
        <w:top w:val="none" w:sz="0" w:space="0" w:color="auto"/>
        <w:left w:val="none" w:sz="0" w:space="0" w:color="auto"/>
        <w:bottom w:val="none" w:sz="0" w:space="0" w:color="auto"/>
        <w:right w:val="none" w:sz="0" w:space="0" w:color="auto"/>
      </w:divBdr>
      <w:divsChild>
        <w:div w:id="1417092730">
          <w:marLeft w:val="274"/>
          <w:marRight w:val="0"/>
          <w:marTop w:val="0"/>
          <w:marBottom w:val="0"/>
          <w:divBdr>
            <w:top w:val="none" w:sz="0" w:space="0" w:color="auto"/>
            <w:left w:val="none" w:sz="0" w:space="0" w:color="auto"/>
            <w:bottom w:val="none" w:sz="0" w:space="0" w:color="auto"/>
            <w:right w:val="none" w:sz="0" w:space="0" w:color="auto"/>
          </w:divBdr>
        </w:div>
        <w:div w:id="1069036072">
          <w:marLeft w:val="274"/>
          <w:marRight w:val="0"/>
          <w:marTop w:val="0"/>
          <w:marBottom w:val="0"/>
          <w:divBdr>
            <w:top w:val="none" w:sz="0" w:space="0" w:color="auto"/>
            <w:left w:val="none" w:sz="0" w:space="0" w:color="auto"/>
            <w:bottom w:val="none" w:sz="0" w:space="0" w:color="auto"/>
            <w:right w:val="none" w:sz="0" w:space="0" w:color="auto"/>
          </w:divBdr>
        </w:div>
      </w:divsChild>
    </w:div>
    <w:div w:id="880434028">
      <w:bodyDiv w:val="1"/>
      <w:marLeft w:val="0"/>
      <w:marRight w:val="0"/>
      <w:marTop w:val="0"/>
      <w:marBottom w:val="0"/>
      <w:divBdr>
        <w:top w:val="none" w:sz="0" w:space="0" w:color="auto"/>
        <w:left w:val="none" w:sz="0" w:space="0" w:color="auto"/>
        <w:bottom w:val="none" w:sz="0" w:space="0" w:color="auto"/>
        <w:right w:val="none" w:sz="0" w:space="0" w:color="auto"/>
      </w:divBdr>
    </w:div>
    <w:div w:id="889611382">
      <w:bodyDiv w:val="1"/>
      <w:marLeft w:val="0"/>
      <w:marRight w:val="0"/>
      <w:marTop w:val="0"/>
      <w:marBottom w:val="0"/>
      <w:divBdr>
        <w:top w:val="none" w:sz="0" w:space="0" w:color="auto"/>
        <w:left w:val="none" w:sz="0" w:space="0" w:color="auto"/>
        <w:bottom w:val="none" w:sz="0" w:space="0" w:color="auto"/>
        <w:right w:val="none" w:sz="0" w:space="0" w:color="auto"/>
      </w:divBdr>
    </w:div>
    <w:div w:id="1034305469">
      <w:bodyDiv w:val="1"/>
      <w:marLeft w:val="0"/>
      <w:marRight w:val="0"/>
      <w:marTop w:val="0"/>
      <w:marBottom w:val="0"/>
      <w:divBdr>
        <w:top w:val="none" w:sz="0" w:space="0" w:color="auto"/>
        <w:left w:val="none" w:sz="0" w:space="0" w:color="auto"/>
        <w:bottom w:val="none" w:sz="0" w:space="0" w:color="auto"/>
        <w:right w:val="none" w:sz="0" w:space="0" w:color="auto"/>
      </w:divBdr>
    </w:div>
    <w:div w:id="1049841225">
      <w:bodyDiv w:val="1"/>
      <w:marLeft w:val="0"/>
      <w:marRight w:val="0"/>
      <w:marTop w:val="0"/>
      <w:marBottom w:val="0"/>
      <w:divBdr>
        <w:top w:val="none" w:sz="0" w:space="0" w:color="auto"/>
        <w:left w:val="none" w:sz="0" w:space="0" w:color="auto"/>
        <w:bottom w:val="none" w:sz="0" w:space="0" w:color="auto"/>
        <w:right w:val="none" w:sz="0" w:space="0" w:color="auto"/>
      </w:divBdr>
    </w:div>
    <w:div w:id="1076516550">
      <w:bodyDiv w:val="1"/>
      <w:marLeft w:val="0"/>
      <w:marRight w:val="0"/>
      <w:marTop w:val="0"/>
      <w:marBottom w:val="0"/>
      <w:divBdr>
        <w:top w:val="none" w:sz="0" w:space="0" w:color="auto"/>
        <w:left w:val="none" w:sz="0" w:space="0" w:color="auto"/>
        <w:bottom w:val="none" w:sz="0" w:space="0" w:color="auto"/>
        <w:right w:val="none" w:sz="0" w:space="0" w:color="auto"/>
      </w:divBdr>
    </w:div>
    <w:div w:id="1103571704">
      <w:bodyDiv w:val="1"/>
      <w:marLeft w:val="0"/>
      <w:marRight w:val="0"/>
      <w:marTop w:val="0"/>
      <w:marBottom w:val="0"/>
      <w:divBdr>
        <w:top w:val="none" w:sz="0" w:space="0" w:color="auto"/>
        <w:left w:val="none" w:sz="0" w:space="0" w:color="auto"/>
        <w:bottom w:val="none" w:sz="0" w:space="0" w:color="auto"/>
        <w:right w:val="none" w:sz="0" w:space="0" w:color="auto"/>
      </w:divBdr>
      <w:divsChild>
        <w:div w:id="1052466144">
          <w:marLeft w:val="274"/>
          <w:marRight w:val="0"/>
          <w:marTop w:val="0"/>
          <w:marBottom w:val="0"/>
          <w:divBdr>
            <w:top w:val="none" w:sz="0" w:space="0" w:color="auto"/>
            <w:left w:val="none" w:sz="0" w:space="0" w:color="auto"/>
            <w:bottom w:val="none" w:sz="0" w:space="0" w:color="auto"/>
            <w:right w:val="none" w:sz="0" w:space="0" w:color="auto"/>
          </w:divBdr>
        </w:div>
        <w:div w:id="1732583703">
          <w:marLeft w:val="274"/>
          <w:marRight w:val="0"/>
          <w:marTop w:val="0"/>
          <w:marBottom w:val="0"/>
          <w:divBdr>
            <w:top w:val="none" w:sz="0" w:space="0" w:color="auto"/>
            <w:left w:val="none" w:sz="0" w:space="0" w:color="auto"/>
            <w:bottom w:val="none" w:sz="0" w:space="0" w:color="auto"/>
            <w:right w:val="none" w:sz="0" w:space="0" w:color="auto"/>
          </w:divBdr>
        </w:div>
      </w:divsChild>
    </w:div>
    <w:div w:id="1129669174">
      <w:bodyDiv w:val="1"/>
      <w:marLeft w:val="0"/>
      <w:marRight w:val="0"/>
      <w:marTop w:val="0"/>
      <w:marBottom w:val="0"/>
      <w:divBdr>
        <w:top w:val="none" w:sz="0" w:space="0" w:color="auto"/>
        <w:left w:val="none" w:sz="0" w:space="0" w:color="auto"/>
        <w:bottom w:val="none" w:sz="0" w:space="0" w:color="auto"/>
        <w:right w:val="none" w:sz="0" w:space="0" w:color="auto"/>
      </w:divBdr>
      <w:divsChild>
        <w:div w:id="1356616488">
          <w:marLeft w:val="274"/>
          <w:marRight w:val="0"/>
          <w:marTop w:val="0"/>
          <w:marBottom w:val="0"/>
          <w:divBdr>
            <w:top w:val="none" w:sz="0" w:space="0" w:color="auto"/>
            <w:left w:val="none" w:sz="0" w:space="0" w:color="auto"/>
            <w:bottom w:val="none" w:sz="0" w:space="0" w:color="auto"/>
            <w:right w:val="none" w:sz="0" w:space="0" w:color="auto"/>
          </w:divBdr>
        </w:div>
      </w:divsChild>
    </w:div>
    <w:div w:id="1154613316">
      <w:bodyDiv w:val="1"/>
      <w:marLeft w:val="0"/>
      <w:marRight w:val="0"/>
      <w:marTop w:val="0"/>
      <w:marBottom w:val="0"/>
      <w:divBdr>
        <w:top w:val="none" w:sz="0" w:space="0" w:color="auto"/>
        <w:left w:val="none" w:sz="0" w:space="0" w:color="auto"/>
        <w:bottom w:val="none" w:sz="0" w:space="0" w:color="auto"/>
        <w:right w:val="none" w:sz="0" w:space="0" w:color="auto"/>
      </w:divBdr>
    </w:div>
    <w:div w:id="1160734633">
      <w:bodyDiv w:val="1"/>
      <w:marLeft w:val="0"/>
      <w:marRight w:val="0"/>
      <w:marTop w:val="0"/>
      <w:marBottom w:val="0"/>
      <w:divBdr>
        <w:top w:val="none" w:sz="0" w:space="0" w:color="auto"/>
        <w:left w:val="none" w:sz="0" w:space="0" w:color="auto"/>
        <w:bottom w:val="none" w:sz="0" w:space="0" w:color="auto"/>
        <w:right w:val="none" w:sz="0" w:space="0" w:color="auto"/>
      </w:divBdr>
      <w:divsChild>
        <w:div w:id="203949488">
          <w:marLeft w:val="274"/>
          <w:marRight w:val="0"/>
          <w:marTop w:val="0"/>
          <w:marBottom w:val="0"/>
          <w:divBdr>
            <w:top w:val="none" w:sz="0" w:space="0" w:color="auto"/>
            <w:left w:val="none" w:sz="0" w:space="0" w:color="auto"/>
            <w:bottom w:val="none" w:sz="0" w:space="0" w:color="auto"/>
            <w:right w:val="none" w:sz="0" w:space="0" w:color="auto"/>
          </w:divBdr>
        </w:div>
      </w:divsChild>
    </w:div>
    <w:div w:id="1172570325">
      <w:bodyDiv w:val="1"/>
      <w:marLeft w:val="0"/>
      <w:marRight w:val="0"/>
      <w:marTop w:val="0"/>
      <w:marBottom w:val="0"/>
      <w:divBdr>
        <w:top w:val="none" w:sz="0" w:space="0" w:color="auto"/>
        <w:left w:val="none" w:sz="0" w:space="0" w:color="auto"/>
        <w:bottom w:val="none" w:sz="0" w:space="0" w:color="auto"/>
        <w:right w:val="none" w:sz="0" w:space="0" w:color="auto"/>
      </w:divBdr>
    </w:div>
    <w:div w:id="1211914721">
      <w:bodyDiv w:val="1"/>
      <w:marLeft w:val="0"/>
      <w:marRight w:val="0"/>
      <w:marTop w:val="0"/>
      <w:marBottom w:val="0"/>
      <w:divBdr>
        <w:top w:val="none" w:sz="0" w:space="0" w:color="auto"/>
        <w:left w:val="none" w:sz="0" w:space="0" w:color="auto"/>
        <w:bottom w:val="none" w:sz="0" w:space="0" w:color="auto"/>
        <w:right w:val="none" w:sz="0" w:space="0" w:color="auto"/>
      </w:divBdr>
      <w:divsChild>
        <w:div w:id="1045913855">
          <w:marLeft w:val="173"/>
          <w:marRight w:val="0"/>
          <w:marTop w:val="0"/>
          <w:marBottom w:val="0"/>
          <w:divBdr>
            <w:top w:val="none" w:sz="0" w:space="0" w:color="auto"/>
            <w:left w:val="none" w:sz="0" w:space="0" w:color="auto"/>
            <w:bottom w:val="none" w:sz="0" w:space="0" w:color="auto"/>
            <w:right w:val="none" w:sz="0" w:space="0" w:color="auto"/>
          </w:divBdr>
        </w:div>
      </w:divsChild>
    </w:div>
    <w:div w:id="1312826629">
      <w:bodyDiv w:val="1"/>
      <w:marLeft w:val="0"/>
      <w:marRight w:val="0"/>
      <w:marTop w:val="0"/>
      <w:marBottom w:val="0"/>
      <w:divBdr>
        <w:top w:val="none" w:sz="0" w:space="0" w:color="auto"/>
        <w:left w:val="none" w:sz="0" w:space="0" w:color="auto"/>
        <w:bottom w:val="none" w:sz="0" w:space="0" w:color="auto"/>
        <w:right w:val="none" w:sz="0" w:space="0" w:color="auto"/>
      </w:divBdr>
      <w:divsChild>
        <w:div w:id="1618829224">
          <w:marLeft w:val="274"/>
          <w:marRight w:val="0"/>
          <w:marTop w:val="0"/>
          <w:marBottom w:val="0"/>
          <w:divBdr>
            <w:top w:val="none" w:sz="0" w:space="0" w:color="auto"/>
            <w:left w:val="none" w:sz="0" w:space="0" w:color="auto"/>
            <w:bottom w:val="none" w:sz="0" w:space="0" w:color="auto"/>
            <w:right w:val="none" w:sz="0" w:space="0" w:color="auto"/>
          </w:divBdr>
        </w:div>
      </w:divsChild>
    </w:div>
    <w:div w:id="1341472072">
      <w:bodyDiv w:val="1"/>
      <w:marLeft w:val="0"/>
      <w:marRight w:val="0"/>
      <w:marTop w:val="0"/>
      <w:marBottom w:val="0"/>
      <w:divBdr>
        <w:top w:val="none" w:sz="0" w:space="0" w:color="auto"/>
        <w:left w:val="none" w:sz="0" w:space="0" w:color="auto"/>
        <w:bottom w:val="none" w:sz="0" w:space="0" w:color="auto"/>
        <w:right w:val="none" w:sz="0" w:space="0" w:color="auto"/>
      </w:divBdr>
      <w:divsChild>
        <w:div w:id="1488011084">
          <w:marLeft w:val="173"/>
          <w:marRight w:val="0"/>
          <w:marTop w:val="0"/>
          <w:marBottom w:val="0"/>
          <w:divBdr>
            <w:top w:val="none" w:sz="0" w:space="0" w:color="auto"/>
            <w:left w:val="none" w:sz="0" w:space="0" w:color="auto"/>
            <w:bottom w:val="none" w:sz="0" w:space="0" w:color="auto"/>
            <w:right w:val="none" w:sz="0" w:space="0" w:color="auto"/>
          </w:divBdr>
        </w:div>
      </w:divsChild>
    </w:div>
    <w:div w:id="1366519189">
      <w:bodyDiv w:val="1"/>
      <w:marLeft w:val="0"/>
      <w:marRight w:val="0"/>
      <w:marTop w:val="0"/>
      <w:marBottom w:val="0"/>
      <w:divBdr>
        <w:top w:val="none" w:sz="0" w:space="0" w:color="auto"/>
        <w:left w:val="none" w:sz="0" w:space="0" w:color="auto"/>
        <w:bottom w:val="none" w:sz="0" w:space="0" w:color="auto"/>
        <w:right w:val="none" w:sz="0" w:space="0" w:color="auto"/>
      </w:divBdr>
      <w:divsChild>
        <w:div w:id="1631397239">
          <w:marLeft w:val="173"/>
          <w:marRight w:val="0"/>
          <w:marTop w:val="0"/>
          <w:marBottom w:val="0"/>
          <w:divBdr>
            <w:top w:val="none" w:sz="0" w:space="0" w:color="auto"/>
            <w:left w:val="none" w:sz="0" w:space="0" w:color="auto"/>
            <w:bottom w:val="none" w:sz="0" w:space="0" w:color="auto"/>
            <w:right w:val="none" w:sz="0" w:space="0" w:color="auto"/>
          </w:divBdr>
        </w:div>
      </w:divsChild>
    </w:div>
    <w:div w:id="1439832651">
      <w:bodyDiv w:val="1"/>
      <w:marLeft w:val="0"/>
      <w:marRight w:val="0"/>
      <w:marTop w:val="0"/>
      <w:marBottom w:val="0"/>
      <w:divBdr>
        <w:top w:val="none" w:sz="0" w:space="0" w:color="auto"/>
        <w:left w:val="none" w:sz="0" w:space="0" w:color="auto"/>
        <w:bottom w:val="none" w:sz="0" w:space="0" w:color="auto"/>
        <w:right w:val="none" w:sz="0" w:space="0" w:color="auto"/>
      </w:divBdr>
      <w:divsChild>
        <w:div w:id="775172202">
          <w:marLeft w:val="274"/>
          <w:marRight w:val="0"/>
          <w:marTop w:val="0"/>
          <w:marBottom w:val="0"/>
          <w:divBdr>
            <w:top w:val="none" w:sz="0" w:space="0" w:color="auto"/>
            <w:left w:val="none" w:sz="0" w:space="0" w:color="auto"/>
            <w:bottom w:val="none" w:sz="0" w:space="0" w:color="auto"/>
            <w:right w:val="none" w:sz="0" w:space="0" w:color="auto"/>
          </w:divBdr>
        </w:div>
      </w:divsChild>
    </w:div>
    <w:div w:id="1489782793">
      <w:bodyDiv w:val="1"/>
      <w:marLeft w:val="0"/>
      <w:marRight w:val="0"/>
      <w:marTop w:val="0"/>
      <w:marBottom w:val="0"/>
      <w:divBdr>
        <w:top w:val="none" w:sz="0" w:space="0" w:color="auto"/>
        <w:left w:val="none" w:sz="0" w:space="0" w:color="auto"/>
        <w:bottom w:val="none" w:sz="0" w:space="0" w:color="auto"/>
        <w:right w:val="none" w:sz="0" w:space="0" w:color="auto"/>
      </w:divBdr>
    </w:div>
    <w:div w:id="1551065730">
      <w:bodyDiv w:val="1"/>
      <w:marLeft w:val="0"/>
      <w:marRight w:val="0"/>
      <w:marTop w:val="0"/>
      <w:marBottom w:val="0"/>
      <w:divBdr>
        <w:top w:val="none" w:sz="0" w:space="0" w:color="auto"/>
        <w:left w:val="none" w:sz="0" w:space="0" w:color="auto"/>
        <w:bottom w:val="none" w:sz="0" w:space="0" w:color="auto"/>
        <w:right w:val="none" w:sz="0" w:space="0" w:color="auto"/>
      </w:divBdr>
    </w:div>
    <w:div w:id="1558123922">
      <w:bodyDiv w:val="1"/>
      <w:marLeft w:val="0"/>
      <w:marRight w:val="0"/>
      <w:marTop w:val="0"/>
      <w:marBottom w:val="0"/>
      <w:divBdr>
        <w:top w:val="none" w:sz="0" w:space="0" w:color="auto"/>
        <w:left w:val="none" w:sz="0" w:space="0" w:color="auto"/>
        <w:bottom w:val="none" w:sz="0" w:space="0" w:color="auto"/>
        <w:right w:val="none" w:sz="0" w:space="0" w:color="auto"/>
      </w:divBdr>
    </w:div>
    <w:div w:id="1765370710">
      <w:bodyDiv w:val="1"/>
      <w:marLeft w:val="0"/>
      <w:marRight w:val="0"/>
      <w:marTop w:val="0"/>
      <w:marBottom w:val="0"/>
      <w:divBdr>
        <w:top w:val="none" w:sz="0" w:space="0" w:color="auto"/>
        <w:left w:val="none" w:sz="0" w:space="0" w:color="auto"/>
        <w:bottom w:val="none" w:sz="0" w:space="0" w:color="auto"/>
        <w:right w:val="none" w:sz="0" w:space="0" w:color="auto"/>
      </w:divBdr>
      <w:divsChild>
        <w:div w:id="35083102">
          <w:marLeft w:val="274"/>
          <w:marRight w:val="0"/>
          <w:marTop w:val="84"/>
          <w:marBottom w:val="0"/>
          <w:divBdr>
            <w:top w:val="none" w:sz="0" w:space="0" w:color="auto"/>
            <w:left w:val="none" w:sz="0" w:space="0" w:color="auto"/>
            <w:bottom w:val="none" w:sz="0" w:space="0" w:color="auto"/>
            <w:right w:val="none" w:sz="0" w:space="0" w:color="auto"/>
          </w:divBdr>
        </w:div>
      </w:divsChild>
    </w:div>
    <w:div w:id="1837839942">
      <w:bodyDiv w:val="1"/>
      <w:marLeft w:val="0"/>
      <w:marRight w:val="0"/>
      <w:marTop w:val="0"/>
      <w:marBottom w:val="0"/>
      <w:divBdr>
        <w:top w:val="none" w:sz="0" w:space="0" w:color="auto"/>
        <w:left w:val="none" w:sz="0" w:space="0" w:color="auto"/>
        <w:bottom w:val="none" w:sz="0" w:space="0" w:color="auto"/>
        <w:right w:val="none" w:sz="0" w:space="0" w:color="auto"/>
      </w:divBdr>
    </w:div>
    <w:div w:id="1848713883">
      <w:bodyDiv w:val="1"/>
      <w:marLeft w:val="0"/>
      <w:marRight w:val="0"/>
      <w:marTop w:val="0"/>
      <w:marBottom w:val="0"/>
      <w:divBdr>
        <w:top w:val="none" w:sz="0" w:space="0" w:color="auto"/>
        <w:left w:val="none" w:sz="0" w:space="0" w:color="auto"/>
        <w:bottom w:val="none" w:sz="0" w:space="0" w:color="auto"/>
        <w:right w:val="none" w:sz="0" w:space="0" w:color="auto"/>
      </w:divBdr>
    </w:div>
    <w:div w:id="1849366652">
      <w:bodyDiv w:val="1"/>
      <w:marLeft w:val="0"/>
      <w:marRight w:val="0"/>
      <w:marTop w:val="0"/>
      <w:marBottom w:val="0"/>
      <w:divBdr>
        <w:top w:val="none" w:sz="0" w:space="0" w:color="auto"/>
        <w:left w:val="none" w:sz="0" w:space="0" w:color="auto"/>
        <w:bottom w:val="none" w:sz="0" w:space="0" w:color="auto"/>
        <w:right w:val="none" w:sz="0" w:space="0" w:color="auto"/>
      </w:divBdr>
      <w:divsChild>
        <w:div w:id="553666117">
          <w:marLeft w:val="274"/>
          <w:marRight w:val="0"/>
          <w:marTop w:val="0"/>
          <w:marBottom w:val="0"/>
          <w:divBdr>
            <w:top w:val="none" w:sz="0" w:space="0" w:color="auto"/>
            <w:left w:val="none" w:sz="0" w:space="0" w:color="auto"/>
            <w:bottom w:val="none" w:sz="0" w:space="0" w:color="auto"/>
            <w:right w:val="none" w:sz="0" w:space="0" w:color="auto"/>
          </w:divBdr>
        </w:div>
      </w:divsChild>
    </w:div>
    <w:div w:id="1865747145">
      <w:bodyDiv w:val="1"/>
      <w:marLeft w:val="0"/>
      <w:marRight w:val="0"/>
      <w:marTop w:val="0"/>
      <w:marBottom w:val="0"/>
      <w:divBdr>
        <w:top w:val="none" w:sz="0" w:space="0" w:color="auto"/>
        <w:left w:val="none" w:sz="0" w:space="0" w:color="auto"/>
        <w:bottom w:val="none" w:sz="0" w:space="0" w:color="auto"/>
        <w:right w:val="none" w:sz="0" w:space="0" w:color="auto"/>
      </w:divBdr>
      <w:divsChild>
        <w:div w:id="1789933111">
          <w:marLeft w:val="274"/>
          <w:marRight w:val="0"/>
          <w:marTop w:val="0"/>
          <w:marBottom w:val="0"/>
          <w:divBdr>
            <w:top w:val="none" w:sz="0" w:space="0" w:color="auto"/>
            <w:left w:val="none" w:sz="0" w:space="0" w:color="auto"/>
            <w:bottom w:val="none" w:sz="0" w:space="0" w:color="auto"/>
            <w:right w:val="none" w:sz="0" w:space="0" w:color="auto"/>
          </w:divBdr>
        </w:div>
      </w:divsChild>
    </w:div>
    <w:div w:id="1876574549">
      <w:bodyDiv w:val="1"/>
      <w:marLeft w:val="0"/>
      <w:marRight w:val="0"/>
      <w:marTop w:val="0"/>
      <w:marBottom w:val="0"/>
      <w:divBdr>
        <w:top w:val="none" w:sz="0" w:space="0" w:color="auto"/>
        <w:left w:val="none" w:sz="0" w:space="0" w:color="auto"/>
        <w:bottom w:val="none" w:sz="0" w:space="0" w:color="auto"/>
        <w:right w:val="none" w:sz="0" w:space="0" w:color="auto"/>
      </w:divBdr>
      <w:divsChild>
        <w:div w:id="1908570810">
          <w:marLeft w:val="173"/>
          <w:marRight w:val="0"/>
          <w:marTop w:val="0"/>
          <w:marBottom w:val="0"/>
          <w:divBdr>
            <w:top w:val="none" w:sz="0" w:space="0" w:color="auto"/>
            <w:left w:val="none" w:sz="0" w:space="0" w:color="auto"/>
            <w:bottom w:val="none" w:sz="0" w:space="0" w:color="auto"/>
            <w:right w:val="none" w:sz="0" w:space="0" w:color="auto"/>
          </w:divBdr>
        </w:div>
      </w:divsChild>
    </w:div>
    <w:div w:id="1914007709">
      <w:bodyDiv w:val="1"/>
      <w:marLeft w:val="0"/>
      <w:marRight w:val="0"/>
      <w:marTop w:val="0"/>
      <w:marBottom w:val="0"/>
      <w:divBdr>
        <w:top w:val="none" w:sz="0" w:space="0" w:color="auto"/>
        <w:left w:val="none" w:sz="0" w:space="0" w:color="auto"/>
        <w:bottom w:val="none" w:sz="0" w:space="0" w:color="auto"/>
        <w:right w:val="none" w:sz="0" w:space="0" w:color="auto"/>
      </w:divBdr>
    </w:div>
    <w:div w:id="1941065838">
      <w:bodyDiv w:val="1"/>
      <w:marLeft w:val="0"/>
      <w:marRight w:val="0"/>
      <w:marTop w:val="0"/>
      <w:marBottom w:val="0"/>
      <w:divBdr>
        <w:top w:val="none" w:sz="0" w:space="0" w:color="auto"/>
        <w:left w:val="none" w:sz="0" w:space="0" w:color="auto"/>
        <w:bottom w:val="none" w:sz="0" w:space="0" w:color="auto"/>
        <w:right w:val="none" w:sz="0" w:space="0" w:color="auto"/>
      </w:divBdr>
      <w:divsChild>
        <w:div w:id="965937689">
          <w:marLeft w:val="274"/>
          <w:marRight w:val="0"/>
          <w:marTop w:val="0"/>
          <w:marBottom w:val="0"/>
          <w:divBdr>
            <w:top w:val="none" w:sz="0" w:space="0" w:color="auto"/>
            <w:left w:val="none" w:sz="0" w:space="0" w:color="auto"/>
            <w:bottom w:val="none" w:sz="0" w:space="0" w:color="auto"/>
            <w:right w:val="none" w:sz="0" w:space="0" w:color="auto"/>
          </w:divBdr>
        </w:div>
      </w:divsChild>
    </w:div>
    <w:div w:id="1943494976">
      <w:bodyDiv w:val="1"/>
      <w:marLeft w:val="0"/>
      <w:marRight w:val="0"/>
      <w:marTop w:val="0"/>
      <w:marBottom w:val="0"/>
      <w:divBdr>
        <w:top w:val="none" w:sz="0" w:space="0" w:color="auto"/>
        <w:left w:val="none" w:sz="0" w:space="0" w:color="auto"/>
        <w:bottom w:val="none" w:sz="0" w:space="0" w:color="auto"/>
        <w:right w:val="none" w:sz="0" w:space="0" w:color="auto"/>
      </w:divBdr>
    </w:div>
    <w:div w:id="2017539438">
      <w:bodyDiv w:val="1"/>
      <w:marLeft w:val="0"/>
      <w:marRight w:val="0"/>
      <w:marTop w:val="0"/>
      <w:marBottom w:val="0"/>
      <w:divBdr>
        <w:top w:val="none" w:sz="0" w:space="0" w:color="auto"/>
        <w:left w:val="none" w:sz="0" w:space="0" w:color="auto"/>
        <w:bottom w:val="none" w:sz="0" w:space="0" w:color="auto"/>
        <w:right w:val="none" w:sz="0" w:space="0" w:color="auto"/>
      </w:divBdr>
      <w:divsChild>
        <w:div w:id="1657103156">
          <w:marLeft w:val="288"/>
          <w:marRight w:val="0"/>
          <w:marTop w:val="24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file:///\\corpormabop3\docs\CRMIS\DEPT\REPORTS\Credit%20Metrics" TargetMode="Externa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2A840C5-5D86-4AA8-AA1B-E52F15237F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50</Pages>
  <Words>12317</Words>
  <Characters>70208</Characters>
  <Application>Microsoft Office Word</Application>
  <DocSecurity>0</DocSecurity>
  <Lines>585</Lines>
  <Paragraphs>164</Paragraphs>
  <ScaleCrop>false</ScaleCrop>
  <HeadingPairs>
    <vt:vector size="2" baseType="variant">
      <vt:variant>
        <vt:lpstr>Title</vt:lpstr>
      </vt:variant>
      <vt:variant>
        <vt:i4>1</vt:i4>
      </vt:variant>
    </vt:vector>
  </HeadingPairs>
  <TitlesOfParts>
    <vt:vector size="1" baseType="lpstr">
      <vt:lpstr/>
    </vt:vector>
  </TitlesOfParts>
  <Company>Sovereign Bank</Company>
  <LinksUpToDate>false</LinksUpToDate>
  <CharactersWithSpaces>82361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Jaume Martorell</dc:creator>
  <cp:lastModifiedBy>Parrish, Rut</cp:lastModifiedBy>
  <cp:revision>5</cp:revision>
  <cp:lastPrinted>2016-06-13T17:03:00Z</cp:lastPrinted>
  <dcterms:created xsi:type="dcterms:W3CDTF">2016-06-23T14:52:00Z</dcterms:created>
  <dcterms:modified xsi:type="dcterms:W3CDTF">2016-06-23T15:09:00Z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MSOLanguageID">
    <vt:lpwstr>msoLanguageIDEnglishUK</vt:lpwstr>
  </property>
</Properties>
</file>