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BC" w:rsidRPr="00284C50" w:rsidRDefault="00F029ED">
      <w:pPr>
        <w:rPr>
          <w:rFonts w:ascii="Arial" w:hAnsi="Arial" w:cs="Arial"/>
          <w:b/>
          <w:sz w:val="22"/>
          <w:szCs w:val="22"/>
          <w:u w:val="single"/>
          <w:lang w:val="it-IT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  <w:lang w:val="it-IT"/>
        </w:rPr>
        <w:t>Appendix</w:t>
      </w:r>
      <w:proofErr w:type="spellEnd"/>
      <w:r>
        <w:rPr>
          <w:rFonts w:ascii="Arial" w:hAnsi="Arial" w:cs="Arial"/>
          <w:b/>
          <w:sz w:val="22"/>
          <w:szCs w:val="22"/>
          <w:u w:val="single"/>
          <w:lang w:val="it-IT"/>
        </w:rPr>
        <w:t xml:space="preserve"> II</w:t>
      </w:r>
      <w:r w:rsidR="006D40BC" w:rsidRPr="00284C50">
        <w:rPr>
          <w:rFonts w:ascii="Arial" w:hAnsi="Arial" w:cs="Arial"/>
          <w:b/>
          <w:sz w:val="22"/>
          <w:szCs w:val="22"/>
          <w:u w:val="single"/>
          <w:lang w:val="it-IT"/>
        </w:rPr>
        <w:t xml:space="preserve"> – </w:t>
      </w:r>
      <w:proofErr w:type="spellStart"/>
      <w:r w:rsidR="00284C50" w:rsidRPr="00284C50">
        <w:rPr>
          <w:rFonts w:ascii="Arial" w:hAnsi="Arial" w:cs="Arial"/>
          <w:b/>
          <w:sz w:val="22"/>
          <w:szCs w:val="22"/>
          <w:u w:val="single"/>
          <w:lang w:val="it-IT"/>
        </w:rPr>
        <w:t>Economic</w:t>
      </w:r>
      <w:proofErr w:type="spellEnd"/>
      <w:r w:rsidR="00284C50" w:rsidRPr="00284C50">
        <w:rPr>
          <w:rFonts w:ascii="Arial" w:hAnsi="Arial" w:cs="Arial"/>
          <w:b/>
          <w:sz w:val="22"/>
          <w:szCs w:val="22"/>
          <w:u w:val="single"/>
          <w:lang w:val="it-IT"/>
        </w:rPr>
        <w:t xml:space="preserve"> Scenario (</w:t>
      </w:r>
      <w:proofErr w:type="spellStart"/>
      <w:r w:rsidR="00284C50" w:rsidRPr="00284C50">
        <w:rPr>
          <w:rFonts w:ascii="Arial" w:hAnsi="Arial" w:cs="Arial"/>
          <w:b/>
          <w:sz w:val="22"/>
          <w:szCs w:val="22"/>
          <w:u w:val="single"/>
          <w:lang w:val="it-IT"/>
        </w:rPr>
        <w:t>guidelines</w:t>
      </w:r>
      <w:proofErr w:type="spellEnd"/>
      <w:r w:rsidR="00284C50" w:rsidRPr="00284C50">
        <w:rPr>
          <w:rFonts w:ascii="Arial" w:hAnsi="Arial" w:cs="Arial"/>
          <w:b/>
          <w:sz w:val="22"/>
          <w:szCs w:val="22"/>
          <w:u w:val="single"/>
          <w:lang w:val="it-IT"/>
        </w:rPr>
        <w:t>)</w:t>
      </w:r>
    </w:p>
    <w:p w:rsidR="006D40BC" w:rsidRPr="00284C50" w:rsidRDefault="006D40BC">
      <w:pPr>
        <w:rPr>
          <w:rFonts w:ascii="Arial" w:hAnsi="Arial" w:cs="Arial"/>
          <w:sz w:val="20"/>
          <w:szCs w:val="20"/>
          <w:lang w:val="it-IT"/>
        </w:rPr>
      </w:pPr>
    </w:p>
    <w:p w:rsidR="006D40BC" w:rsidRPr="00284C50" w:rsidRDefault="006D40BC">
      <w:pPr>
        <w:rPr>
          <w:rFonts w:ascii="Arial" w:hAnsi="Arial" w:cs="Arial"/>
          <w:sz w:val="20"/>
          <w:szCs w:val="20"/>
          <w:lang w:val="it-IT"/>
        </w:rPr>
      </w:pPr>
    </w:p>
    <w:p w:rsidR="006D40BC" w:rsidRPr="006D40BC" w:rsidRDefault="006D40BC" w:rsidP="006D40BC">
      <w:pPr>
        <w:rPr>
          <w:rFonts w:ascii="Arial" w:hAnsi="Arial" w:cs="Arial"/>
          <w:sz w:val="20"/>
          <w:szCs w:val="20"/>
        </w:rPr>
      </w:pPr>
      <w:r w:rsidRPr="006D40BC">
        <w:rPr>
          <w:rFonts w:ascii="Arial" w:hAnsi="Arial" w:cs="Arial"/>
          <w:sz w:val="20"/>
          <w:szCs w:val="20"/>
        </w:rPr>
        <w:t xml:space="preserve">As per </w:t>
      </w:r>
      <w:r w:rsidR="00E53592">
        <w:rPr>
          <w:rFonts w:ascii="Arial" w:hAnsi="Arial" w:cs="Arial"/>
          <w:sz w:val="20"/>
          <w:szCs w:val="20"/>
        </w:rPr>
        <w:t xml:space="preserve">the </w:t>
      </w:r>
      <w:r w:rsidRPr="006D40BC">
        <w:rPr>
          <w:rFonts w:ascii="Arial" w:hAnsi="Arial" w:cs="Arial"/>
          <w:sz w:val="20"/>
          <w:szCs w:val="20"/>
        </w:rPr>
        <w:t>E</w:t>
      </w:r>
      <w:r w:rsidR="00E53592">
        <w:rPr>
          <w:rFonts w:ascii="Arial" w:hAnsi="Arial" w:cs="Arial"/>
          <w:sz w:val="20"/>
          <w:szCs w:val="20"/>
        </w:rPr>
        <w:t>xecutive Risk Committee’s (ERC)</w:t>
      </w:r>
      <w:r w:rsidRPr="006D40BC">
        <w:rPr>
          <w:rFonts w:ascii="Arial" w:hAnsi="Arial" w:cs="Arial"/>
          <w:sz w:val="20"/>
          <w:szCs w:val="20"/>
        </w:rPr>
        <w:t xml:space="preserve"> decision on 17/09/14,  the Economic Scenario of Risk Appetite should feature a shock of similar magnitude. </w:t>
      </w:r>
    </w:p>
    <w:p w:rsidR="006D40BC" w:rsidRDefault="006D40BC" w:rsidP="006D40BC">
      <w:pPr>
        <w:rPr>
          <w:rFonts w:ascii="Arial" w:hAnsi="Arial" w:cs="Arial"/>
          <w:sz w:val="20"/>
          <w:szCs w:val="20"/>
        </w:rPr>
      </w:pPr>
    </w:p>
    <w:p w:rsidR="006D40BC" w:rsidRPr="006D40BC" w:rsidRDefault="006D40BC" w:rsidP="006D40BC">
      <w:pPr>
        <w:rPr>
          <w:rFonts w:ascii="Arial" w:hAnsi="Arial" w:cs="Arial"/>
          <w:sz w:val="20"/>
          <w:szCs w:val="20"/>
        </w:rPr>
      </w:pPr>
      <w:r w:rsidRPr="006D40BC">
        <w:rPr>
          <w:rFonts w:ascii="Arial" w:hAnsi="Arial" w:cs="Arial"/>
          <w:sz w:val="20"/>
          <w:szCs w:val="20"/>
        </w:rPr>
        <w:t>The definition of “similar magnitude” varies depending on the economic variable; these can be classified in two categories:</w:t>
      </w:r>
    </w:p>
    <w:p w:rsidR="00FD3385" w:rsidRPr="006D40BC" w:rsidRDefault="00D94F59" w:rsidP="006D40B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D40BC">
        <w:rPr>
          <w:rFonts w:ascii="Arial" w:hAnsi="Arial" w:cs="Arial"/>
          <w:sz w:val="20"/>
          <w:szCs w:val="20"/>
        </w:rPr>
        <w:t>Type I: Variables where the scenario is defined in terms of a relative movement:</w:t>
      </w:r>
    </w:p>
    <w:p w:rsidR="00FD3385" w:rsidRPr="006D40BC" w:rsidRDefault="00D94F59" w:rsidP="006D40BC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D40BC">
        <w:rPr>
          <w:rFonts w:ascii="Arial" w:hAnsi="Arial" w:cs="Arial"/>
          <w:sz w:val="20"/>
          <w:szCs w:val="20"/>
        </w:rPr>
        <w:t>Peak to trough fall in GDP c.3%</w:t>
      </w:r>
    </w:p>
    <w:p w:rsidR="00FD3385" w:rsidRPr="006D40BC" w:rsidRDefault="00D94F59" w:rsidP="006D40BC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D40BC">
        <w:rPr>
          <w:rFonts w:ascii="Arial" w:hAnsi="Arial" w:cs="Arial"/>
          <w:sz w:val="20"/>
          <w:szCs w:val="20"/>
        </w:rPr>
        <w:t>Peak to trough fall in House prices c.20%</w:t>
      </w:r>
    </w:p>
    <w:p w:rsidR="00FD3385" w:rsidRPr="006D40BC" w:rsidRDefault="00D94F59" w:rsidP="006D40B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D40BC">
        <w:rPr>
          <w:rFonts w:ascii="Arial" w:hAnsi="Arial" w:cs="Arial"/>
          <w:sz w:val="20"/>
          <w:szCs w:val="20"/>
        </w:rPr>
        <w:t>Type II: Variables where the scenario is defined in absolute terms:</w:t>
      </w:r>
    </w:p>
    <w:p w:rsidR="00FD3385" w:rsidRPr="006D40BC" w:rsidRDefault="00D94F59" w:rsidP="006D40BC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D40BC">
        <w:rPr>
          <w:rFonts w:ascii="Arial" w:hAnsi="Arial" w:cs="Arial"/>
          <w:sz w:val="20"/>
          <w:szCs w:val="20"/>
        </w:rPr>
        <w:t>Unemployment rate rising to approx. 10%</w:t>
      </w:r>
    </w:p>
    <w:p w:rsidR="00FD3385" w:rsidRPr="006D40BC" w:rsidRDefault="00D94F59" w:rsidP="006D40BC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D40BC">
        <w:rPr>
          <w:rFonts w:ascii="Arial" w:hAnsi="Arial" w:cs="Arial"/>
          <w:sz w:val="20"/>
          <w:szCs w:val="20"/>
        </w:rPr>
        <w:t>Low rates environment – Bank rate at 0.5%</w:t>
      </w:r>
    </w:p>
    <w:p w:rsidR="006D40BC" w:rsidRDefault="006D40BC" w:rsidP="006D40BC">
      <w:pPr>
        <w:rPr>
          <w:rFonts w:ascii="Arial" w:hAnsi="Arial" w:cs="Arial"/>
          <w:sz w:val="20"/>
          <w:szCs w:val="20"/>
        </w:rPr>
      </w:pPr>
    </w:p>
    <w:p w:rsidR="006D40BC" w:rsidRDefault="00B476DA" w:rsidP="006D40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document present general guideline for the construction of scenarios which are consistent with</w:t>
      </w:r>
      <w:r w:rsidR="001E3896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premise that we will continue lending to the real economy. However, these should be scrutinised to ensure the economic scenario is the most relevant at any point in time.</w:t>
      </w:r>
    </w:p>
    <w:p w:rsidR="00B476DA" w:rsidRDefault="00B476DA" w:rsidP="006D40BC">
      <w:pPr>
        <w:rPr>
          <w:rFonts w:ascii="Arial" w:hAnsi="Arial" w:cs="Arial"/>
          <w:sz w:val="20"/>
          <w:szCs w:val="20"/>
        </w:rPr>
      </w:pPr>
    </w:p>
    <w:p w:rsidR="00B476DA" w:rsidRPr="006D40BC" w:rsidRDefault="00B476DA" w:rsidP="00B476DA">
      <w:pPr>
        <w:rPr>
          <w:rFonts w:ascii="Arial" w:hAnsi="Arial" w:cs="Arial"/>
          <w:sz w:val="20"/>
          <w:szCs w:val="20"/>
        </w:rPr>
      </w:pPr>
      <w:r w:rsidRPr="006D40BC">
        <w:rPr>
          <w:rFonts w:ascii="Arial" w:hAnsi="Arial" w:cs="Arial"/>
          <w:sz w:val="20"/>
          <w:szCs w:val="20"/>
        </w:rPr>
        <w:t xml:space="preserve">In any case, the scenario will be provided by the Economics team who will create a scenario considering these guidelines but ensuring it is consistent and remains </w:t>
      </w:r>
      <w:r>
        <w:rPr>
          <w:rFonts w:ascii="Arial" w:hAnsi="Arial" w:cs="Arial"/>
          <w:sz w:val="20"/>
          <w:szCs w:val="20"/>
        </w:rPr>
        <w:t>plausible.</w:t>
      </w:r>
    </w:p>
    <w:p w:rsidR="006D40BC" w:rsidRDefault="006D40BC" w:rsidP="006D40BC">
      <w:pPr>
        <w:rPr>
          <w:rFonts w:ascii="Arial" w:hAnsi="Arial" w:cs="Arial"/>
          <w:sz w:val="20"/>
          <w:szCs w:val="20"/>
        </w:rPr>
      </w:pPr>
    </w:p>
    <w:p w:rsidR="00B476DA" w:rsidRDefault="00B476DA" w:rsidP="006D40BC">
      <w:pPr>
        <w:rPr>
          <w:rFonts w:ascii="Arial" w:hAnsi="Arial" w:cs="Arial"/>
          <w:sz w:val="20"/>
          <w:szCs w:val="20"/>
        </w:rPr>
      </w:pPr>
      <w:r w:rsidRPr="00B476DA">
        <w:rPr>
          <w:rFonts w:ascii="Arial" w:hAnsi="Arial" w:cs="Arial"/>
          <w:sz w:val="20"/>
          <w:szCs w:val="20"/>
          <w:u w:val="single"/>
        </w:rPr>
        <w:t>Type I variables</w:t>
      </w:r>
      <w:r>
        <w:rPr>
          <w:rFonts w:ascii="Arial" w:hAnsi="Arial" w:cs="Arial"/>
          <w:sz w:val="20"/>
          <w:szCs w:val="20"/>
        </w:rPr>
        <w:t>:</w:t>
      </w:r>
    </w:p>
    <w:p w:rsidR="00B476DA" w:rsidRDefault="00B476DA" w:rsidP="006D40BC">
      <w:pPr>
        <w:rPr>
          <w:rFonts w:ascii="Arial" w:hAnsi="Arial" w:cs="Arial"/>
          <w:sz w:val="20"/>
          <w:szCs w:val="20"/>
        </w:rPr>
      </w:pPr>
    </w:p>
    <w:p w:rsidR="006D40BC" w:rsidRDefault="006D40BC" w:rsidP="006D40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 w:rsidR="00B476DA">
        <w:rPr>
          <w:rFonts w:ascii="Arial" w:hAnsi="Arial" w:cs="Arial"/>
          <w:sz w:val="20"/>
          <w:szCs w:val="20"/>
        </w:rPr>
        <w:t>an e</w:t>
      </w:r>
      <w:r w:rsidRPr="006D40BC">
        <w:rPr>
          <w:rFonts w:ascii="Arial" w:hAnsi="Arial" w:cs="Arial"/>
          <w:sz w:val="20"/>
          <w:szCs w:val="20"/>
        </w:rPr>
        <w:t>xpansionary economic environment</w:t>
      </w:r>
      <w:r>
        <w:rPr>
          <w:rFonts w:ascii="Arial" w:hAnsi="Arial" w:cs="Arial"/>
          <w:sz w:val="20"/>
          <w:szCs w:val="20"/>
        </w:rPr>
        <w:t xml:space="preserve">, for Type I variables, </w:t>
      </w:r>
      <w:r w:rsidRPr="006D40BC">
        <w:rPr>
          <w:rFonts w:ascii="Arial" w:hAnsi="Arial" w:cs="Arial"/>
          <w:sz w:val="20"/>
          <w:szCs w:val="20"/>
        </w:rPr>
        <w:t>the drop will be measured from the start of the scenario</w:t>
      </w:r>
      <w:r w:rsidR="00B476DA">
        <w:rPr>
          <w:rFonts w:ascii="Arial" w:hAnsi="Arial" w:cs="Arial"/>
          <w:sz w:val="20"/>
          <w:szCs w:val="20"/>
        </w:rPr>
        <w:t>,</w:t>
      </w:r>
      <w:r w:rsidRPr="006D40BC">
        <w:rPr>
          <w:rFonts w:ascii="Arial" w:hAnsi="Arial" w:cs="Arial"/>
          <w:sz w:val="20"/>
          <w:szCs w:val="20"/>
        </w:rPr>
        <w:t xml:space="preserve"> or after if the peak is modelled to happen after the start of the scenario.</w:t>
      </w:r>
      <w:r>
        <w:rPr>
          <w:rFonts w:ascii="Arial" w:hAnsi="Arial" w:cs="Arial"/>
          <w:sz w:val="20"/>
          <w:szCs w:val="20"/>
        </w:rPr>
        <w:t xml:space="preserve"> The graph below illustrates this </w:t>
      </w:r>
      <w:r w:rsidR="00B476DA">
        <w:rPr>
          <w:rFonts w:ascii="Arial" w:hAnsi="Arial" w:cs="Arial"/>
          <w:sz w:val="20"/>
          <w:szCs w:val="20"/>
        </w:rPr>
        <w:t>case</w:t>
      </w:r>
      <w:r>
        <w:rPr>
          <w:rFonts w:ascii="Arial" w:hAnsi="Arial" w:cs="Arial"/>
          <w:sz w:val="20"/>
          <w:szCs w:val="20"/>
        </w:rPr>
        <w:t>.</w:t>
      </w:r>
    </w:p>
    <w:p w:rsidR="00B476DA" w:rsidRDefault="00B476DA" w:rsidP="006D40BC">
      <w:pPr>
        <w:rPr>
          <w:rFonts w:ascii="Arial" w:hAnsi="Arial" w:cs="Arial"/>
          <w:sz w:val="20"/>
          <w:szCs w:val="20"/>
        </w:rPr>
      </w:pPr>
    </w:p>
    <w:p w:rsidR="00B476DA" w:rsidRDefault="00E53592" w:rsidP="006D40BC">
      <w:pPr>
        <w:rPr>
          <w:rFonts w:ascii="Arial" w:hAnsi="Arial" w:cs="Arial"/>
          <w:sz w:val="20"/>
          <w:szCs w:val="20"/>
        </w:rPr>
      </w:pPr>
      <w:r w:rsidRPr="00E53592">
        <w:drawing>
          <wp:inline distT="0" distB="0" distL="0" distR="0" wp14:anchorId="0D9BCFC3" wp14:editId="2D7E1EDE">
            <wp:extent cx="5274310" cy="31983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BC" w:rsidRDefault="006D40BC" w:rsidP="006D40BC">
      <w:pPr>
        <w:rPr>
          <w:rFonts w:ascii="Arial" w:hAnsi="Arial" w:cs="Arial"/>
          <w:sz w:val="20"/>
          <w:szCs w:val="20"/>
        </w:rPr>
      </w:pPr>
    </w:p>
    <w:p w:rsidR="006D40BC" w:rsidRDefault="00B476DA" w:rsidP="006D40BC">
      <w:pPr>
        <w:rPr>
          <w:rFonts w:ascii="Arial" w:hAnsi="Arial" w:cs="Arial"/>
          <w:sz w:val="20"/>
          <w:szCs w:val="20"/>
        </w:rPr>
      </w:pPr>
      <w:r w:rsidRPr="00B476DA">
        <w:rPr>
          <w:rFonts w:ascii="Arial" w:hAnsi="Arial" w:cs="Arial"/>
          <w:sz w:val="20"/>
          <w:szCs w:val="20"/>
        </w:rPr>
        <w:t xml:space="preserve">In an economic downturn, the peak from which the </w:t>
      </w:r>
      <w:r>
        <w:rPr>
          <w:rFonts w:ascii="Arial" w:hAnsi="Arial" w:cs="Arial"/>
          <w:sz w:val="20"/>
          <w:szCs w:val="20"/>
        </w:rPr>
        <w:t>type I variables</w:t>
      </w:r>
      <w:r w:rsidRPr="00B476DA">
        <w:rPr>
          <w:rFonts w:ascii="Arial" w:hAnsi="Arial" w:cs="Arial"/>
          <w:sz w:val="20"/>
          <w:szCs w:val="20"/>
        </w:rPr>
        <w:t xml:space="preserve"> fall will be measured may have occur prior to the start of the scenario.</w:t>
      </w:r>
      <w:r>
        <w:rPr>
          <w:rFonts w:ascii="Arial" w:hAnsi="Arial" w:cs="Arial"/>
          <w:sz w:val="20"/>
          <w:szCs w:val="20"/>
        </w:rPr>
        <w:t xml:space="preserve"> The graph below illustrates this case.</w:t>
      </w:r>
    </w:p>
    <w:p w:rsidR="006D40BC" w:rsidRDefault="006D40BC" w:rsidP="006D40BC">
      <w:pPr>
        <w:rPr>
          <w:rFonts w:ascii="Arial" w:hAnsi="Arial" w:cs="Arial"/>
          <w:sz w:val="20"/>
          <w:szCs w:val="20"/>
        </w:rPr>
      </w:pPr>
    </w:p>
    <w:p w:rsidR="00B476DA" w:rsidRDefault="00E53592" w:rsidP="006D40BC">
      <w:pPr>
        <w:rPr>
          <w:rFonts w:ascii="Arial" w:hAnsi="Arial" w:cs="Arial"/>
          <w:sz w:val="20"/>
          <w:szCs w:val="20"/>
        </w:rPr>
      </w:pPr>
      <w:r w:rsidRPr="00E53592">
        <w:lastRenderedPageBreak/>
        <w:drawing>
          <wp:inline distT="0" distB="0" distL="0" distR="0" wp14:anchorId="59A8B7BA" wp14:editId="389D462B">
            <wp:extent cx="5274310" cy="31983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0BC">
        <w:rPr>
          <w:rFonts w:ascii="Arial" w:hAnsi="Arial" w:cs="Arial"/>
          <w:sz w:val="20"/>
          <w:szCs w:val="20"/>
        </w:rPr>
        <w:t xml:space="preserve">  </w:t>
      </w:r>
    </w:p>
    <w:p w:rsidR="00B476DA" w:rsidRDefault="00B476DA" w:rsidP="00B476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i</w:t>
      </w:r>
      <w:r w:rsidRPr="00B476DA">
        <w:rPr>
          <w:rFonts w:ascii="Arial" w:hAnsi="Arial" w:cs="Arial"/>
          <w:sz w:val="20"/>
          <w:szCs w:val="20"/>
        </w:rPr>
        <w:t>n the unlikely situation where the economic performance is worse than the parameters originally defined, the economic variable will be modelled a</w:t>
      </w:r>
      <w:r>
        <w:rPr>
          <w:rFonts w:ascii="Arial" w:hAnsi="Arial" w:cs="Arial"/>
          <w:sz w:val="20"/>
          <w:szCs w:val="20"/>
        </w:rPr>
        <w:t xml:space="preserve">s the worst of </w:t>
      </w:r>
      <w:r w:rsidRPr="00B476DA">
        <w:rPr>
          <w:rFonts w:ascii="Arial" w:hAnsi="Arial" w:cs="Arial"/>
          <w:sz w:val="20"/>
          <w:szCs w:val="20"/>
        </w:rPr>
        <w:t>the base case or,</w:t>
      </w:r>
      <w:r>
        <w:rPr>
          <w:rFonts w:ascii="Arial" w:hAnsi="Arial" w:cs="Arial"/>
          <w:sz w:val="20"/>
          <w:szCs w:val="20"/>
        </w:rPr>
        <w:t xml:space="preserve"> </w:t>
      </w:r>
      <w:r w:rsidRPr="00B476DA">
        <w:rPr>
          <w:rFonts w:ascii="Arial" w:hAnsi="Arial" w:cs="Arial"/>
          <w:sz w:val="20"/>
          <w:szCs w:val="20"/>
        </w:rPr>
        <w:t>a flat economic environment</w:t>
      </w:r>
      <w:r>
        <w:rPr>
          <w:rFonts w:ascii="Arial" w:hAnsi="Arial" w:cs="Arial"/>
          <w:sz w:val="20"/>
          <w:szCs w:val="20"/>
        </w:rPr>
        <w:t>. The graph below illustrates this case.</w:t>
      </w:r>
    </w:p>
    <w:p w:rsidR="00B476DA" w:rsidRDefault="00B476DA" w:rsidP="00B476DA">
      <w:pPr>
        <w:rPr>
          <w:rFonts w:ascii="Arial" w:hAnsi="Arial" w:cs="Arial"/>
          <w:sz w:val="20"/>
          <w:szCs w:val="20"/>
        </w:rPr>
      </w:pPr>
    </w:p>
    <w:p w:rsidR="00B476DA" w:rsidRDefault="00E53592" w:rsidP="00B476DA">
      <w:pPr>
        <w:rPr>
          <w:rFonts w:ascii="Arial" w:hAnsi="Arial" w:cs="Arial"/>
          <w:sz w:val="20"/>
          <w:szCs w:val="20"/>
        </w:rPr>
      </w:pPr>
      <w:r w:rsidRPr="00E53592">
        <w:drawing>
          <wp:inline distT="0" distB="0" distL="0" distR="0" wp14:anchorId="43BB52F2" wp14:editId="0469D7DF">
            <wp:extent cx="5274310" cy="319836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DA" w:rsidRDefault="00B476DA" w:rsidP="00B476DA">
      <w:pPr>
        <w:rPr>
          <w:rFonts w:ascii="Arial" w:hAnsi="Arial" w:cs="Arial"/>
          <w:sz w:val="20"/>
          <w:szCs w:val="20"/>
        </w:rPr>
      </w:pPr>
    </w:p>
    <w:p w:rsidR="00B476DA" w:rsidRDefault="00B476DA" w:rsidP="00B476DA">
      <w:pPr>
        <w:rPr>
          <w:rFonts w:ascii="Arial" w:hAnsi="Arial" w:cs="Arial"/>
          <w:sz w:val="20"/>
          <w:szCs w:val="20"/>
        </w:rPr>
      </w:pPr>
      <w:r w:rsidRPr="00B476DA">
        <w:rPr>
          <w:rFonts w:ascii="Arial" w:hAnsi="Arial" w:cs="Arial"/>
          <w:sz w:val="20"/>
          <w:szCs w:val="20"/>
          <w:u w:val="single"/>
        </w:rPr>
        <w:t>Type I</w:t>
      </w:r>
      <w:r>
        <w:rPr>
          <w:rFonts w:ascii="Arial" w:hAnsi="Arial" w:cs="Arial"/>
          <w:sz w:val="20"/>
          <w:szCs w:val="20"/>
          <w:u w:val="single"/>
        </w:rPr>
        <w:t>I</w:t>
      </w:r>
      <w:r w:rsidRPr="00B476DA">
        <w:rPr>
          <w:rFonts w:ascii="Arial" w:hAnsi="Arial" w:cs="Arial"/>
          <w:sz w:val="20"/>
          <w:szCs w:val="20"/>
          <w:u w:val="single"/>
        </w:rPr>
        <w:t xml:space="preserve"> variables</w:t>
      </w:r>
      <w:r>
        <w:rPr>
          <w:rFonts w:ascii="Arial" w:hAnsi="Arial" w:cs="Arial"/>
          <w:sz w:val="20"/>
          <w:szCs w:val="20"/>
        </w:rPr>
        <w:t>:</w:t>
      </w:r>
    </w:p>
    <w:p w:rsidR="006D40BC" w:rsidRDefault="006D40BC" w:rsidP="006D40BC">
      <w:pPr>
        <w:rPr>
          <w:rFonts w:ascii="Arial" w:hAnsi="Arial" w:cs="Arial"/>
          <w:sz w:val="20"/>
          <w:szCs w:val="20"/>
        </w:rPr>
      </w:pPr>
    </w:p>
    <w:p w:rsidR="00B476DA" w:rsidRDefault="00B476DA" w:rsidP="006D40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an e</w:t>
      </w:r>
      <w:r w:rsidRPr="006D40BC">
        <w:rPr>
          <w:rFonts w:ascii="Arial" w:hAnsi="Arial" w:cs="Arial"/>
          <w:sz w:val="20"/>
          <w:szCs w:val="20"/>
        </w:rPr>
        <w:t xml:space="preserve">xpansionary </w:t>
      </w:r>
      <w:r>
        <w:rPr>
          <w:rFonts w:ascii="Arial" w:hAnsi="Arial" w:cs="Arial"/>
          <w:sz w:val="20"/>
          <w:szCs w:val="20"/>
        </w:rPr>
        <w:t xml:space="preserve">economic environment or </w:t>
      </w:r>
      <w:r w:rsidRPr="00B476DA">
        <w:rPr>
          <w:rFonts w:ascii="Arial" w:hAnsi="Arial" w:cs="Arial"/>
          <w:sz w:val="20"/>
          <w:szCs w:val="20"/>
        </w:rPr>
        <w:t>economic downturn</w:t>
      </w:r>
      <w:r>
        <w:rPr>
          <w:rFonts w:ascii="Arial" w:hAnsi="Arial" w:cs="Arial"/>
          <w:sz w:val="20"/>
          <w:szCs w:val="20"/>
        </w:rPr>
        <w:t xml:space="preserve"> where the unemployment  has not reached the level mentioned above, </w:t>
      </w:r>
      <w:r w:rsidRPr="00B476DA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is will </w:t>
      </w:r>
      <w:r w:rsidRPr="00B476DA">
        <w:rPr>
          <w:rFonts w:ascii="Arial" w:hAnsi="Arial" w:cs="Arial"/>
          <w:sz w:val="20"/>
          <w:szCs w:val="20"/>
        </w:rPr>
        <w:t>be modelled to reach 10% in the economic scenario</w:t>
      </w:r>
      <w:r>
        <w:rPr>
          <w:rFonts w:ascii="Arial" w:hAnsi="Arial" w:cs="Arial"/>
          <w:sz w:val="20"/>
          <w:szCs w:val="20"/>
        </w:rPr>
        <w:t>. The graph below illustrates this case.</w:t>
      </w:r>
    </w:p>
    <w:p w:rsidR="00B476DA" w:rsidRDefault="00B476DA" w:rsidP="006D40BC">
      <w:pPr>
        <w:rPr>
          <w:rFonts w:ascii="Arial" w:hAnsi="Arial" w:cs="Arial"/>
          <w:sz w:val="20"/>
          <w:szCs w:val="20"/>
        </w:rPr>
      </w:pPr>
    </w:p>
    <w:p w:rsidR="00B476DA" w:rsidRDefault="00EB5CDE" w:rsidP="00B476DA">
      <w:pPr>
        <w:rPr>
          <w:rFonts w:ascii="Arial" w:hAnsi="Arial" w:cs="Arial"/>
          <w:sz w:val="20"/>
          <w:szCs w:val="20"/>
        </w:rPr>
      </w:pPr>
      <w:r w:rsidRPr="00EB5CDE">
        <w:lastRenderedPageBreak/>
        <w:drawing>
          <wp:inline distT="0" distB="0" distL="0" distR="0" wp14:anchorId="3F70D577" wp14:editId="66BA0008">
            <wp:extent cx="5274310" cy="3198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DA" w:rsidRDefault="00B476DA" w:rsidP="006D40BC">
      <w:pPr>
        <w:rPr>
          <w:rFonts w:ascii="Arial" w:hAnsi="Arial" w:cs="Arial"/>
          <w:sz w:val="20"/>
          <w:szCs w:val="20"/>
        </w:rPr>
      </w:pPr>
    </w:p>
    <w:p w:rsidR="00B476DA" w:rsidRPr="00B476DA" w:rsidRDefault="00B476DA" w:rsidP="00B476DA">
      <w:pPr>
        <w:rPr>
          <w:rFonts w:ascii="Arial" w:hAnsi="Arial" w:cs="Arial"/>
          <w:sz w:val="20"/>
          <w:szCs w:val="20"/>
        </w:rPr>
      </w:pPr>
      <w:r w:rsidRPr="00B476DA">
        <w:rPr>
          <w:rFonts w:ascii="Arial" w:hAnsi="Arial" w:cs="Arial"/>
          <w:sz w:val="20"/>
          <w:szCs w:val="20"/>
        </w:rPr>
        <w:t>In the unlikely situation where the economic performance is worse than the parameters originally defined, the economic variable will be modell</w:t>
      </w:r>
      <w:r>
        <w:rPr>
          <w:rFonts w:ascii="Arial" w:hAnsi="Arial" w:cs="Arial"/>
          <w:sz w:val="20"/>
          <w:szCs w:val="20"/>
        </w:rPr>
        <w:t xml:space="preserve">ed as the worst of </w:t>
      </w:r>
      <w:r w:rsidRPr="00B476DA">
        <w:rPr>
          <w:rFonts w:ascii="Arial" w:hAnsi="Arial" w:cs="Arial"/>
          <w:sz w:val="20"/>
          <w:szCs w:val="20"/>
        </w:rPr>
        <w:t>the base case or,</w:t>
      </w:r>
    </w:p>
    <w:p w:rsidR="00B476DA" w:rsidRDefault="00B476DA" w:rsidP="00B476DA">
      <w:pPr>
        <w:rPr>
          <w:rFonts w:ascii="Arial" w:hAnsi="Arial" w:cs="Arial"/>
          <w:sz w:val="20"/>
          <w:szCs w:val="20"/>
        </w:rPr>
      </w:pPr>
      <w:r w:rsidRPr="00B476DA">
        <w:rPr>
          <w:rFonts w:ascii="Arial" w:hAnsi="Arial" w:cs="Arial"/>
          <w:sz w:val="20"/>
          <w:szCs w:val="20"/>
        </w:rPr>
        <w:t>a flat economic environment</w:t>
      </w:r>
      <w:r w:rsidR="00EB5A6B">
        <w:rPr>
          <w:rFonts w:ascii="Arial" w:hAnsi="Arial" w:cs="Arial"/>
          <w:sz w:val="20"/>
          <w:szCs w:val="20"/>
        </w:rPr>
        <w:t xml:space="preserve">. </w:t>
      </w:r>
      <w:r w:rsidR="00EB5A6B">
        <w:rPr>
          <w:rFonts w:ascii="Arial" w:hAnsi="Arial" w:cs="Arial"/>
          <w:sz w:val="20"/>
          <w:szCs w:val="20"/>
        </w:rPr>
        <w:t>The graph below illustrates this case.</w:t>
      </w:r>
    </w:p>
    <w:p w:rsidR="006D40BC" w:rsidRDefault="006D40BC" w:rsidP="006D40BC">
      <w:pPr>
        <w:rPr>
          <w:rFonts w:ascii="Arial" w:hAnsi="Arial" w:cs="Arial"/>
          <w:sz w:val="20"/>
          <w:szCs w:val="20"/>
        </w:rPr>
      </w:pPr>
    </w:p>
    <w:p w:rsidR="00B476DA" w:rsidRDefault="00EB5CDE" w:rsidP="006D40BC">
      <w:pPr>
        <w:rPr>
          <w:rFonts w:ascii="Arial" w:hAnsi="Arial" w:cs="Arial"/>
          <w:sz w:val="20"/>
          <w:szCs w:val="20"/>
        </w:rPr>
      </w:pPr>
      <w:r w:rsidRPr="00EB5CDE">
        <w:drawing>
          <wp:inline distT="0" distB="0" distL="0" distR="0" wp14:anchorId="3027CDD1" wp14:editId="020FA990">
            <wp:extent cx="5274310" cy="31983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8C" w:rsidRDefault="00D3208C" w:rsidP="006D40B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B5A6B" w:rsidRDefault="00EB5A6B" w:rsidP="006D40BC">
      <w:pPr>
        <w:rPr>
          <w:rFonts w:ascii="Arial" w:hAnsi="Arial" w:cs="Arial"/>
          <w:sz w:val="20"/>
          <w:szCs w:val="20"/>
        </w:rPr>
      </w:pPr>
    </w:p>
    <w:p w:rsidR="00B476DA" w:rsidRDefault="00B476DA" w:rsidP="006D40BC">
      <w:pPr>
        <w:rPr>
          <w:rFonts w:ascii="Arial" w:hAnsi="Arial" w:cs="Arial"/>
          <w:sz w:val="20"/>
          <w:szCs w:val="20"/>
        </w:rPr>
      </w:pPr>
    </w:p>
    <w:p w:rsidR="006D40BC" w:rsidRPr="006D40BC" w:rsidRDefault="006D40BC">
      <w:pPr>
        <w:rPr>
          <w:rFonts w:ascii="Arial" w:hAnsi="Arial" w:cs="Arial"/>
          <w:sz w:val="20"/>
          <w:szCs w:val="20"/>
        </w:rPr>
      </w:pPr>
    </w:p>
    <w:sectPr w:rsidR="006D40BC" w:rsidRPr="006D40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396"/>
    <w:multiLevelType w:val="hybridMultilevel"/>
    <w:tmpl w:val="18CA3DEE"/>
    <w:lvl w:ilvl="0" w:tplc="4FAAB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F86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EC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AA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AF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8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5E6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AF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88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397037"/>
    <w:multiLevelType w:val="hybridMultilevel"/>
    <w:tmpl w:val="832488E2"/>
    <w:lvl w:ilvl="0" w:tplc="D1149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42180A">
      <w:start w:val="20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A6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A8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226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60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4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2D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C6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BC"/>
    <w:rsid w:val="000B1A5A"/>
    <w:rsid w:val="001E3896"/>
    <w:rsid w:val="00236C2B"/>
    <w:rsid w:val="00284C50"/>
    <w:rsid w:val="005D29EF"/>
    <w:rsid w:val="006D40BC"/>
    <w:rsid w:val="00A21BD0"/>
    <w:rsid w:val="00AA37D0"/>
    <w:rsid w:val="00AF05EA"/>
    <w:rsid w:val="00B05924"/>
    <w:rsid w:val="00B476DA"/>
    <w:rsid w:val="00D3208C"/>
    <w:rsid w:val="00D94F59"/>
    <w:rsid w:val="00E53592"/>
    <w:rsid w:val="00EB4A5D"/>
    <w:rsid w:val="00EB5A6B"/>
    <w:rsid w:val="00EB5CDE"/>
    <w:rsid w:val="00F029ED"/>
    <w:rsid w:val="00F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21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21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7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4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6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6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3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842F1-8E2E-4FC7-9E40-268F0EA9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Ancira, Dorothee (SGBM)</dc:creator>
  <cp:lastModifiedBy>Ancira, Dorothee (SGBM)</cp:lastModifiedBy>
  <cp:revision>9</cp:revision>
  <dcterms:created xsi:type="dcterms:W3CDTF">2015-05-08T11:15:00Z</dcterms:created>
  <dcterms:modified xsi:type="dcterms:W3CDTF">2015-05-25T11:56:00Z</dcterms:modified>
</cp:coreProperties>
</file>