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EA" w:rsidRPr="00F558FA" w:rsidRDefault="002A0AAF">
      <w:pPr>
        <w:rPr>
          <w:b/>
          <w:sz w:val="24"/>
          <w:szCs w:val="24"/>
          <w:u w:val="single"/>
        </w:rPr>
      </w:pPr>
      <w:r w:rsidRPr="00F558FA">
        <w:rPr>
          <w:b/>
          <w:sz w:val="24"/>
          <w:szCs w:val="24"/>
          <w:u w:val="single"/>
        </w:rPr>
        <w:t xml:space="preserve">Appendix IV: </w:t>
      </w:r>
      <w:bookmarkStart w:id="0" w:name="_GoBack"/>
      <w:r w:rsidRPr="00F558FA">
        <w:rPr>
          <w:b/>
          <w:sz w:val="24"/>
          <w:szCs w:val="24"/>
          <w:u w:val="single"/>
        </w:rPr>
        <w:t>Setting the Risk Appetite</w:t>
      </w:r>
      <w:bookmarkEnd w:id="0"/>
    </w:p>
    <w:p w:rsidR="002A0AAF" w:rsidRDefault="002A0AAF"/>
    <w:p w:rsidR="002A0AAF" w:rsidRDefault="002A0AAF" w:rsidP="002A0AAF">
      <w:pPr>
        <w:pStyle w:val="Subtitle1"/>
        <w:numPr>
          <w:ilvl w:val="0"/>
          <w:numId w:val="3"/>
        </w:numPr>
      </w:pPr>
      <w:r>
        <w:t>Losses</w:t>
      </w:r>
    </w:p>
    <w:p w:rsidR="002A0AAF" w:rsidRPr="005B0EA6" w:rsidRDefault="002A0AAF" w:rsidP="002A0AAF">
      <w:pPr>
        <w:ind w:left="-567"/>
      </w:pPr>
      <w:r w:rsidRPr="00247D31">
        <w:t xml:space="preserve">A </w:t>
      </w:r>
      <w:r>
        <w:t>R</w:t>
      </w:r>
      <w:r w:rsidRPr="00247D31">
        <w:t xml:space="preserve">isk </w:t>
      </w:r>
      <w:r>
        <w:t>A</w:t>
      </w:r>
      <w:r w:rsidRPr="00247D31">
        <w:t xml:space="preserve">ppetite </w:t>
      </w:r>
      <w:r>
        <w:t>S</w:t>
      </w:r>
      <w:r w:rsidRPr="00247D31">
        <w:t xml:space="preserve">tatement </w:t>
      </w:r>
      <w:r>
        <w:t>for loss should</w:t>
      </w:r>
      <w:r w:rsidRPr="00247D31">
        <w:t xml:space="preserve"> be calculated for </w:t>
      </w:r>
      <w:r w:rsidRPr="00247D31">
        <w:rPr>
          <w:u w:val="single"/>
        </w:rPr>
        <w:t>Credit, Market</w:t>
      </w:r>
      <w:r>
        <w:rPr>
          <w:u w:val="single"/>
        </w:rPr>
        <w:t>, N</w:t>
      </w:r>
      <w:r w:rsidRPr="00247D31">
        <w:rPr>
          <w:u w:val="single"/>
        </w:rPr>
        <w:t>on</w:t>
      </w:r>
      <w:r>
        <w:rPr>
          <w:u w:val="single"/>
        </w:rPr>
        <w:t>-</w:t>
      </w:r>
      <w:r w:rsidRPr="00247D31">
        <w:rPr>
          <w:u w:val="single"/>
        </w:rPr>
        <w:t xml:space="preserve">traded </w:t>
      </w:r>
      <w:r>
        <w:rPr>
          <w:u w:val="single"/>
        </w:rPr>
        <w:t xml:space="preserve">Market </w:t>
      </w:r>
      <w:r w:rsidRPr="00247D31">
        <w:rPr>
          <w:u w:val="single"/>
        </w:rPr>
        <w:t>and Operational Risks</w:t>
      </w:r>
      <w:r w:rsidRPr="005B0EA6">
        <w:t xml:space="preserve">. Any Conduct Risk </w:t>
      </w:r>
      <w:r>
        <w:t>related losses should</w:t>
      </w:r>
      <w:r w:rsidRPr="005B0EA6">
        <w:t xml:space="preserve"> be included in Operational Risk losses; management will </w:t>
      </w:r>
      <w:r>
        <w:t>monitor Conduct Risk</w:t>
      </w:r>
      <w:r w:rsidRPr="005B0EA6">
        <w:t xml:space="preserve"> </w:t>
      </w:r>
      <w:r>
        <w:t xml:space="preserve">and </w:t>
      </w:r>
      <w:r w:rsidRPr="005B0EA6">
        <w:t>escalate any</w:t>
      </w:r>
      <w:r>
        <w:t xml:space="preserve"> </w:t>
      </w:r>
      <w:r w:rsidRPr="005B0EA6">
        <w:t xml:space="preserve">issues to the </w:t>
      </w:r>
      <w:r>
        <w:t>B</w:t>
      </w:r>
      <w:r w:rsidRPr="005B0EA6">
        <w:t>oard when considered appropriate.</w:t>
      </w:r>
    </w:p>
    <w:p w:rsidR="002A0AAF" w:rsidRPr="00E95071" w:rsidRDefault="002A0AAF" w:rsidP="002A0AAF">
      <w:pPr>
        <w:spacing w:after="120"/>
        <w:ind w:left="-567"/>
      </w:pPr>
      <w:r w:rsidRPr="00E95071">
        <w:t xml:space="preserve">The appetite for loss </w:t>
      </w:r>
      <w:r>
        <w:t>can</w:t>
      </w:r>
      <w:r w:rsidRPr="00E95071">
        <w:t xml:space="preserve"> be determined using a number of data sources</w:t>
      </w:r>
      <w:r>
        <w:t xml:space="preserve"> such as:</w:t>
      </w:r>
      <w:r w:rsidRPr="00E95071">
        <w:t xml:space="preserve"> </w:t>
      </w:r>
    </w:p>
    <w:p w:rsidR="002A0AAF" w:rsidRPr="00E95071" w:rsidRDefault="002A0AAF" w:rsidP="002A0AAF">
      <w:pPr>
        <w:pStyle w:val="otraslistas"/>
        <w:ind w:left="0" w:hanging="567"/>
      </w:pPr>
      <w:r w:rsidRPr="00E95071">
        <w:rPr>
          <w:b/>
        </w:rPr>
        <w:t>Reverse stress test results</w:t>
      </w:r>
      <w:r>
        <w:t xml:space="preserve">: </w:t>
      </w:r>
      <w:r w:rsidRPr="00E95071">
        <w:t>The results of the reverse stress test are used to calculate the risk capacity. This sets the boundary within which the appetite can sit as appetite must always be less than capacity.</w:t>
      </w:r>
    </w:p>
    <w:p w:rsidR="002A0AAF" w:rsidRPr="00F754B0" w:rsidRDefault="002A0AAF" w:rsidP="002A0AAF">
      <w:pPr>
        <w:pStyle w:val="otraslistas"/>
        <w:ind w:left="0" w:hanging="567"/>
        <w:rPr>
          <w:b/>
        </w:rPr>
      </w:pPr>
      <w:r w:rsidRPr="00E95071">
        <w:rPr>
          <w:b/>
        </w:rPr>
        <w:t>Historical loss data</w:t>
      </w:r>
      <w:r>
        <w:rPr>
          <w:b/>
        </w:rPr>
        <w:t xml:space="preserve">: </w:t>
      </w:r>
      <w:r>
        <w:t>Historic loss data points will</w:t>
      </w:r>
      <w:r w:rsidRPr="00E95071">
        <w:t xml:space="preserve"> </w:t>
      </w:r>
      <w:r>
        <w:t xml:space="preserve">be </w:t>
      </w:r>
      <w:r w:rsidRPr="00E95071">
        <w:t xml:space="preserve">used to show </w:t>
      </w:r>
      <w:r>
        <w:t>loss amounts in recent years at t</w:t>
      </w:r>
      <w:r w:rsidRPr="00816E22">
        <w:t xml:space="preserve">he </w:t>
      </w:r>
      <w:r w:rsidRPr="004E2B02">
        <w:t>Santander UK</w:t>
      </w:r>
      <w:r w:rsidRPr="00816E22">
        <w:t xml:space="preserve"> Group</w:t>
      </w:r>
      <w:r>
        <w:t xml:space="preserve"> </w:t>
      </w:r>
      <w:r w:rsidRPr="00E95071">
        <w:t xml:space="preserve">level and for individual risk types. </w:t>
      </w:r>
    </w:p>
    <w:p w:rsidR="002A0AAF" w:rsidRDefault="002A0AAF" w:rsidP="002A0AAF">
      <w:pPr>
        <w:pStyle w:val="otraslistas"/>
        <w:ind w:left="0" w:hanging="567"/>
      </w:pPr>
      <w:r w:rsidRPr="00E95071">
        <w:rPr>
          <w:b/>
        </w:rPr>
        <w:t>Stress test results</w:t>
      </w:r>
      <w:r>
        <w:rPr>
          <w:b/>
        </w:rPr>
        <w:t xml:space="preserve">: </w:t>
      </w:r>
      <w:r>
        <w:t xml:space="preserve">The stress testing results </w:t>
      </w:r>
      <w:r w:rsidRPr="00E95071">
        <w:t xml:space="preserve">serve to articulate the level of loss that the current business plans could potentially deliver under given scenarios. </w:t>
      </w:r>
    </w:p>
    <w:p w:rsidR="002A0AAF" w:rsidRPr="00DB0ADC" w:rsidRDefault="002A0AAF" w:rsidP="002A0AAF">
      <w:pPr>
        <w:pStyle w:val="otraslistas"/>
        <w:ind w:left="0" w:hanging="567"/>
        <w:rPr>
          <w:b/>
        </w:rPr>
      </w:pPr>
      <w:r w:rsidRPr="00E95071">
        <w:rPr>
          <w:b/>
        </w:rPr>
        <w:t>Regulatory and rating agency expectations</w:t>
      </w:r>
      <w:r>
        <w:rPr>
          <w:b/>
        </w:rPr>
        <w:t xml:space="preserve">: </w:t>
      </w:r>
      <w:r w:rsidRPr="00E95071">
        <w:t xml:space="preserve">Reference should be made to </w:t>
      </w:r>
      <w:r w:rsidRPr="00816E22">
        <w:t xml:space="preserve">the </w:t>
      </w:r>
      <w:r w:rsidRPr="004E2B02">
        <w:t>Santander UK</w:t>
      </w:r>
      <w:r w:rsidRPr="00816E22">
        <w:t xml:space="preserve"> Group</w:t>
      </w:r>
      <w:r>
        <w:t xml:space="preserve"> Financial Strength R</w:t>
      </w:r>
      <w:r w:rsidRPr="00E95071">
        <w:t>ating</w:t>
      </w:r>
      <w:r>
        <w:t xml:space="preserve"> (BSFR)</w:t>
      </w:r>
      <w:r w:rsidRPr="00E95071">
        <w:t xml:space="preserve"> models used by the </w:t>
      </w:r>
      <w:r>
        <w:t>r</w:t>
      </w:r>
      <w:r w:rsidRPr="00E95071">
        <w:t>ating agencies to determ</w:t>
      </w:r>
      <w:r>
        <w:t>ine the credit rating of banks as</w:t>
      </w:r>
      <w:r w:rsidRPr="00E95071">
        <w:t xml:space="preserve"> an indication of the range in which losses would be considered acceptable and not have an adverse impact on </w:t>
      </w:r>
      <w:r w:rsidRPr="00816E22">
        <w:t xml:space="preserve">the </w:t>
      </w:r>
      <w:r w:rsidRPr="004E2B02">
        <w:t>Santander UK</w:t>
      </w:r>
      <w:r w:rsidRPr="00816E22">
        <w:t xml:space="preserve"> Group</w:t>
      </w:r>
      <w:r>
        <w:t>’s</w:t>
      </w:r>
      <w:r w:rsidRPr="00E95071">
        <w:t xml:space="preserve"> rating</w:t>
      </w:r>
      <w:r>
        <w:t xml:space="preserve">. </w:t>
      </w:r>
    </w:p>
    <w:p w:rsidR="002A0AAF" w:rsidRPr="002A0AAF" w:rsidRDefault="002A0AAF" w:rsidP="002A0AAF">
      <w:pPr>
        <w:pStyle w:val="otraslistas"/>
        <w:ind w:left="0" w:hanging="567"/>
        <w:rPr>
          <w:b/>
        </w:rPr>
      </w:pPr>
      <w:r>
        <w:rPr>
          <w:b/>
        </w:rPr>
        <w:t xml:space="preserve">Business Plans: </w:t>
      </w:r>
      <w:r w:rsidRPr="0063166A">
        <w:rPr>
          <w:bCs/>
        </w:rPr>
        <w:t xml:space="preserve">Losses should consider the commercial strategy of </w:t>
      </w:r>
      <w:r w:rsidRPr="00816E22">
        <w:rPr>
          <w:bCs/>
        </w:rPr>
        <w:t xml:space="preserve">the </w:t>
      </w:r>
      <w:r w:rsidRPr="004E2B02">
        <w:rPr>
          <w:bCs/>
        </w:rPr>
        <w:t>Santander UK</w:t>
      </w:r>
      <w:r w:rsidRPr="00816E22">
        <w:rPr>
          <w:bCs/>
        </w:rPr>
        <w:t xml:space="preserve"> Group</w:t>
      </w:r>
      <w:r w:rsidRPr="0063166A">
        <w:rPr>
          <w:bCs/>
        </w:rPr>
        <w:t xml:space="preserve">, set </w:t>
      </w:r>
      <w:r>
        <w:rPr>
          <w:bCs/>
        </w:rPr>
        <w:t>out in</w:t>
      </w:r>
      <w:r w:rsidRPr="0063166A">
        <w:rPr>
          <w:bCs/>
        </w:rPr>
        <w:t xml:space="preserve"> the three year plan.</w:t>
      </w:r>
    </w:p>
    <w:p w:rsidR="002A0AAF" w:rsidRPr="00B50185" w:rsidRDefault="002A0AAF" w:rsidP="002A0AAF">
      <w:pPr>
        <w:ind w:left="-567"/>
        <w:rPr>
          <w:b/>
        </w:rPr>
      </w:pPr>
      <w:r>
        <w:t>The</w:t>
      </w:r>
      <w:r w:rsidRPr="00E95071">
        <w:t>s</w:t>
      </w:r>
      <w:r>
        <w:t>e</w:t>
      </w:r>
      <w:r w:rsidRPr="00E95071">
        <w:t xml:space="preserve"> </w:t>
      </w:r>
      <w:r>
        <w:t>data sources allow</w:t>
      </w:r>
      <w:r w:rsidRPr="00E95071">
        <w:t xml:space="preserve"> senior management and the Board to reference stakeholder reactions (markets, regulators, rating agencies</w:t>
      </w:r>
      <w:r>
        <w:t>,</w:t>
      </w:r>
      <w:r w:rsidRPr="00E95071">
        <w:t xml:space="preserve"> etc</w:t>
      </w:r>
      <w:r>
        <w:t>.</w:t>
      </w:r>
      <w:r w:rsidRPr="00E95071">
        <w:t>)</w:t>
      </w:r>
      <w:r>
        <w:t xml:space="preserve"> to any</w:t>
      </w:r>
      <w:r w:rsidRPr="00E95071">
        <w:t xml:space="preserve"> event and understand whether that level of loss </w:t>
      </w:r>
      <w:r>
        <w:t>can be</w:t>
      </w:r>
      <w:r w:rsidRPr="00E95071">
        <w:t xml:space="preserve"> considered acceptable and within the appetite of </w:t>
      </w:r>
      <w:r w:rsidRPr="00816E22">
        <w:t xml:space="preserve">the </w:t>
      </w:r>
      <w:r w:rsidRPr="004E2B02">
        <w:t>Santander UK</w:t>
      </w:r>
      <w:r w:rsidRPr="00816E22">
        <w:t xml:space="preserve"> Group</w:t>
      </w:r>
      <w:r w:rsidRPr="00E95071">
        <w:t>. This will assist the determination of whether that level of loss would be accepted a</w:t>
      </w:r>
      <w:r>
        <w:t>gain in the future under stressed conditions.</w:t>
      </w:r>
    </w:p>
    <w:p w:rsidR="002A0AAF" w:rsidRPr="00580F92" w:rsidRDefault="002A0AAF" w:rsidP="002A0AAF">
      <w:pPr>
        <w:pStyle w:val="Subtitle1"/>
        <w:numPr>
          <w:ilvl w:val="0"/>
          <w:numId w:val="3"/>
        </w:numPr>
      </w:pPr>
      <w:bookmarkStart w:id="1" w:name="_Toc342662126"/>
      <w:bookmarkStart w:id="2" w:name="_Toc416966761"/>
      <w:r w:rsidRPr="00580F92">
        <w:t>Capital</w:t>
      </w:r>
      <w:bookmarkEnd w:id="1"/>
      <w:bookmarkEnd w:id="2"/>
    </w:p>
    <w:p w:rsidR="002A0AAF" w:rsidRPr="00413346" w:rsidRDefault="002A0AAF" w:rsidP="002A0AAF">
      <w:pPr>
        <w:ind w:left="-567"/>
      </w:pPr>
      <w:r w:rsidRPr="00413346">
        <w:t>The objective is to deter</w:t>
      </w:r>
      <w:r>
        <w:t>mine the level of capital</w:t>
      </w:r>
      <w:r w:rsidRPr="00413346">
        <w:t xml:space="preserve"> that </w:t>
      </w:r>
      <w:r>
        <w:t>t</w:t>
      </w:r>
      <w:r w:rsidRPr="00816E22">
        <w:t xml:space="preserve">he </w:t>
      </w:r>
      <w:r w:rsidRPr="004E2B02">
        <w:t>Santander UK</w:t>
      </w:r>
      <w:r w:rsidRPr="00816E22">
        <w:t xml:space="preserve"> Group</w:t>
      </w:r>
      <w:r w:rsidRPr="00413346">
        <w:t xml:space="preserve"> is willing to accept in the pursuit of its business objectives under stress conditions.</w:t>
      </w:r>
    </w:p>
    <w:p w:rsidR="002A0AAF" w:rsidRPr="00413346" w:rsidRDefault="002A0AAF" w:rsidP="002A0AAF">
      <w:pPr>
        <w:ind w:left="-567"/>
      </w:pPr>
      <w:r w:rsidRPr="00413346">
        <w:t>The appetite for capital metrics can be determined taking into consideration the following:</w:t>
      </w:r>
    </w:p>
    <w:p w:rsidR="002A0AAF" w:rsidRPr="00413346" w:rsidRDefault="002A0AAF" w:rsidP="002A0AAF">
      <w:pPr>
        <w:pStyle w:val="otraslistas"/>
        <w:ind w:left="0" w:hanging="567"/>
      </w:pPr>
      <w:r w:rsidRPr="00074630">
        <w:rPr>
          <w:b/>
          <w:bCs/>
        </w:rPr>
        <w:t>Minimum regulatory requirements:</w:t>
      </w:r>
      <w:r>
        <w:rPr>
          <w:b/>
          <w:bCs/>
        </w:rPr>
        <w:t xml:space="preserve"> </w:t>
      </w:r>
      <w:r>
        <w:t>t</w:t>
      </w:r>
      <w:r w:rsidRPr="00816E22">
        <w:t xml:space="preserve">he </w:t>
      </w:r>
      <w:r w:rsidRPr="004E2B02">
        <w:t>Santander UK</w:t>
      </w:r>
      <w:r w:rsidRPr="00816E22">
        <w:t xml:space="preserve"> Group</w:t>
      </w:r>
      <w:r>
        <w:t xml:space="preserve"> should comply at all times with the minimum requirements form regulators and supervisors.</w:t>
      </w:r>
    </w:p>
    <w:p w:rsidR="002A0AAF" w:rsidRPr="00074630" w:rsidRDefault="002A0AAF" w:rsidP="002A0AAF">
      <w:pPr>
        <w:pStyle w:val="otraslistas"/>
        <w:ind w:left="0" w:hanging="567"/>
        <w:rPr>
          <w:b/>
          <w:bCs/>
        </w:rPr>
      </w:pPr>
      <w:r w:rsidRPr="00816E22">
        <w:rPr>
          <w:b/>
          <w:bCs/>
        </w:rPr>
        <w:t xml:space="preserve">The </w:t>
      </w:r>
      <w:r w:rsidRPr="004E2B02">
        <w:rPr>
          <w:b/>
          <w:bCs/>
        </w:rPr>
        <w:t>Santander UK</w:t>
      </w:r>
      <w:r w:rsidRPr="00816E22">
        <w:rPr>
          <w:b/>
          <w:bCs/>
        </w:rPr>
        <w:t xml:space="preserve"> Group</w:t>
      </w:r>
      <w:r w:rsidRPr="003878F4">
        <w:rPr>
          <w:b/>
          <w:bCs/>
        </w:rPr>
        <w:t xml:space="preserve"> Capital Strategy:</w:t>
      </w:r>
      <w:r>
        <w:rPr>
          <w:b/>
          <w:bCs/>
        </w:rPr>
        <w:t xml:space="preserve"> </w:t>
      </w:r>
      <w:r w:rsidRPr="00074630">
        <w:t>The capital ratio</w:t>
      </w:r>
      <w:r>
        <w:t xml:space="preserve">s should be in line with the capital level established in the </w:t>
      </w:r>
      <w:r w:rsidRPr="00074630">
        <w:t xml:space="preserve">Capital </w:t>
      </w:r>
      <w:r>
        <w:t>S</w:t>
      </w:r>
      <w:r w:rsidRPr="00074630">
        <w:t>trategy</w:t>
      </w:r>
      <w:r>
        <w:t>.</w:t>
      </w:r>
    </w:p>
    <w:p w:rsidR="002A0AAF" w:rsidRPr="00413346" w:rsidRDefault="002A0AAF" w:rsidP="002A0AAF">
      <w:pPr>
        <w:pStyle w:val="otraslistas"/>
        <w:ind w:left="0" w:hanging="567"/>
      </w:pPr>
      <w:r w:rsidRPr="00A56938">
        <w:rPr>
          <w:b/>
          <w:bCs/>
        </w:rPr>
        <w:t>Rating agencies expectations:</w:t>
      </w:r>
      <w:r>
        <w:t xml:space="preserve"> The level of capital should be set according to the minimum rating that t</w:t>
      </w:r>
      <w:r w:rsidRPr="00816E22">
        <w:t xml:space="preserve">he </w:t>
      </w:r>
      <w:r w:rsidRPr="004E2B02">
        <w:t>Santander UK</w:t>
      </w:r>
      <w:r w:rsidRPr="00816E22">
        <w:t xml:space="preserve"> Group</w:t>
      </w:r>
      <w:r>
        <w:t xml:space="preserve"> is willing to accept. </w:t>
      </w:r>
      <w:r w:rsidRPr="00E95071">
        <w:t xml:space="preserve">Reference should be made to </w:t>
      </w:r>
      <w:r w:rsidRPr="00816E22">
        <w:t xml:space="preserve">the </w:t>
      </w:r>
      <w:r w:rsidRPr="004E2B02">
        <w:t>Santander UK</w:t>
      </w:r>
      <w:r w:rsidRPr="00816E22">
        <w:t xml:space="preserve"> Group</w:t>
      </w:r>
      <w:r>
        <w:t xml:space="preserve"> Financial Strength R</w:t>
      </w:r>
      <w:r w:rsidRPr="00E95071">
        <w:t>ating</w:t>
      </w:r>
      <w:r>
        <w:t xml:space="preserve"> (BSFR)</w:t>
      </w:r>
      <w:r w:rsidRPr="00E95071">
        <w:t xml:space="preserve"> models used by the Rating agencies to determ</w:t>
      </w:r>
      <w:r>
        <w:t>ine that rating.</w:t>
      </w:r>
    </w:p>
    <w:p w:rsidR="002A0AAF" w:rsidRPr="00413346" w:rsidRDefault="002A0AAF" w:rsidP="002A0AAF">
      <w:pPr>
        <w:pStyle w:val="otraslistas"/>
        <w:ind w:left="0" w:hanging="567"/>
      </w:pPr>
      <w:r w:rsidRPr="00A56938">
        <w:rPr>
          <w:b/>
          <w:bCs/>
        </w:rPr>
        <w:t>Stress Test results:</w:t>
      </w:r>
      <w:r>
        <w:t xml:space="preserve"> The stress testing results </w:t>
      </w:r>
      <w:r w:rsidRPr="00E95071">
        <w:t>serv</w:t>
      </w:r>
      <w:r>
        <w:t>e to articulate the level of capital</w:t>
      </w:r>
      <w:r w:rsidRPr="00E95071">
        <w:t xml:space="preserve"> that the current business</w:t>
      </w:r>
      <w:r>
        <w:t xml:space="preserve"> plans could potentially require</w:t>
      </w:r>
      <w:r w:rsidRPr="00E95071">
        <w:t xml:space="preserve"> under given scenarios.</w:t>
      </w:r>
    </w:p>
    <w:p w:rsidR="002A0AAF" w:rsidRPr="00413346" w:rsidRDefault="002A0AAF" w:rsidP="002A0AAF">
      <w:pPr>
        <w:pStyle w:val="otraslistas"/>
        <w:ind w:left="0" w:hanging="567"/>
      </w:pPr>
      <w:r w:rsidRPr="00A56938">
        <w:rPr>
          <w:b/>
          <w:bCs/>
        </w:rPr>
        <w:lastRenderedPageBreak/>
        <w:t>Reverse Stress Test result:</w:t>
      </w:r>
      <w:r>
        <w:t xml:space="preserve"> T</w:t>
      </w:r>
      <w:r w:rsidRPr="00E95071">
        <w:t>he reverse stress test</w:t>
      </w:r>
      <w:r>
        <w:t xml:space="preserve"> results</w:t>
      </w:r>
      <w:r w:rsidRPr="00E95071">
        <w:t xml:space="preserve"> are used to calculate the risk capacity. This sets the boundary within which the </w:t>
      </w:r>
      <w:r>
        <w:t>Risk A</w:t>
      </w:r>
      <w:r w:rsidRPr="00E95071">
        <w:t xml:space="preserve">ppetite can sit </w:t>
      </w:r>
      <w:r>
        <w:t>and the minimum capital required under that scenario</w:t>
      </w:r>
      <w:r w:rsidRPr="00E95071">
        <w:t>.</w:t>
      </w:r>
    </w:p>
    <w:p w:rsidR="002A0AAF" w:rsidRPr="00580F92" w:rsidRDefault="002A0AAF" w:rsidP="002A0AAF">
      <w:pPr>
        <w:pStyle w:val="Subtitle1"/>
        <w:numPr>
          <w:ilvl w:val="0"/>
          <w:numId w:val="3"/>
        </w:numPr>
      </w:pPr>
      <w:bookmarkStart w:id="3" w:name="_Toc342662127"/>
      <w:bookmarkStart w:id="4" w:name="_Toc416966762"/>
      <w:r w:rsidRPr="00580F92">
        <w:t>Liquidity</w:t>
      </w:r>
      <w:bookmarkEnd w:id="3"/>
      <w:bookmarkEnd w:id="4"/>
    </w:p>
    <w:p w:rsidR="002A0AAF" w:rsidRDefault="002A0AAF" w:rsidP="002A0AAF">
      <w:pPr>
        <w:ind w:left="-567"/>
      </w:pPr>
      <w:r w:rsidRPr="00B97B87">
        <w:t>The objective is to determine the level of liquidity that the Santander UK Group is willing to maintain to remain solvent with a resilient funding structure and to shape the liquidity profile of the balance sheet to be less likely to</w:t>
      </w:r>
      <w:r>
        <w:t xml:space="preserve"> suffer </w:t>
      </w:r>
      <w:proofErr w:type="spellStart"/>
      <w:r>
        <w:t>a</w:t>
      </w:r>
      <w:proofErr w:type="spellEnd"/>
      <w:r>
        <w:t xml:space="preserve"> idiosyncratic liquidity crisis:</w:t>
      </w:r>
    </w:p>
    <w:p w:rsidR="002A0AAF" w:rsidRDefault="002A0AAF" w:rsidP="002A0AAF">
      <w:pPr>
        <w:pStyle w:val="otraslistas"/>
        <w:ind w:left="0" w:hanging="567"/>
      </w:pPr>
      <w:r w:rsidRPr="00A56938">
        <w:rPr>
          <w:b/>
          <w:bCs/>
        </w:rPr>
        <w:t>Regulatory and Group compliance:</w:t>
      </w:r>
      <w:r>
        <w:t xml:space="preserve"> comply with </w:t>
      </w:r>
      <w:proofErr w:type="spellStart"/>
      <w:r>
        <w:t>Grupo</w:t>
      </w:r>
      <w:proofErr w:type="spellEnd"/>
      <w:r>
        <w:t xml:space="preserve"> </w:t>
      </w:r>
      <w:r w:rsidRPr="004E2B02">
        <w:t>Santander</w:t>
      </w:r>
      <w:r>
        <w:t xml:space="preserve"> S.A. liquidity standards and regulatory liquidity ratios at all times.</w:t>
      </w:r>
    </w:p>
    <w:p w:rsidR="002A0AAF" w:rsidRPr="005B5D69" w:rsidRDefault="002A0AAF" w:rsidP="002A0AAF">
      <w:pPr>
        <w:pStyle w:val="otraslistas"/>
        <w:ind w:left="0" w:hanging="567"/>
      </w:pPr>
      <w:r w:rsidRPr="003878F4">
        <w:rPr>
          <w:b/>
          <w:bCs/>
        </w:rPr>
        <w:t>Rating agencies expectations:</w:t>
      </w:r>
      <w:r>
        <w:t xml:space="preserve"> The level of liquidity should be set according to the minimum rating that t</w:t>
      </w:r>
      <w:r w:rsidRPr="00816E22">
        <w:t xml:space="preserve">he </w:t>
      </w:r>
      <w:r w:rsidRPr="004E2B02">
        <w:t>Santander UK</w:t>
      </w:r>
      <w:r w:rsidRPr="00816E22">
        <w:t xml:space="preserve"> Group</w:t>
      </w:r>
      <w:r>
        <w:t xml:space="preserve"> is willing to accept. </w:t>
      </w:r>
      <w:r w:rsidRPr="00E95071">
        <w:t xml:space="preserve">Reference should be made to </w:t>
      </w:r>
      <w:r w:rsidRPr="00816E22">
        <w:t xml:space="preserve">the </w:t>
      </w:r>
      <w:r w:rsidRPr="004E2B02">
        <w:t>Santander UK</w:t>
      </w:r>
      <w:r w:rsidRPr="00816E22">
        <w:t xml:space="preserve"> Group</w:t>
      </w:r>
      <w:r>
        <w:t xml:space="preserve"> Financial Strength R</w:t>
      </w:r>
      <w:r w:rsidRPr="00E95071">
        <w:t>ating</w:t>
      </w:r>
      <w:r>
        <w:t xml:space="preserve"> (BSFR)</w:t>
      </w:r>
      <w:r w:rsidRPr="00E95071">
        <w:t xml:space="preserve"> models used by the Rating agencies to determ</w:t>
      </w:r>
      <w:r>
        <w:t>ine that rating.</w:t>
      </w:r>
    </w:p>
    <w:p w:rsidR="002A0AAF" w:rsidRDefault="002A0AAF" w:rsidP="002A0AAF">
      <w:pPr>
        <w:pStyle w:val="otraslistas"/>
        <w:ind w:left="0" w:hanging="567"/>
      </w:pPr>
      <w:r w:rsidRPr="00A56938">
        <w:rPr>
          <w:b/>
          <w:bCs/>
        </w:rPr>
        <w:t>Stress Test results</w:t>
      </w:r>
      <w:r>
        <w:t>:</w:t>
      </w:r>
      <w:r w:rsidRPr="00A56938">
        <w:t xml:space="preserve"> </w:t>
      </w:r>
      <w:r>
        <w:t xml:space="preserve">The stress testing results </w:t>
      </w:r>
      <w:r w:rsidRPr="00E95071">
        <w:t>serv</w:t>
      </w:r>
      <w:r>
        <w:t>e to articulate the level of liquidity</w:t>
      </w:r>
      <w:r w:rsidRPr="00E95071">
        <w:t xml:space="preserve"> that the current business</w:t>
      </w:r>
      <w:r>
        <w:t xml:space="preserve"> plans could potentially demand</w:t>
      </w:r>
      <w:r w:rsidRPr="00E95071">
        <w:t xml:space="preserve"> under given scenarios.</w:t>
      </w:r>
    </w:p>
    <w:p w:rsidR="002A0AAF" w:rsidRDefault="002A0AAF" w:rsidP="002A0AAF">
      <w:pPr>
        <w:pStyle w:val="otraslistas"/>
        <w:ind w:left="0" w:hanging="567"/>
      </w:pPr>
      <w:r w:rsidRPr="00A56938">
        <w:rPr>
          <w:b/>
          <w:bCs/>
        </w:rPr>
        <w:t>Reverse Stress Test results:</w:t>
      </w:r>
      <w:r>
        <w:t xml:space="preserve"> T</w:t>
      </w:r>
      <w:r w:rsidRPr="00E95071">
        <w:t>he reverse stress test</w:t>
      </w:r>
      <w:r>
        <w:t xml:space="preserve"> results</w:t>
      </w:r>
      <w:r w:rsidRPr="00E95071">
        <w:t xml:space="preserve"> are used to calculate the risk capacity. This sets the boundary within which the </w:t>
      </w:r>
      <w:r>
        <w:t>Risk A</w:t>
      </w:r>
      <w:r w:rsidRPr="00E95071">
        <w:t xml:space="preserve">ppetite can sit </w:t>
      </w:r>
      <w:r>
        <w:t>and the required liquidity ratios under that scenario</w:t>
      </w:r>
      <w:r w:rsidRPr="00E95071">
        <w:t>.</w:t>
      </w:r>
    </w:p>
    <w:p w:rsidR="002A0AAF" w:rsidRDefault="002A0AAF"/>
    <w:sectPr w:rsidR="002A0A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6354"/>
    <w:multiLevelType w:val="hybridMultilevel"/>
    <w:tmpl w:val="9B129466"/>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
    <w:nsid w:val="612B06C5"/>
    <w:multiLevelType w:val="hybridMultilevel"/>
    <w:tmpl w:val="EFA2AD04"/>
    <w:lvl w:ilvl="0" w:tplc="081A4B3C">
      <w:start w:val="1"/>
      <w:numFmt w:val="decimal"/>
      <w:lvlText w:val="4.3.%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FCD684A"/>
    <w:multiLevelType w:val="hybridMultilevel"/>
    <w:tmpl w:val="BB46074E"/>
    <w:lvl w:ilvl="0" w:tplc="74E2746A">
      <w:start w:val="1"/>
      <w:numFmt w:val="bullet"/>
      <w:pStyle w:val="otraslistas"/>
      <w:lvlText w:val=""/>
      <w:lvlJc w:val="left"/>
      <w:pPr>
        <w:ind w:left="717" w:hanging="360"/>
      </w:pPr>
      <w:rPr>
        <w:rFonts w:ascii="Symbol" w:hAnsi="Symbol"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AF"/>
    <w:rsid w:val="002A0AAF"/>
    <w:rsid w:val="005D29EF"/>
    <w:rsid w:val="00AF05EA"/>
    <w:rsid w:val="00F55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AAF"/>
    <w:pPr>
      <w:spacing w:after="200"/>
      <w:jc w:val="both"/>
    </w:pPr>
    <w:rPr>
      <w:rFonts w:ascii="Arial" w:eastAsiaTheme="minorHAnsi" w:hAnsi="Arial" w:cstheme="minorBidi"/>
      <w:sz w:val="22"/>
      <w:szCs w:val="22"/>
      <w:lang w:bidi="en-GB"/>
    </w:rPr>
  </w:style>
  <w:style w:type="paragraph" w:styleId="Heading2">
    <w:name w:val="heading 2"/>
    <w:basedOn w:val="Normal"/>
    <w:next w:val="Normal"/>
    <w:link w:val="Heading2Char"/>
    <w:semiHidden/>
    <w:unhideWhenUsed/>
    <w:qFormat/>
    <w:rsid w:val="002A0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raslistas">
    <w:name w:val="otras listas"/>
    <w:basedOn w:val="Normal"/>
    <w:link w:val="otraslistasChar"/>
    <w:qFormat/>
    <w:rsid w:val="002A0AAF"/>
    <w:pPr>
      <w:numPr>
        <w:numId w:val="1"/>
      </w:numPr>
    </w:pPr>
  </w:style>
  <w:style w:type="character" w:customStyle="1" w:styleId="otraslistasChar">
    <w:name w:val="otras listas Char"/>
    <w:basedOn w:val="DefaultParagraphFont"/>
    <w:link w:val="otraslistas"/>
    <w:rsid w:val="002A0AAF"/>
    <w:rPr>
      <w:rFonts w:ascii="Arial" w:eastAsiaTheme="minorHAnsi" w:hAnsi="Arial" w:cstheme="minorBidi"/>
      <w:sz w:val="22"/>
      <w:szCs w:val="22"/>
      <w:lang w:bidi="en-GB"/>
    </w:rPr>
  </w:style>
  <w:style w:type="paragraph" w:customStyle="1" w:styleId="Subtitle1">
    <w:name w:val="Subtitle1"/>
    <w:basedOn w:val="Heading2"/>
    <w:link w:val="SUBTITLEChar"/>
    <w:uiPriority w:val="99"/>
    <w:qFormat/>
    <w:rsid w:val="002A0AAF"/>
    <w:pPr>
      <w:keepNext w:val="0"/>
      <w:keepLines w:val="0"/>
      <w:spacing w:before="120" w:after="80"/>
      <w:jc w:val="left"/>
    </w:pPr>
    <w:rPr>
      <w:rFonts w:ascii="Arial" w:eastAsia="Times New Roman" w:hAnsi="Arial" w:cs="Arial"/>
      <w:bCs w:val="0"/>
      <w:snapToGrid w:val="0"/>
      <w:color w:val="auto"/>
      <w:sz w:val="24"/>
      <w:szCs w:val="24"/>
      <w:lang w:eastAsia="en-US" w:bidi="ar-SA"/>
    </w:rPr>
  </w:style>
  <w:style w:type="character" w:customStyle="1" w:styleId="SUBTITLEChar">
    <w:name w:val="SUBTITLE Char"/>
    <w:link w:val="Subtitle1"/>
    <w:uiPriority w:val="99"/>
    <w:rsid w:val="002A0AAF"/>
    <w:rPr>
      <w:rFonts w:ascii="Arial" w:hAnsi="Arial" w:cs="Arial"/>
      <w:b/>
      <w:snapToGrid w:val="0"/>
      <w:sz w:val="24"/>
      <w:szCs w:val="24"/>
      <w:lang w:eastAsia="en-US"/>
    </w:rPr>
  </w:style>
  <w:style w:type="character" w:customStyle="1" w:styleId="Heading2Char">
    <w:name w:val="Heading 2 Char"/>
    <w:basedOn w:val="DefaultParagraphFont"/>
    <w:link w:val="Heading2"/>
    <w:semiHidden/>
    <w:rsid w:val="002A0AAF"/>
    <w:rPr>
      <w:rFonts w:asciiTheme="majorHAnsi" w:eastAsiaTheme="majorEastAsia" w:hAnsiTheme="majorHAnsi" w:cstheme="majorBidi"/>
      <w:b/>
      <w:bCs/>
      <w:color w:val="4F81BD" w:themeColor="accent1"/>
      <w:sz w:val="26"/>
      <w:szCs w:val="26"/>
      <w:lang w:bidi="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AAF"/>
    <w:pPr>
      <w:spacing w:after="200"/>
      <w:jc w:val="both"/>
    </w:pPr>
    <w:rPr>
      <w:rFonts w:ascii="Arial" w:eastAsiaTheme="minorHAnsi" w:hAnsi="Arial" w:cstheme="minorBidi"/>
      <w:sz w:val="22"/>
      <w:szCs w:val="22"/>
      <w:lang w:bidi="en-GB"/>
    </w:rPr>
  </w:style>
  <w:style w:type="paragraph" w:styleId="Heading2">
    <w:name w:val="heading 2"/>
    <w:basedOn w:val="Normal"/>
    <w:next w:val="Normal"/>
    <w:link w:val="Heading2Char"/>
    <w:semiHidden/>
    <w:unhideWhenUsed/>
    <w:qFormat/>
    <w:rsid w:val="002A0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raslistas">
    <w:name w:val="otras listas"/>
    <w:basedOn w:val="Normal"/>
    <w:link w:val="otraslistasChar"/>
    <w:qFormat/>
    <w:rsid w:val="002A0AAF"/>
    <w:pPr>
      <w:numPr>
        <w:numId w:val="1"/>
      </w:numPr>
    </w:pPr>
  </w:style>
  <w:style w:type="character" w:customStyle="1" w:styleId="otraslistasChar">
    <w:name w:val="otras listas Char"/>
    <w:basedOn w:val="DefaultParagraphFont"/>
    <w:link w:val="otraslistas"/>
    <w:rsid w:val="002A0AAF"/>
    <w:rPr>
      <w:rFonts w:ascii="Arial" w:eastAsiaTheme="minorHAnsi" w:hAnsi="Arial" w:cstheme="minorBidi"/>
      <w:sz w:val="22"/>
      <w:szCs w:val="22"/>
      <w:lang w:bidi="en-GB"/>
    </w:rPr>
  </w:style>
  <w:style w:type="paragraph" w:customStyle="1" w:styleId="Subtitle1">
    <w:name w:val="Subtitle1"/>
    <w:basedOn w:val="Heading2"/>
    <w:link w:val="SUBTITLEChar"/>
    <w:uiPriority w:val="99"/>
    <w:qFormat/>
    <w:rsid w:val="002A0AAF"/>
    <w:pPr>
      <w:keepNext w:val="0"/>
      <w:keepLines w:val="0"/>
      <w:spacing w:before="120" w:after="80"/>
      <w:jc w:val="left"/>
    </w:pPr>
    <w:rPr>
      <w:rFonts w:ascii="Arial" w:eastAsia="Times New Roman" w:hAnsi="Arial" w:cs="Arial"/>
      <w:bCs w:val="0"/>
      <w:snapToGrid w:val="0"/>
      <w:color w:val="auto"/>
      <w:sz w:val="24"/>
      <w:szCs w:val="24"/>
      <w:lang w:eastAsia="en-US" w:bidi="ar-SA"/>
    </w:rPr>
  </w:style>
  <w:style w:type="character" w:customStyle="1" w:styleId="SUBTITLEChar">
    <w:name w:val="SUBTITLE Char"/>
    <w:link w:val="Subtitle1"/>
    <w:uiPriority w:val="99"/>
    <w:rsid w:val="002A0AAF"/>
    <w:rPr>
      <w:rFonts w:ascii="Arial" w:hAnsi="Arial" w:cs="Arial"/>
      <w:b/>
      <w:snapToGrid w:val="0"/>
      <w:sz w:val="24"/>
      <w:szCs w:val="24"/>
      <w:lang w:eastAsia="en-US"/>
    </w:rPr>
  </w:style>
  <w:style w:type="character" w:customStyle="1" w:styleId="Heading2Char">
    <w:name w:val="Heading 2 Char"/>
    <w:basedOn w:val="DefaultParagraphFont"/>
    <w:link w:val="Heading2"/>
    <w:semiHidden/>
    <w:rsid w:val="002A0AAF"/>
    <w:rPr>
      <w:rFonts w:asciiTheme="majorHAnsi" w:eastAsiaTheme="majorEastAsia" w:hAnsiTheme="majorHAnsi" w:cstheme="majorBidi"/>
      <w:b/>
      <w:bCs/>
      <w:color w:val="4F81BD" w:themeColor="accent1"/>
      <w:sz w:val="26"/>
      <w:szCs w:val="26"/>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3514</Characters>
  <Application>Microsoft Office Word</Application>
  <DocSecurity>0</DocSecurity>
  <Lines>29</Lines>
  <Paragraphs>8</Paragraphs>
  <ScaleCrop>false</ScaleCrop>
  <Company>Santander</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Ancira, Dorothee (SGBM)</dc:creator>
  <cp:lastModifiedBy>Ancira, Dorothee (SGBM)</cp:lastModifiedBy>
  <cp:revision>2</cp:revision>
  <dcterms:created xsi:type="dcterms:W3CDTF">2015-05-20T14:11:00Z</dcterms:created>
  <dcterms:modified xsi:type="dcterms:W3CDTF">2015-05-20T14:29:00Z</dcterms:modified>
</cp:coreProperties>
</file>