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8C6" w:rsidRDefault="00E978C6" w:rsidP="00E978C6">
      <w:pPr>
        <w:pStyle w:val="Subtitle1"/>
        <w:ind w:left="-567"/>
        <w:rPr>
          <w:rFonts w:eastAsia="Arial"/>
        </w:rPr>
      </w:pPr>
      <w:bookmarkStart w:id="0" w:name="_Toc424891750"/>
      <w:bookmarkStart w:id="1" w:name="_Toc35196"/>
      <w:r>
        <w:rPr>
          <w:rFonts w:eastAsia="Arial"/>
        </w:rPr>
        <w:t>Financial Crime Risk</w:t>
      </w:r>
    </w:p>
    <w:p w:rsidR="00E978C6" w:rsidRPr="00E978C6" w:rsidRDefault="00B0185B" w:rsidP="00E978C6">
      <w:pPr>
        <w:pStyle w:val="Subtitle1"/>
        <w:ind w:left="-567"/>
        <w:rPr>
          <w:rFonts w:eastAsia="Arial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>San UK is subject to the risks associated with money laundering,</w:t>
      </w:r>
      <w:r w:rsidR="00ED3EA2">
        <w:rPr>
          <w:rFonts w:eastAsia="Arial"/>
          <w:b w:val="0"/>
          <w:sz w:val="22"/>
          <w:szCs w:val="22"/>
        </w:rPr>
        <w:t xml:space="preserve"> sanctions,</w:t>
      </w:r>
      <w:r>
        <w:rPr>
          <w:rFonts w:eastAsia="Arial"/>
          <w:b w:val="0"/>
          <w:sz w:val="22"/>
          <w:szCs w:val="22"/>
        </w:rPr>
        <w:t xml:space="preserve"> terrorist financing, bribery and corruption and may be adversely impacted if it does not mitigate the risks of being used to facilitate financial crime. </w:t>
      </w:r>
      <w:r w:rsidR="00E978C6" w:rsidRPr="00E978C6">
        <w:rPr>
          <w:rFonts w:eastAsia="Arial"/>
          <w:b w:val="0"/>
          <w:sz w:val="22"/>
          <w:szCs w:val="22"/>
        </w:rPr>
        <w:t xml:space="preserve">Santander UK is committed in its efforts to counter </w:t>
      </w:r>
      <w:r w:rsidR="002A42AA">
        <w:rPr>
          <w:rFonts w:eastAsia="Arial"/>
          <w:b w:val="0"/>
          <w:sz w:val="22"/>
          <w:szCs w:val="22"/>
        </w:rPr>
        <w:t>financial crime</w:t>
      </w:r>
      <w:r w:rsidR="00E978C6" w:rsidRPr="00E978C6">
        <w:rPr>
          <w:rFonts w:eastAsia="Arial"/>
          <w:b w:val="0"/>
          <w:sz w:val="22"/>
          <w:szCs w:val="22"/>
        </w:rPr>
        <w:t xml:space="preserve"> and to comply with applicable UK law and sanctions regulations. The Santander UK Group will apply strong controls to manage these risks and it has a </w:t>
      </w:r>
      <w:r w:rsidR="00E978C6" w:rsidRPr="00E978C6">
        <w:rPr>
          <w:rFonts w:eastAsia="Arial"/>
          <w:sz w:val="22"/>
          <w:szCs w:val="22"/>
        </w:rPr>
        <w:t xml:space="preserve">minimal tolerance for residual Financial Crime risk </w:t>
      </w:r>
    </w:p>
    <w:p w:rsidR="00E978C6" w:rsidRPr="00E978C6" w:rsidRDefault="00E978C6" w:rsidP="00E978C6">
      <w:pPr>
        <w:pStyle w:val="Subtitle1"/>
        <w:ind w:left="-567"/>
        <w:rPr>
          <w:rFonts w:eastAsia="Arial"/>
          <w:sz w:val="22"/>
          <w:szCs w:val="22"/>
        </w:rPr>
      </w:pPr>
    </w:p>
    <w:p w:rsidR="00E978C6" w:rsidRDefault="00E978C6" w:rsidP="00E978C6">
      <w:pPr>
        <w:pStyle w:val="Subtitle1"/>
        <w:ind w:left="-567"/>
        <w:rPr>
          <w:rFonts w:eastAsia="Arial"/>
          <w:b w:val="0"/>
          <w:sz w:val="22"/>
          <w:szCs w:val="22"/>
        </w:rPr>
      </w:pPr>
      <w:r w:rsidRPr="00E978C6">
        <w:rPr>
          <w:rFonts w:eastAsia="Arial"/>
          <w:b w:val="0"/>
          <w:sz w:val="22"/>
          <w:szCs w:val="22"/>
        </w:rPr>
        <w:t>To achieve this, San UK operates in accordance with the following principles</w:t>
      </w:r>
      <w:r w:rsidR="00852933">
        <w:rPr>
          <w:rFonts w:eastAsia="Arial"/>
          <w:b w:val="0"/>
          <w:sz w:val="22"/>
          <w:szCs w:val="22"/>
        </w:rPr>
        <w:t xml:space="preserve"> and in accordance with the Anti-Money Laundering (AML) and Sanctions Policies and Standards</w:t>
      </w:r>
      <w:r w:rsidRPr="00E978C6">
        <w:rPr>
          <w:rFonts w:eastAsia="Arial"/>
          <w:b w:val="0"/>
          <w:sz w:val="22"/>
          <w:szCs w:val="22"/>
        </w:rPr>
        <w:t xml:space="preserve">: </w:t>
      </w:r>
    </w:p>
    <w:p w:rsidR="00E978C6" w:rsidRDefault="002A42AA" w:rsidP="00E978C6">
      <w:pPr>
        <w:pStyle w:val="Subtitle1"/>
        <w:ind w:left="-567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Customer Onboarding</w:t>
      </w:r>
    </w:p>
    <w:p w:rsidR="0069191A" w:rsidRDefault="00E978C6" w:rsidP="00E14AC0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 w:rsidRPr="00E14AC0">
        <w:rPr>
          <w:rFonts w:eastAsia="Arial"/>
          <w:b w:val="0"/>
          <w:sz w:val="22"/>
          <w:szCs w:val="22"/>
        </w:rPr>
        <w:t xml:space="preserve">Assess </w:t>
      </w:r>
      <w:r w:rsidR="002A42AA">
        <w:rPr>
          <w:rFonts w:eastAsia="Arial"/>
          <w:b w:val="0"/>
          <w:sz w:val="22"/>
          <w:szCs w:val="22"/>
        </w:rPr>
        <w:t xml:space="preserve">all </w:t>
      </w:r>
      <w:r w:rsidRPr="00E14AC0">
        <w:rPr>
          <w:rFonts w:eastAsia="Arial"/>
          <w:b w:val="0"/>
          <w:sz w:val="22"/>
          <w:szCs w:val="22"/>
        </w:rPr>
        <w:t>customers for</w:t>
      </w:r>
      <w:r w:rsidR="002A42AA">
        <w:rPr>
          <w:rFonts w:eastAsia="Arial"/>
          <w:b w:val="0"/>
          <w:sz w:val="22"/>
          <w:szCs w:val="22"/>
        </w:rPr>
        <w:t xml:space="preserve"> their financial crime risk</w:t>
      </w:r>
      <w:r w:rsidR="0069191A">
        <w:rPr>
          <w:rFonts w:eastAsia="Arial"/>
          <w:b w:val="0"/>
          <w:sz w:val="22"/>
          <w:szCs w:val="22"/>
        </w:rPr>
        <w:t xml:space="preserve"> and</w:t>
      </w:r>
      <w:r w:rsidR="002A42AA">
        <w:rPr>
          <w:rFonts w:eastAsia="Arial"/>
          <w:b w:val="0"/>
          <w:sz w:val="22"/>
          <w:szCs w:val="22"/>
        </w:rPr>
        <w:t xml:space="preserve"> assign a risk rating</w:t>
      </w:r>
      <w:r w:rsidR="00486289">
        <w:rPr>
          <w:rFonts w:eastAsia="Arial"/>
          <w:b w:val="0"/>
          <w:sz w:val="22"/>
          <w:szCs w:val="22"/>
        </w:rPr>
        <w:t xml:space="preserve"> using </w:t>
      </w:r>
      <w:r w:rsidR="007F3537">
        <w:rPr>
          <w:rFonts w:eastAsia="Arial"/>
          <w:b w:val="0"/>
          <w:sz w:val="22"/>
          <w:szCs w:val="22"/>
        </w:rPr>
        <w:t>an appropriate</w:t>
      </w:r>
      <w:r w:rsidR="00486289">
        <w:rPr>
          <w:rFonts w:eastAsia="Arial"/>
          <w:b w:val="0"/>
          <w:sz w:val="22"/>
          <w:szCs w:val="22"/>
        </w:rPr>
        <w:t xml:space="preserve"> Customer Risk Assessment</w:t>
      </w:r>
      <w:r w:rsidR="007E1B51">
        <w:rPr>
          <w:rFonts w:eastAsia="Arial"/>
          <w:b w:val="0"/>
          <w:sz w:val="22"/>
          <w:szCs w:val="22"/>
        </w:rPr>
        <w:t xml:space="preserve"> (CRA) system</w:t>
      </w:r>
      <w:r w:rsidR="007E1B51">
        <w:rPr>
          <w:rStyle w:val="EndnoteReference"/>
          <w:rFonts w:eastAsia="Arial"/>
          <w:b w:val="0"/>
          <w:sz w:val="22"/>
          <w:szCs w:val="22"/>
        </w:rPr>
        <w:endnoteReference w:id="1"/>
      </w:r>
      <w:r w:rsidR="007E1B51">
        <w:rPr>
          <w:rFonts w:eastAsia="Arial"/>
          <w:b w:val="0"/>
          <w:sz w:val="22"/>
          <w:szCs w:val="22"/>
        </w:rPr>
        <w:t xml:space="preserve">. Risk ratings are determined using a detailed calibration methodology approved by senior members of the Financial Crime Compliance Team (FCCT). </w:t>
      </w:r>
    </w:p>
    <w:p w:rsidR="002A42AA" w:rsidRDefault="007E1B51" w:rsidP="00E14AC0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>O</w:t>
      </w:r>
      <w:r w:rsidR="0069191A">
        <w:rPr>
          <w:rFonts w:eastAsia="Arial"/>
          <w:b w:val="0"/>
          <w:sz w:val="22"/>
          <w:szCs w:val="22"/>
        </w:rPr>
        <w:t>nce a risk rating is assigned, o</w:t>
      </w:r>
      <w:r w:rsidR="002A42AA">
        <w:rPr>
          <w:rFonts w:eastAsia="Arial"/>
          <w:b w:val="0"/>
          <w:sz w:val="22"/>
          <w:szCs w:val="22"/>
        </w:rPr>
        <w:t>btain all required documentation</w:t>
      </w:r>
      <w:r w:rsidR="0069191A">
        <w:rPr>
          <w:rFonts w:eastAsia="Arial"/>
          <w:b w:val="0"/>
          <w:sz w:val="22"/>
          <w:szCs w:val="22"/>
        </w:rPr>
        <w:t xml:space="preserve">. As a minimum the documentation must meet the requirements of the San UK </w:t>
      </w:r>
      <w:r w:rsidR="00852933">
        <w:rPr>
          <w:rFonts w:eastAsia="Arial"/>
          <w:b w:val="0"/>
          <w:sz w:val="22"/>
          <w:szCs w:val="22"/>
        </w:rPr>
        <w:t>AML</w:t>
      </w:r>
      <w:r w:rsidR="0069191A">
        <w:rPr>
          <w:rFonts w:eastAsia="Arial"/>
          <w:b w:val="0"/>
          <w:sz w:val="22"/>
          <w:szCs w:val="22"/>
        </w:rPr>
        <w:t xml:space="preserve"> Policy and Standards</w:t>
      </w:r>
      <w:r w:rsidR="00852933">
        <w:rPr>
          <w:rFonts w:eastAsia="Arial"/>
          <w:b w:val="0"/>
          <w:sz w:val="22"/>
          <w:szCs w:val="22"/>
        </w:rPr>
        <w:t>.</w:t>
      </w:r>
    </w:p>
    <w:p w:rsidR="00DC4882" w:rsidRDefault="002A42AA" w:rsidP="00E14AC0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 xml:space="preserve">Screen all new to bank clients and changes to existing customer data against appropriate sanctions </w:t>
      </w:r>
      <w:r w:rsidR="00DC4882">
        <w:rPr>
          <w:rFonts w:eastAsia="Arial"/>
          <w:b w:val="0"/>
          <w:sz w:val="22"/>
          <w:szCs w:val="22"/>
        </w:rPr>
        <w:t>lists</w:t>
      </w:r>
      <w:r w:rsidR="00BB41B1">
        <w:rPr>
          <w:rFonts w:eastAsia="Arial"/>
          <w:b w:val="0"/>
          <w:sz w:val="22"/>
          <w:szCs w:val="22"/>
        </w:rPr>
        <w:t xml:space="preserve">. Sanctions lists that must be screened against as a minimum are set out in the San UK Sanctions Policy and Standards. </w:t>
      </w:r>
    </w:p>
    <w:p w:rsidR="002A42AA" w:rsidRPr="002E558A" w:rsidRDefault="002E558A" w:rsidP="002E558A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 xml:space="preserve">Screen all new to bank clients and changes to existing customer data against lists of known </w:t>
      </w:r>
      <w:r w:rsidR="002A42AA" w:rsidRPr="002E558A">
        <w:rPr>
          <w:rFonts w:eastAsia="Arial"/>
          <w:b w:val="0"/>
          <w:sz w:val="22"/>
          <w:szCs w:val="22"/>
        </w:rPr>
        <w:t>Politically Exposed Persons (PEP</w:t>
      </w:r>
      <w:r>
        <w:rPr>
          <w:rFonts w:eastAsia="Arial"/>
          <w:b w:val="0"/>
          <w:sz w:val="22"/>
          <w:szCs w:val="22"/>
        </w:rPr>
        <w:t>s</w:t>
      </w:r>
      <w:r w:rsidR="002A42AA" w:rsidRPr="002E558A">
        <w:rPr>
          <w:rFonts w:eastAsia="Arial"/>
          <w:b w:val="0"/>
          <w:sz w:val="22"/>
          <w:szCs w:val="22"/>
        </w:rPr>
        <w:t xml:space="preserve">) </w:t>
      </w:r>
      <w:r>
        <w:rPr>
          <w:rFonts w:eastAsia="Arial"/>
          <w:b w:val="0"/>
          <w:sz w:val="22"/>
          <w:szCs w:val="22"/>
        </w:rPr>
        <w:t>and their relatives and close associates (RCAs)</w:t>
      </w:r>
      <w:r w:rsidR="0069191A" w:rsidRPr="002E558A">
        <w:rPr>
          <w:rFonts w:eastAsia="Arial"/>
          <w:b w:val="0"/>
          <w:sz w:val="22"/>
          <w:szCs w:val="22"/>
        </w:rPr>
        <w:t xml:space="preserve">; </w:t>
      </w:r>
    </w:p>
    <w:p w:rsidR="0069191A" w:rsidRDefault="0069191A" w:rsidP="00E14AC0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 xml:space="preserve">Bring the highest risk new customers to the Financial Crime Onboarding &amp; Exits Forum (OBE) in order to determine whether to onboard the client or decline the relationship. </w:t>
      </w:r>
    </w:p>
    <w:p w:rsidR="002A42AA" w:rsidRPr="002A42AA" w:rsidRDefault="002A42AA" w:rsidP="002A42AA">
      <w:pPr>
        <w:pStyle w:val="Subtitle1"/>
        <w:ind w:left="-567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Ongoing Reviews</w:t>
      </w:r>
    </w:p>
    <w:p w:rsidR="002A42AA" w:rsidRDefault="002A42AA" w:rsidP="00E14AC0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 xml:space="preserve">Undertake periodic reviews </w:t>
      </w:r>
      <w:r w:rsidR="002E558A">
        <w:rPr>
          <w:rFonts w:eastAsia="Arial"/>
          <w:b w:val="0"/>
          <w:sz w:val="22"/>
          <w:szCs w:val="22"/>
        </w:rPr>
        <w:t xml:space="preserve">in accordance with the customer’s risk rating </w:t>
      </w:r>
      <w:r>
        <w:rPr>
          <w:rFonts w:eastAsia="Arial"/>
          <w:b w:val="0"/>
          <w:sz w:val="22"/>
          <w:szCs w:val="22"/>
        </w:rPr>
        <w:t>and event driven reviews at key trigger events</w:t>
      </w:r>
      <w:r w:rsidR="002E558A">
        <w:rPr>
          <w:rFonts w:eastAsia="Arial"/>
          <w:b w:val="0"/>
          <w:sz w:val="22"/>
          <w:szCs w:val="22"/>
        </w:rPr>
        <w:t xml:space="preserve">. </w:t>
      </w:r>
    </w:p>
    <w:p w:rsidR="002A42AA" w:rsidRPr="002A42AA" w:rsidRDefault="002A42AA" w:rsidP="002A42AA">
      <w:pPr>
        <w:pStyle w:val="Subtitle1"/>
        <w:ind w:left="-567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Payment </w:t>
      </w:r>
      <w:r w:rsidR="00DC4882">
        <w:rPr>
          <w:rFonts w:eastAsia="Arial"/>
          <w:sz w:val="22"/>
          <w:szCs w:val="22"/>
        </w:rPr>
        <w:t>Screening</w:t>
      </w:r>
    </w:p>
    <w:p w:rsidR="00486289" w:rsidRPr="00486289" w:rsidRDefault="002A42AA" w:rsidP="00486289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>Filter all incoming and outgoing p</w:t>
      </w:r>
      <w:r w:rsidR="00486289">
        <w:rPr>
          <w:rFonts w:eastAsia="Arial"/>
          <w:b w:val="0"/>
          <w:sz w:val="22"/>
          <w:szCs w:val="22"/>
        </w:rPr>
        <w:t xml:space="preserve">ayments against </w:t>
      </w:r>
      <w:r w:rsidR="002E558A">
        <w:rPr>
          <w:rFonts w:eastAsia="Arial"/>
          <w:b w:val="0"/>
          <w:sz w:val="22"/>
          <w:szCs w:val="22"/>
        </w:rPr>
        <w:t xml:space="preserve">appropriate </w:t>
      </w:r>
      <w:r w:rsidR="00486289">
        <w:rPr>
          <w:rFonts w:eastAsia="Arial"/>
          <w:b w:val="0"/>
          <w:sz w:val="22"/>
          <w:szCs w:val="22"/>
        </w:rPr>
        <w:t>sanctions lists</w:t>
      </w:r>
      <w:r w:rsidR="00E908E5">
        <w:rPr>
          <w:rStyle w:val="EndnoteReference"/>
          <w:rFonts w:eastAsia="Arial"/>
          <w:b w:val="0"/>
          <w:sz w:val="22"/>
          <w:szCs w:val="22"/>
        </w:rPr>
        <w:endnoteReference w:id="2"/>
      </w:r>
      <w:r w:rsidR="002E558A">
        <w:rPr>
          <w:rFonts w:eastAsia="Arial"/>
          <w:b w:val="0"/>
          <w:sz w:val="22"/>
          <w:szCs w:val="22"/>
        </w:rPr>
        <w:t xml:space="preserve">. </w:t>
      </w:r>
      <w:r w:rsidR="006D72CE">
        <w:rPr>
          <w:rFonts w:eastAsia="Arial"/>
          <w:b w:val="0"/>
          <w:sz w:val="22"/>
          <w:szCs w:val="22"/>
        </w:rPr>
        <w:t xml:space="preserve"> </w:t>
      </w:r>
    </w:p>
    <w:p w:rsidR="00486289" w:rsidRPr="00486289" w:rsidRDefault="00486289" w:rsidP="00486289">
      <w:pPr>
        <w:pStyle w:val="Subtitle1"/>
        <w:ind w:left="-567"/>
        <w:rPr>
          <w:rFonts w:eastAsia="Arial"/>
          <w:b w:val="0"/>
          <w:sz w:val="22"/>
          <w:szCs w:val="22"/>
        </w:rPr>
      </w:pPr>
      <w:r w:rsidRPr="00486289">
        <w:rPr>
          <w:rFonts w:eastAsia="Arial"/>
          <w:sz w:val="22"/>
          <w:szCs w:val="22"/>
        </w:rPr>
        <w:t>Transaction Monitoring</w:t>
      </w:r>
    </w:p>
    <w:p w:rsidR="00CE1381" w:rsidRDefault="002A42AA" w:rsidP="002A42AA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>Monitor customer activity to identify potential suspicious behaviour</w:t>
      </w:r>
      <w:r w:rsidR="006D72CE">
        <w:rPr>
          <w:rFonts w:eastAsia="Arial"/>
          <w:b w:val="0"/>
          <w:sz w:val="22"/>
          <w:szCs w:val="22"/>
        </w:rPr>
        <w:t>. All business units are required by the AML Policy and Standards to undertake ongoing transaction monitoring. The Suspicious Activity Reporting Unit (SARU)</w:t>
      </w:r>
      <w:r w:rsidR="008468AC">
        <w:rPr>
          <w:rFonts w:eastAsia="Arial"/>
          <w:b w:val="0"/>
          <w:sz w:val="22"/>
          <w:szCs w:val="22"/>
        </w:rPr>
        <w:t>, a specialist unit within FCCT,</w:t>
      </w:r>
      <w:r w:rsidR="006D72CE">
        <w:rPr>
          <w:rFonts w:eastAsia="Arial"/>
          <w:b w:val="0"/>
          <w:sz w:val="22"/>
          <w:szCs w:val="22"/>
        </w:rPr>
        <w:t xml:space="preserve"> undertakes centralised transaction monitoring </w:t>
      </w:r>
      <w:r w:rsidR="00852933">
        <w:rPr>
          <w:rFonts w:eastAsia="Arial"/>
          <w:b w:val="0"/>
          <w:sz w:val="22"/>
          <w:szCs w:val="22"/>
        </w:rPr>
        <w:t xml:space="preserve">in line with agreed scenarios. </w:t>
      </w:r>
    </w:p>
    <w:p w:rsidR="00E14AC0" w:rsidRPr="002A42AA" w:rsidRDefault="00CE1381" w:rsidP="002A42AA">
      <w:pPr>
        <w:pStyle w:val="Subtitle1"/>
        <w:numPr>
          <w:ilvl w:val="0"/>
          <w:numId w:val="3"/>
        </w:numPr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>S</w:t>
      </w:r>
      <w:r w:rsidR="002A42AA">
        <w:rPr>
          <w:rFonts w:eastAsia="Arial"/>
          <w:b w:val="0"/>
          <w:sz w:val="22"/>
          <w:szCs w:val="22"/>
        </w:rPr>
        <w:t xml:space="preserve">ubmit suspicious activity reports </w:t>
      </w:r>
      <w:r>
        <w:rPr>
          <w:rFonts w:eastAsia="Arial"/>
          <w:b w:val="0"/>
          <w:sz w:val="22"/>
          <w:szCs w:val="22"/>
        </w:rPr>
        <w:t xml:space="preserve">to the National Crime Agency (NCA) </w:t>
      </w:r>
      <w:r w:rsidR="002A42AA">
        <w:rPr>
          <w:rFonts w:eastAsia="Arial"/>
          <w:b w:val="0"/>
          <w:sz w:val="22"/>
          <w:szCs w:val="22"/>
        </w:rPr>
        <w:t>as appropriate</w:t>
      </w:r>
      <w:r w:rsidR="0098099F">
        <w:rPr>
          <w:rFonts w:eastAsia="Arial"/>
          <w:b w:val="0"/>
          <w:sz w:val="22"/>
          <w:szCs w:val="22"/>
        </w:rPr>
        <w:t>.</w:t>
      </w:r>
      <w:r>
        <w:rPr>
          <w:rFonts w:eastAsia="Arial"/>
          <w:b w:val="0"/>
          <w:sz w:val="22"/>
          <w:szCs w:val="22"/>
        </w:rPr>
        <w:t xml:space="preserve"> </w:t>
      </w:r>
    </w:p>
    <w:p w:rsidR="00E14AC0" w:rsidRDefault="002A42AA" w:rsidP="00E14AC0">
      <w:pPr>
        <w:pStyle w:val="Subtitle1"/>
        <w:ind w:left="-426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Customer Exits</w:t>
      </w:r>
    </w:p>
    <w:p w:rsidR="00E978C6" w:rsidRPr="00852933" w:rsidRDefault="002A42AA" w:rsidP="00852933">
      <w:pPr>
        <w:pStyle w:val="Subtitle1"/>
        <w:numPr>
          <w:ilvl w:val="0"/>
          <w:numId w:val="4"/>
        </w:numPr>
        <w:ind w:left="142" w:hanging="284"/>
        <w:rPr>
          <w:rFonts w:eastAsia="Arial"/>
          <w:b w:val="0"/>
          <w:sz w:val="22"/>
          <w:szCs w:val="22"/>
        </w:rPr>
      </w:pPr>
      <w:r>
        <w:rPr>
          <w:rFonts w:eastAsia="Arial"/>
          <w:b w:val="0"/>
          <w:sz w:val="22"/>
          <w:szCs w:val="22"/>
        </w:rPr>
        <w:t>Utilise a consistent and streamlined approach to the termination of client relationships</w:t>
      </w:r>
      <w:r w:rsidR="00F91788">
        <w:rPr>
          <w:rFonts w:eastAsia="Arial"/>
          <w:b w:val="0"/>
          <w:sz w:val="22"/>
          <w:szCs w:val="22"/>
        </w:rPr>
        <w:t xml:space="preserve">. </w:t>
      </w:r>
      <w:bookmarkEnd w:id="0"/>
      <w:bookmarkEnd w:id="1"/>
    </w:p>
    <w:sectPr w:rsidR="00E978C6" w:rsidRPr="008529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76D" w:rsidRDefault="003C776D" w:rsidP="00CC14FE">
      <w:pPr>
        <w:spacing w:after="0"/>
      </w:pPr>
      <w:r>
        <w:separator/>
      </w:r>
    </w:p>
  </w:endnote>
  <w:endnote w:type="continuationSeparator" w:id="0">
    <w:p w:rsidR="003C776D" w:rsidRDefault="003C776D" w:rsidP="00CC14FE">
      <w:pPr>
        <w:spacing w:after="0"/>
      </w:pPr>
      <w:r>
        <w:continuationSeparator/>
      </w:r>
    </w:p>
  </w:endnote>
  <w:endnote w:id="1">
    <w:p w:rsidR="007E1B51" w:rsidRDefault="007E1B51">
      <w:pPr>
        <w:pStyle w:val="EndnoteText"/>
      </w:pPr>
      <w:r>
        <w:rPr>
          <w:rStyle w:val="EndnoteReference"/>
        </w:rPr>
        <w:endnoteRef/>
      </w:r>
      <w:r>
        <w:t xml:space="preserve"> Where CRA is available. Where CRA is not available a manual risk rating system is normally utilised </w:t>
      </w:r>
    </w:p>
  </w:endnote>
  <w:endnote w:id="2">
    <w:p w:rsidR="00E908E5" w:rsidRDefault="00E908E5">
      <w:pPr>
        <w:pStyle w:val="EndnoteText"/>
      </w:pPr>
      <w:r>
        <w:rPr>
          <w:rStyle w:val="EndnoteReference"/>
        </w:rPr>
        <w:endnoteRef/>
      </w:r>
      <w:r>
        <w:t xml:space="preserve"> In line with the process for Customer Screening set out in Customer Onboarding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77" w:rsidRDefault="00380E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77" w:rsidRDefault="00380E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77" w:rsidRDefault="00380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76D" w:rsidRDefault="003C776D" w:rsidP="00CC14FE">
      <w:pPr>
        <w:spacing w:after="0"/>
      </w:pPr>
      <w:r>
        <w:separator/>
      </w:r>
    </w:p>
  </w:footnote>
  <w:footnote w:type="continuationSeparator" w:id="0">
    <w:p w:rsidR="003C776D" w:rsidRDefault="003C776D" w:rsidP="00CC14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77" w:rsidRDefault="00380E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0104883"/>
      <w:docPartObj>
        <w:docPartGallery w:val="Watermarks"/>
        <w:docPartUnique/>
      </w:docPartObj>
    </w:sdtPr>
    <w:sdtEndPr/>
    <w:sdtContent>
      <w:p w:rsidR="00380E77" w:rsidRDefault="003C776D">
        <w:pPr>
          <w:pStyle w:val="Header"/>
        </w:pPr>
        <w:r>
          <w:rPr>
            <w:noProof/>
            <w:lang w:val="en-US" w:eastAsia="en-US"/>
          </w:rPr>
          <w:pict w14:anchorId="1086E66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77" w:rsidRDefault="00380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A4879"/>
    <w:multiLevelType w:val="hybridMultilevel"/>
    <w:tmpl w:val="2F3A37D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C792F"/>
    <w:multiLevelType w:val="hybridMultilevel"/>
    <w:tmpl w:val="D93C663A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7E878D0"/>
    <w:multiLevelType w:val="hybridMultilevel"/>
    <w:tmpl w:val="8662C032"/>
    <w:lvl w:ilvl="0" w:tplc="5EDA5EEE">
      <w:start w:val="1"/>
      <w:numFmt w:val="decimal"/>
      <w:lvlText w:val="4.6.%1"/>
      <w:lvlJc w:val="left"/>
      <w:pPr>
        <w:ind w:left="1440" w:hanging="360"/>
      </w:pPr>
      <w:rPr>
        <w:rFonts w:hint="default"/>
        <w:b/>
        <w:i w:val="0"/>
        <w:sz w:val="24"/>
      </w:rPr>
    </w:lvl>
    <w:lvl w:ilvl="1" w:tplc="5EDA5EEE">
      <w:start w:val="1"/>
      <w:numFmt w:val="decimal"/>
      <w:lvlText w:val="4.6.%2"/>
      <w:lvlJc w:val="left"/>
      <w:pPr>
        <w:ind w:left="1440" w:hanging="360"/>
      </w:pPr>
      <w:rPr>
        <w:rFonts w:hint="default"/>
        <w:b/>
        <w:i w:val="0"/>
        <w:sz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D684A"/>
    <w:multiLevelType w:val="hybridMultilevel"/>
    <w:tmpl w:val="1E3688E2"/>
    <w:lvl w:ilvl="0" w:tplc="FA9CC0B2">
      <w:start w:val="1"/>
      <w:numFmt w:val="bullet"/>
      <w:pStyle w:val="otraslistas"/>
      <w:lvlText w:val=""/>
      <w:lvlJc w:val="left"/>
      <w:pPr>
        <w:ind w:left="717" w:hanging="360"/>
      </w:pPr>
      <w:rPr>
        <w:rFonts w:ascii="Wingdings" w:hAnsi="Wingdings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FE"/>
    <w:rsid w:val="00025BE3"/>
    <w:rsid w:val="000A3158"/>
    <w:rsid w:val="00172857"/>
    <w:rsid w:val="00190ADA"/>
    <w:rsid w:val="002A42AA"/>
    <w:rsid w:val="002E558A"/>
    <w:rsid w:val="002F3AC9"/>
    <w:rsid w:val="00363F6B"/>
    <w:rsid w:val="00380E77"/>
    <w:rsid w:val="003C776D"/>
    <w:rsid w:val="00486289"/>
    <w:rsid w:val="005F660F"/>
    <w:rsid w:val="0069191A"/>
    <w:rsid w:val="006D72CE"/>
    <w:rsid w:val="007A232C"/>
    <w:rsid w:val="007E1B51"/>
    <w:rsid w:val="007F3537"/>
    <w:rsid w:val="008468AC"/>
    <w:rsid w:val="00852933"/>
    <w:rsid w:val="0098099F"/>
    <w:rsid w:val="009B0CAC"/>
    <w:rsid w:val="00AC6231"/>
    <w:rsid w:val="00B0185B"/>
    <w:rsid w:val="00B67F5F"/>
    <w:rsid w:val="00BA0416"/>
    <w:rsid w:val="00BB41B1"/>
    <w:rsid w:val="00CC14FE"/>
    <w:rsid w:val="00CE1381"/>
    <w:rsid w:val="00DC4882"/>
    <w:rsid w:val="00E14AC0"/>
    <w:rsid w:val="00E908E5"/>
    <w:rsid w:val="00E978C6"/>
    <w:rsid w:val="00ED3EA2"/>
    <w:rsid w:val="00F9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E671ED"/>
  <w15:chartTrackingRefBased/>
  <w15:docId w15:val="{0EBC5944-7A65-4262-BE50-22AE6400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4FE"/>
    <w:pPr>
      <w:spacing w:after="200" w:line="240" w:lineRule="auto"/>
      <w:jc w:val="both"/>
    </w:pPr>
    <w:rPr>
      <w:rFonts w:ascii="Arial" w:hAnsi="Arial"/>
      <w:lang w:eastAsia="en-GB" w:bidi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raslistas">
    <w:name w:val="otras listas"/>
    <w:basedOn w:val="Normal"/>
    <w:link w:val="otraslistasChar"/>
    <w:qFormat/>
    <w:rsid w:val="00CC14FE"/>
    <w:pPr>
      <w:numPr>
        <w:numId w:val="1"/>
      </w:numPr>
    </w:pPr>
  </w:style>
  <w:style w:type="character" w:customStyle="1" w:styleId="otraslistasChar">
    <w:name w:val="otras listas Char"/>
    <w:basedOn w:val="DefaultParagraphFont"/>
    <w:link w:val="otraslistas"/>
    <w:rsid w:val="00CC14FE"/>
    <w:rPr>
      <w:rFonts w:ascii="Arial" w:hAnsi="Arial"/>
      <w:lang w:eastAsia="en-GB" w:bidi="en-GB"/>
    </w:rPr>
  </w:style>
  <w:style w:type="paragraph" w:customStyle="1" w:styleId="Subtitle1">
    <w:name w:val="Subtitle1"/>
    <w:basedOn w:val="Heading2"/>
    <w:link w:val="SUBTITLEChar"/>
    <w:qFormat/>
    <w:rsid w:val="00CC14FE"/>
    <w:pPr>
      <w:keepNext w:val="0"/>
      <w:keepLines w:val="0"/>
      <w:spacing w:before="120" w:after="80"/>
      <w:jc w:val="left"/>
    </w:pPr>
    <w:rPr>
      <w:rFonts w:ascii="Arial" w:eastAsia="Times New Roman" w:hAnsi="Arial" w:cs="Arial"/>
      <w:b/>
      <w:snapToGrid w:val="0"/>
      <w:color w:val="auto"/>
      <w:sz w:val="24"/>
      <w:szCs w:val="24"/>
      <w:lang w:eastAsia="en-US" w:bidi="ar-SA"/>
    </w:rPr>
  </w:style>
  <w:style w:type="character" w:customStyle="1" w:styleId="SUBTITLEChar">
    <w:name w:val="SUBTITLE Char"/>
    <w:link w:val="Subtitle1"/>
    <w:rsid w:val="00CC14FE"/>
    <w:rPr>
      <w:rFonts w:ascii="Arial" w:eastAsia="Times New Roman" w:hAnsi="Arial" w:cs="Arial"/>
      <w:b/>
      <w:snapToGrid w:val="0"/>
      <w:sz w:val="24"/>
      <w:szCs w:val="24"/>
    </w:rPr>
  </w:style>
  <w:style w:type="paragraph" w:customStyle="1" w:styleId="footnotedescription">
    <w:name w:val="footnote description"/>
    <w:next w:val="Normal"/>
    <w:link w:val="footnotedescriptionChar"/>
    <w:hidden/>
    <w:rsid w:val="00CC14FE"/>
    <w:pPr>
      <w:spacing w:after="0"/>
    </w:pPr>
    <w:rPr>
      <w:rFonts w:ascii="Arial" w:eastAsia="Arial" w:hAnsi="Arial" w:cs="Arial"/>
      <w:color w:val="000000"/>
      <w:sz w:val="18"/>
      <w:lang w:eastAsia="en-GB"/>
    </w:rPr>
  </w:style>
  <w:style w:type="character" w:customStyle="1" w:styleId="footnotedescriptionChar">
    <w:name w:val="footnote description Char"/>
    <w:link w:val="footnotedescription"/>
    <w:rsid w:val="00CC14FE"/>
    <w:rPr>
      <w:rFonts w:ascii="Arial" w:eastAsia="Arial" w:hAnsi="Arial" w:cs="Arial"/>
      <w:color w:val="000000"/>
      <w:sz w:val="18"/>
      <w:lang w:eastAsia="en-GB"/>
    </w:rPr>
  </w:style>
  <w:style w:type="character" w:customStyle="1" w:styleId="footnotemark">
    <w:name w:val="footnote mark"/>
    <w:hidden/>
    <w:rsid w:val="00CC14FE"/>
    <w:rPr>
      <w:rFonts w:ascii="Arial" w:eastAsia="Arial" w:hAnsi="Arial" w:cs="Arial"/>
      <w:color w:val="000000"/>
      <w:sz w:val="18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4F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E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E3"/>
    <w:rPr>
      <w:rFonts w:ascii="Segoe UI" w:hAnsi="Segoe UI" w:cs="Segoe UI"/>
      <w:sz w:val="18"/>
      <w:szCs w:val="18"/>
      <w:lang w:eastAsia="en-GB" w:bidi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B5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B51"/>
    <w:rPr>
      <w:rFonts w:ascii="Arial" w:hAnsi="Arial"/>
      <w:sz w:val="20"/>
      <w:szCs w:val="20"/>
      <w:lang w:eastAsia="en-GB" w:bidi="en-GB"/>
    </w:rPr>
  </w:style>
  <w:style w:type="character" w:styleId="EndnoteReference">
    <w:name w:val="endnote reference"/>
    <w:basedOn w:val="DefaultParagraphFont"/>
    <w:uiPriority w:val="99"/>
    <w:semiHidden/>
    <w:unhideWhenUsed/>
    <w:rsid w:val="007E1B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1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3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381"/>
    <w:rPr>
      <w:rFonts w:ascii="Arial" w:hAnsi="Arial"/>
      <w:sz w:val="20"/>
      <w:szCs w:val="20"/>
      <w:lang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381"/>
    <w:rPr>
      <w:rFonts w:ascii="Arial" w:hAnsi="Arial"/>
      <w:b/>
      <w:bCs/>
      <w:sz w:val="20"/>
      <w:szCs w:val="20"/>
      <w:lang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380E7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E77"/>
    <w:rPr>
      <w:rFonts w:ascii="Arial" w:hAnsi="Arial"/>
      <w:lang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380E7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E77"/>
    <w:rPr>
      <w:rFonts w:ascii="Arial" w:hAnsi="Arial"/>
      <w:lang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90F0-A33A-4F14-9CF0-42BFE0D2A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(UK)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Helen (Santander)</dc:creator>
  <cp:keywords/>
  <dc:description/>
  <cp:lastModifiedBy>Murphy, Helen (Santander)</cp:lastModifiedBy>
  <cp:revision>3</cp:revision>
  <cp:lastPrinted>2015-12-01T10:55:00Z</cp:lastPrinted>
  <dcterms:created xsi:type="dcterms:W3CDTF">2015-12-01T11:56:00Z</dcterms:created>
  <dcterms:modified xsi:type="dcterms:W3CDTF">2015-12-01T12:00:00Z</dcterms:modified>
</cp:coreProperties>
</file>