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009" w:rsidRPr="00BD5A3E" w:rsidRDefault="00C71009" w:rsidP="00C71009">
      <w:pPr>
        <w:ind w:left="-108"/>
        <w:jc w:val="center"/>
        <w:rPr>
          <w:color w:val="FF0000"/>
          <w:sz w:val="56"/>
          <w:szCs w:val="56"/>
        </w:rPr>
      </w:pPr>
    </w:p>
    <w:p w:rsidR="00C71009" w:rsidRPr="00AA1EAE" w:rsidRDefault="00C71009" w:rsidP="00C71009">
      <w:pPr>
        <w:ind w:left="-108"/>
        <w:jc w:val="center"/>
        <w:rPr>
          <w:color w:val="FF0000"/>
          <w:sz w:val="56"/>
          <w:szCs w:val="56"/>
        </w:rPr>
      </w:pPr>
      <w:r w:rsidRPr="00AA1EAE">
        <w:rPr>
          <w:noProof/>
          <w:color w:val="FF0000"/>
          <w:sz w:val="56"/>
          <w:szCs w:val="56"/>
        </w:rPr>
        <w:drawing>
          <wp:inline distT="0" distB="0" distL="0" distR="0" wp14:anchorId="69BA506B" wp14:editId="2BAC000D">
            <wp:extent cx="2197100" cy="78359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50322"/>
                    <a:stretch>
                      <a:fillRect/>
                    </a:stretch>
                  </pic:blipFill>
                  <pic:spPr bwMode="auto">
                    <a:xfrm>
                      <a:off x="0" y="0"/>
                      <a:ext cx="2197100" cy="783590"/>
                    </a:xfrm>
                    <a:prstGeom prst="rect">
                      <a:avLst/>
                    </a:prstGeom>
                    <a:noFill/>
                    <a:ln>
                      <a:noFill/>
                    </a:ln>
                  </pic:spPr>
                </pic:pic>
              </a:graphicData>
            </a:graphic>
          </wp:inline>
        </w:drawing>
      </w:r>
    </w:p>
    <w:p w:rsidR="00C71009" w:rsidRPr="00AA1EAE" w:rsidRDefault="00C71009" w:rsidP="00C71009">
      <w:pPr>
        <w:ind w:left="-108"/>
        <w:jc w:val="center"/>
        <w:rPr>
          <w:color w:val="FF0000"/>
          <w:sz w:val="56"/>
          <w:szCs w:val="56"/>
        </w:rPr>
      </w:pPr>
    </w:p>
    <w:p w:rsidR="00C71009" w:rsidRPr="00AA1EAE" w:rsidRDefault="00C71009" w:rsidP="00C71009">
      <w:pPr>
        <w:ind w:left="-108"/>
        <w:jc w:val="center"/>
        <w:rPr>
          <w:color w:val="FF0000"/>
          <w:sz w:val="56"/>
          <w:szCs w:val="56"/>
        </w:rPr>
      </w:pPr>
    </w:p>
    <w:p w:rsidR="00C71009" w:rsidRPr="00AA1EAE" w:rsidRDefault="00C71009" w:rsidP="00C71009">
      <w:pPr>
        <w:ind w:left="-108"/>
        <w:jc w:val="center"/>
        <w:rPr>
          <w:b/>
          <w:caps/>
          <w:color w:val="FF0000"/>
          <w:sz w:val="52"/>
          <w:szCs w:val="52"/>
        </w:rPr>
      </w:pPr>
      <w:r w:rsidRPr="00AA1EAE">
        <w:rPr>
          <w:b/>
          <w:caps/>
          <w:color w:val="FF0000"/>
          <w:sz w:val="52"/>
          <w:szCs w:val="52"/>
        </w:rPr>
        <w:t>Group Risk Appetite metrics</w:t>
      </w:r>
    </w:p>
    <w:p w:rsidR="00C71009" w:rsidRPr="00AA1EAE" w:rsidRDefault="00C71009" w:rsidP="00C71009">
      <w:pPr>
        <w:ind w:left="-108"/>
        <w:jc w:val="center"/>
        <w:rPr>
          <w:b/>
          <w:caps/>
          <w:color w:val="FF0000"/>
          <w:sz w:val="52"/>
          <w:szCs w:val="52"/>
        </w:rPr>
      </w:pPr>
      <w:r w:rsidRPr="00AA1EAE">
        <w:rPr>
          <w:b/>
          <w:caps/>
          <w:color w:val="FF0000"/>
          <w:sz w:val="52"/>
          <w:szCs w:val="52"/>
        </w:rPr>
        <w:t xml:space="preserve">Collection </w:t>
      </w:r>
      <w:r w:rsidR="007E563D" w:rsidRPr="00AA1EAE">
        <w:rPr>
          <w:b/>
          <w:caps/>
          <w:color w:val="FF0000"/>
          <w:sz w:val="52"/>
          <w:szCs w:val="52"/>
        </w:rPr>
        <w:t xml:space="preserve">and reportinG     </w:t>
      </w:r>
      <w:r w:rsidR="00801FE0" w:rsidRPr="00AA1EAE">
        <w:rPr>
          <w:b/>
          <w:caps/>
          <w:color w:val="FF0000"/>
          <w:sz w:val="52"/>
          <w:szCs w:val="52"/>
        </w:rPr>
        <w:t xml:space="preserve">                                 </w:t>
      </w:r>
      <w:r w:rsidR="007E563D" w:rsidRPr="00AA1EAE">
        <w:rPr>
          <w:b/>
          <w:caps/>
          <w:color w:val="FF0000"/>
          <w:sz w:val="52"/>
          <w:szCs w:val="52"/>
        </w:rPr>
        <w:t xml:space="preserve">        </w:t>
      </w:r>
      <w:r w:rsidRPr="00AA1EAE">
        <w:rPr>
          <w:b/>
          <w:caps/>
          <w:color w:val="FF0000"/>
          <w:sz w:val="52"/>
          <w:szCs w:val="52"/>
        </w:rPr>
        <w:t xml:space="preserve"> madrid</w:t>
      </w:r>
    </w:p>
    <w:p w:rsidR="00C71009" w:rsidRPr="00AA1EAE" w:rsidRDefault="00C71009" w:rsidP="00C71009"/>
    <w:p w:rsidR="00C71009" w:rsidRPr="00AA1EAE" w:rsidRDefault="00C71009" w:rsidP="00C71009"/>
    <w:p w:rsidR="00C71009" w:rsidRPr="00AA1EAE" w:rsidRDefault="00C71009" w:rsidP="00C71009"/>
    <w:p w:rsidR="00C71009" w:rsidRPr="00AA1EAE" w:rsidRDefault="00C71009" w:rsidP="00C71009"/>
    <w:p w:rsidR="00C71009" w:rsidRPr="00AA1EAE" w:rsidRDefault="00C71009" w:rsidP="00C71009">
      <w:pPr>
        <w:pBdr>
          <w:bottom w:val="single" w:sz="4" w:space="1" w:color="FF0000"/>
        </w:pBdr>
        <w:spacing w:before="120" w:after="120"/>
        <w:rPr>
          <w:b/>
          <w:color w:val="FF0000"/>
          <w:sz w:val="28"/>
        </w:rPr>
      </w:pPr>
      <w:r w:rsidRPr="00AA1EAE">
        <w:br w:type="page"/>
      </w:r>
      <w:r w:rsidRPr="00AA1EAE">
        <w:rPr>
          <w:b/>
          <w:color w:val="FF0000"/>
          <w:sz w:val="28"/>
        </w:rPr>
        <w:lastRenderedPageBreak/>
        <w:t>Table of Contents</w:t>
      </w:r>
    </w:p>
    <w:p w:rsidR="00BE3B39" w:rsidRPr="00AA1EAE" w:rsidRDefault="00C71009">
      <w:pPr>
        <w:pStyle w:val="TOC1"/>
        <w:tabs>
          <w:tab w:val="left" w:pos="440"/>
          <w:tab w:val="right" w:leader="dot" w:pos="9350"/>
        </w:tabs>
        <w:rPr>
          <w:rFonts w:asciiTheme="minorHAnsi" w:eastAsiaTheme="minorEastAsia" w:hAnsiTheme="minorHAnsi" w:cstheme="minorBidi"/>
          <w:b w:val="0"/>
          <w:caps w:val="0"/>
          <w:noProof/>
          <w:color w:val="auto"/>
          <w:sz w:val="22"/>
        </w:rPr>
      </w:pPr>
      <w:r w:rsidRPr="00AA1EAE">
        <w:rPr>
          <w:caps w:val="0"/>
          <w:smallCaps/>
        </w:rPr>
        <w:fldChar w:fldCharType="begin"/>
      </w:r>
      <w:r w:rsidRPr="00AA1EAE">
        <w:rPr>
          <w:caps w:val="0"/>
          <w:smallCaps/>
        </w:rPr>
        <w:instrText xml:space="preserve"> TOC \h \z \t "SANUS 1,1,SAN US 2,2,SAN US 3,3" </w:instrText>
      </w:r>
      <w:r w:rsidRPr="00AA1EAE">
        <w:rPr>
          <w:caps w:val="0"/>
          <w:smallCaps/>
        </w:rPr>
        <w:fldChar w:fldCharType="separate"/>
      </w:r>
      <w:hyperlink w:anchor="_Toc441070656" w:history="1">
        <w:r w:rsidR="00BE3B39" w:rsidRPr="00AA1EAE">
          <w:rPr>
            <w:rStyle w:val="Hyperlink"/>
            <w:noProof/>
            <w:lang w:bidi="en-US"/>
          </w:rPr>
          <w:t>1.</w:t>
        </w:r>
        <w:r w:rsidR="00BE3B39" w:rsidRPr="00AA1EAE">
          <w:rPr>
            <w:rFonts w:asciiTheme="minorHAnsi" w:eastAsiaTheme="minorEastAsia" w:hAnsiTheme="minorHAnsi" w:cstheme="minorBidi"/>
            <w:b w:val="0"/>
            <w:caps w:val="0"/>
            <w:noProof/>
            <w:color w:val="auto"/>
            <w:sz w:val="22"/>
          </w:rPr>
          <w:tab/>
        </w:r>
        <w:r w:rsidR="00BE3B39" w:rsidRPr="00AA1EAE">
          <w:rPr>
            <w:rStyle w:val="Hyperlink"/>
            <w:noProof/>
            <w:lang w:bidi="en-US"/>
          </w:rPr>
          <w:t>Introduction</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_Toc441070656 \h </w:instrText>
        </w:r>
        <w:r w:rsidR="00BE3B39" w:rsidRPr="00AA1EAE">
          <w:rPr>
            <w:noProof/>
            <w:webHidden/>
          </w:rPr>
        </w:r>
        <w:r w:rsidR="00BE3B39" w:rsidRPr="00AA1EAE">
          <w:rPr>
            <w:noProof/>
            <w:webHidden/>
          </w:rPr>
          <w:fldChar w:fldCharType="separate"/>
        </w:r>
        <w:r w:rsidR="00BE3B39" w:rsidRPr="00AA1EAE">
          <w:rPr>
            <w:noProof/>
            <w:webHidden/>
          </w:rPr>
          <w:t>3</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57" w:history="1">
        <w:r w:rsidR="00BE3B39" w:rsidRPr="00AA1EAE">
          <w:rPr>
            <w:rStyle w:val="Hyperlink"/>
            <w:rFonts w:cs="Calibri"/>
            <w:noProof/>
            <w:snapToGrid w:val="0"/>
            <w:lang w:bidi="en-US"/>
          </w:rPr>
          <w:t>1.1</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Purpose of the document</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_Toc441070657 \h </w:instrText>
        </w:r>
        <w:r w:rsidR="00BE3B39" w:rsidRPr="00AA1EAE">
          <w:rPr>
            <w:noProof/>
            <w:webHidden/>
          </w:rPr>
        </w:r>
        <w:r w:rsidR="00BE3B39" w:rsidRPr="00AA1EAE">
          <w:rPr>
            <w:noProof/>
            <w:webHidden/>
          </w:rPr>
          <w:fldChar w:fldCharType="separate"/>
        </w:r>
        <w:r w:rsidR="00BE3B39" w:rsidRPr="00AA1EAE">
          <w:rPr>
            <w:noProof/>
            <w:webHidden/>
          </w:rPr>
          <w:t>3</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58" w:history="1">
        <w:r w:rsidR="00BE3B39" w:rsidRPr="00AA1EAE">
          <w:rPr>
            <w:rStyle w:val="Hyperlink"/>
            <w:rFonts w:cs="Calibri"/>
            <w:noProof/>
            <w:snapToGrid w:val="0"/>
            <w:lang w:bidi="en-US"/>
          </w:rPr>
          <w:t>1.2</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Scope and Maintenance</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_Toc441070658 \h </w:instrText>
        </w:r>
        <w:r w:rsidR="00BE3B39" w:rsidRPr="00AA1EAE">
          <w:rPr>
            <w:noProof/>
            <w:webHidden/>
          </w:rPr>
        </w:r>
        <w:r w:rsidR="00BE3B39" w:rsidRPr="00AA1EAE">
          <w:rPr>
            <w:noProof/>
            <w:webHidden/>
          </w:rPr>
          <w:fldChar w:fldCharType="separate"/>
        </w:r>
        <w:r w:rsidR="00BE3B39" w:rsidRPr="00AA1EAE">
          <w:rPr>
            <w:noProof/>
            <w:webHidden/>
          </w:rPr>
          <w:t>3</w:t>
        </w:r>
        <w:r w:rsidR="00BE3B39" w:rsidRPr="00AA1EAE">
          <w:rPr>
            <w:noProof/>
            <w:webHidden/>
          </w:rPr>
          <w:fldChar w:fldCharType="end"/>
        </w:r>
      </w:hyperlink>
    </w:p>
    <w:p w:rsidR="00BE3B39" w:rsidRPr="00AA1EAE" w:rsidRDefault="001558B8">
      <w:pPr>
        <w:pStyle w:val="TOC1"/>
        <w:tabs>
          <w:tab w:val="left" w:pos="440"/>
          <w:tab w:val="right" w:leader="dot" w:pos="9350"/>
        </w:tabs>
        <w:rPr>
          <w:rFonts w:asciiTheme="minorHAnsi" w:eastAsiaTheme="minorEastAsia" w:hAnsiTheme="minorHAnsi" w:cstheme="minorBidi"/>
          <w:b w:val="0"/>
          <w:caps w:val="0"/>
          <w:noProof/>
          <w:color w:val="auto"/>
          <w:sz w:val="22"/>
        </w:rPr>
      </w:pPr>
      <w:hyperlink w:anchor="_Toc441070659" w:history="1">
        <w:r w:rsidR="00BE3B39" w:rsidRPr="00AA1EAE">
          <w:rPr>
            <w:rStyle w:val="Hyperlink"/>
            <w:noProof/>
            <w:lang w:bidi="en-US"/>
          </w:rPr>
          <w:t>2.</w:t>
        </w:r>
        <w:r w:rsidR="00BE3B39" w:rsidRPr="00AA1EAE">
          <w:rPr>
            <w:rFonts w:asciiTheme="minorHAnsi" w:eastAsiaTheme="minorEastAsia" w:hAnsiTheme="minorHAnsi" w:cstheme="minorBidi"/>
            <w:b w:val="0"/>
            <w:caps w:val="0"/>
            <w:noProof/>
            <w:color w:val="auto"/>
            <w:sz w:val="22"/>
          </w:rPr>
          <w:tab/>
        </w:r>
        <w:r w:rsidR="00BE3B39" w:rsidRPr="00AA1EAE">
          <w:rPr>
            <w:rStyle w:val="Hyperlink"/>
            <w:noProof/>
            <w:lang w:bidi="en-US"/>
          </w:rPr>
          <w:t>Santander Group RAS reporting process</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_Toc441070659 \h </w:instrText>
        </w:r>
        <w:r w:rsidR="00BE3B39" w:rsidRPr="00AA1EAE">
          <w:rPr>
            <w:noProof/>
            <w:webHidden/>
          </w:rPr>
        </w:r>
        <w:r w:rsidR="00BE3B39" w:rsidRPr="00AA1EAE">
          <w:rPr>
            <w:noProof/>
            <w:webHidden/>
          </w:rPr>
          <w:fldChar w:fldCharType="separate"/>
        </w:r>
        <w:r w:rsidR="00BE3B39" w:rsidRPr="00AA1EAE">
          <w:rPr>
            <w:noProof/>
            <w:webHidden/>
          </w:rPr>
          <w:t>3</w:t>
        </w:r>
        <w:r w:rsidR="00BE3B39" w:rsidRPr="00AA1EAE">
          <w:rPr>
            <w:noProof/>
            <w:webHidden/>
          </w:rPr>
          <w:fldChar w:fldCharType="end"/>
        </w:r>
      </w:hyperlink>
    </w:p>
    <w:p w:rsidR="00BE3B39" w:rsidRPr="00AA1EAE" w:rsidRDefault="001558B8">
      <w:pPr>
        <w:pStyle w:val="TOC1"/>
        <w:tabs>
          <w:tab w:val="left" w:pos="440"/>
          <w:tab w:val="right" w:leader="dot" w:pos="9350"/>
        </w:tabs>
        <w:rPr>
          <w:rFonts w:asciiTheme="minorHAnsi" w:eastAsiaTheme="minorEastAsia" w:hAnsiTheme="minorHAnsi" w:cstheme="minorBidi"/>
          <w:b w:val="0"/>
          <w:caps w:val="0"/>
          <w:noProof/>
          <w:color w:val="auto"/>
          <w:sz w:val="22"/>
        </w:rPr>
      </w:pPr>
      <w:hyperlink w:anchor="_Toc441070660" w:history="1">
        <w:r w:rsidR="00BE3B39" w:rsidRPr="00AA1EAE">
          <w:rPr>
            <w:rStyle w:val="Hyperlink"/>
            <w:noProof/>
            <w:lang w:bidi="en-US"/>
          </w:rPr>
          <w:t>3.</w:t>
        </w:r>
        <w:r w:rsidR="00BE3B39" w:rsidRPr="00AA1EAE">
          <w:rPr>
            <w:rFonts w:asciiTheme="minorHAnsi" w:eastAsiaTheme="minorEastAsia" w:hAnsiTheme="minorHAnsi" w:cstheme="minorBidi"/>
            <w:b w:val="0"/>
            <w:caps w:val="0"/>
            <w:noProof/>
            <w:color w:val="auto"/>
            <w:sz w:val="22"/>
          </w:rPr>
          <w:tab/>
        </w:r>
        <w:r w:rsidR="00BE3B39" w:rsidRPr="00AA1EAE">
          <w:rPr>
            <w:rStyle w:val="Hyperlink"/>
            <w:noProof/>
            <w:lang w:bidi="en-US"/>
          </w:rPr>
          <w:t>Metrics reported to Santander Group – Quarterly reporting</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_Toc441070660 \h </w:instrText>
        </w:r>
        <w:r w:rsidR="00BE3B39" w:rsidRPr="00AA1EAE">
          <w:rPr>
            <w:noProof/>
            <w:webHidden/>
          </w:rPr>
        </w:r>
        <w:r w:rsidR="00BE3B39" w:rsidRPr="00AA1EAE">
          <w:rPr>
            <w:noProof/>
            <w:webHidden/>
          </w:rPr>
          <w:fldChar w:fldCharType="separate"/>
        </w:r>
        <w:r w:rsidR="00BE3B39" w:rsidRPr="00AA1EAE">
          <w:rPr>
            <w:noProof/>
            <w:webHidden/>
          </w:rPr>
          <w:t>4</w:t>
        </w:r>
        <w:r w:rsidR="00BE3B39" w:rsidRPr="00AA1EAE">
          <w:rPr>
            <w:noProof/>
            <w:webHidden/>
          </w:rPr>
          <w:fldChar w:fldCharType="end"/>
        </w:r>
      </w:hyperlink>
    </w:p>
    <w:p w:rsidR="00BE3B39" w:rsidRPr="00AA1EAE" w:rsidRDefault="001558B8" w:rsidP="00E965D6">
      <w:pPr>
        <w:pStyle w:val="TOC2"/>
        <w:rPr>
          <w:rFonts w:asciiTheme="minorHAnsi" w:eastAsiaTheme="minorEastAsia" w:hAnsiTheme="minorHAnsi" w:cstheme="minorBidi"/>
          <w:b w:val="0"/>
          <w:smallCaps w:val="0"/>
          <w:noProof/>
          <w:sz w:val="22"/>
          <w:szCs w:val="22"/>
        </w:rPr>
      </w:pPr>
      <w:hyperlink w:anchor="_Toc441070673" w:history="1">
        <w:r w:rsidR="00BE3B39" w:rsidRPr="00AA1EAE">
          <w:rPr>
            <w:rStyle w:val="Hyperlink"/>
            <w:rFonts w:cs="Calibri"/>
            <w:noProof/>
            <w:snapToGrid w:val="0"/>
            <w:lang w:bidi="en-US"/>
          </w:rPr>
          <w:t>3.1</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Collection of SHUSA monthly report data</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_Toc441070673 \h </w:instrText>
        </w:r>
        <w:r w:rsidR="00BE3B39" w:rsidRPr="00AA1EAE">
          <w:rPr>
            <w:noProof/>
            <w:webHidden/>
          </w:rPr>
        </w:r>
        <w:r w:rsidR="00BE3B39" w:rsidRPr="00AA1EAE">
          <w:rPr>
            <w:noProof/>
            <w:webHidden/>
          </w:rPr>
          <w:fldChar w:fldCharType="separate"/>
        </w:r>
        <w:r w:rsidR="00BE3B39" w:rsidRPr="00AA1EAE">
          <w:rPr>
            <w:noProof/>
            <w:webHidden/>
          </w:rPr>
          <w:t>5</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76" w:history="1">
        <w:r w:rsidR="00BE3B39" w:rsidRPr="00AA1EAE">
          <w:rPr>
            <w:rStyle w:val="Hyperlink"/>
            <w:rFonts w:cs="Calibri"/>
            <w:noProof/>
            <w:snapToGrid w:val="0"/>
            <w:lang w:bidi="en-US"/>
          </w:rPr>
          <w:t>3.2</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Collection of</w:t>
        </w:r>
        <w:r w:rsidR="00AA400A">
          <w:rPr>
            <w:rStyle w:val="Hyperlink"/>
            <w:noProof/>
            <w:lang w:bidi="en-US"/>
          </w:rPr>
          <w:t xml:space="preserve"> </w:t>
        </w:r>
        <w:r w:rsidR="00BE3B39" w:rsidRPr="00AA1EAE">
          <w:rPr>
            <w:rStyle w:val="Hyperlink"/>
            <w:noProof/>
            <w:lang w:bidi="en-US"/>
          </w:rPr>
          <w:t>Group metric calculation from managers</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_Toc441070676 \h </w:instrText>
        </w:r>
        <w:r w:rsidR="00BE3B39" w:rsidRPr="00AA1EAE">
          <w:rPr>
            <w:noProof/>
            <w:webHidden/>
          </w:rPr>
        </w:r>
        <w:r w:rsidR="00BE3B39" w:rsidRPr="00AA1EAE">
          <w:rPr>
            <w:noProof/>
            <w:webHidden/>
          </w:rPr>
          <w:fldChar w:fldCharType="separate"/>
        </w:r>
        <w:r w:rsidR="00BE3B39" w:rsidRPr="00AA1EAE">
          <w:rPr>
            <w:noProof/>
            <w:webHidden/>
          </w:rPr>
          <w:t>5</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78" w:history="1">
        <w:r w:rsidR="00BE3B39" w:rsidRPr="00AA1EAE">
          <w:rPr>
            <w:rStyle w:val="Hyperlink"/>
            <w:rFonts w:cs="Calibri"/>
            <w:noProof/>
            <w:snapToGrid w:val="0"/>
            <w:lang w:bidi="en-US"/>
          </w:rPr>
          <w:t>3.3</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Collection of additional information</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_Toc441070678 \h </w:instrText>
        </w:r>
        <w:r w:rsidR="00BE3B39" w:rsidRPr="00AA1EAE">
          <w:rPr>
            <w:noProof/>
            <w:webHidden/>
          </w:rPr>
        </w:r>
        <w:r w:rsidR="00BE3B39" w:rsidRPr="00AA1EAE">
          <w:rPr>
            <w:noProof/>
            <w:webHidden/>
          </w:rPr>
          <w:fldChar w:fldCharType="separate"/>
        </w:r>
        <w:r w:rsidR="00BE3B39" w:rsidRPr="00AA1EAE">
          <w:rPr>
            <w:noProof/>
            <w:webHidden/>
          </w:rPr>
          <w:t>6</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80" w:history="1">
        <w:r w:rsidR="00BE3B39" w:rsidRPr="00AA1EAE">
          <w:rPr>
            <w:rStyle w:val="Hyperlink"/>
            <w:rFonts w:cs="Calibri"/>
            <w:noProof/>
            <w:snapToGrid w:val="0"/>
            <w:lang w:bidi="en-US"/>
          </w:rPr>
          <w:t>3.4</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Preparing the Group RA report</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_Toc441070680 \h </w:instrText>
        </w:r>
        <w:r w:rsidR="00BE3B39" w:rsidRPr="00AA1EAE">
          <w:rPr>
            <w:noProof/>
            <w:webHidden/>
          </w:rPr>
        </w:r>
        <w:r w:rsidR="00BE3B39" w:rsidRPr="00AA1EAE">
          <w:rPr>
            <w:noProof/>
            <w:webHidden/>
          </w:rPr>
          <w:fldChar w:fldCharType="separate"/>
        </w:r>
        <w:r w:rsidR="00BE3B39" w:rsidRPr="00AA1EAE">
          <w:rPr>
            <w:noProof/>
            <w:webHidden/>
          </w:rPr>
          <w:t>8</w:t>
        </w:r>
        <w:r w:rsidR="00BE3B39" w:rsidRPr="00AA1EAE">
          <w:rPr>
            <w:noProof/>
            <w:webHidden/>
          </w:rPr>
          <w:fldChar w:fldCharType="end"/>
        </w:r>
      </w:hyperlink>
    </w:p>
    <w:p w:rsidR="00BE3B39" w:rsidRDefault="001558B8">
      <w:pPr>
        <w:pStyle w:val="TOC2"/>
        <w:rPr>
          <w:noProof/>
        </w:rPr>
      </w:pPr>
      <w:hyperlink w:anchor="_Toc441070682" w:history="1">
        <w:r w:rsidR="00BE3B39" w:rsidRPr="00AA1EAE">
          <w:rPr>
            <w:rStyle w:val="Hyperlink"/>
            <w:rFonts w:cs="Calibri"/>
            <w:noProof/>
            <w:snapToGrid w:val="0"/>
            <w:lang w:bidi="en-US"/>
          </w:rPr>
          <w:t>3.5</w:t>
        </w:r>
        <w:r w:rsidR="00BE3B39" w:rsidRPr="00AA1EAE">
          <w:rPr>
            <w:rFonts w:asciiTheme="minorHAnsi" w:eastAsiaTheme="minorEastAsia" w:hAnsiTheme="minorHAnsi" w:cstheme="minorBidi"/>
            <w:b w:val="0"/>
            <w:smallCaps w:val="0"/>
            <w:noProof/>
            <w:sz w:val="22"/>
            <w:szCs w:val="22"/>
          </w:rPr>
          <w:tab/>
        </w:r>
        <w:r w:rsidR="00AA400A">
          <w:rPr>
            <w:rStyle w:val="Hyperlink"/>
            <w:noProof/>
            <w:lang w:bidi="en-US"/>
          </w:rPr>
          <w:t>RECAST</w:t>
        </w:r>
        <w:r w:rsidR="00AA400A" w:rsidRPr="00AA400A">
          <w:rPr>
            <w:rStyle w:val="Hyperlink"/>
            <w:noProof/>
            <w:lang w:bidi="en-US"/>
          </w:rPr>
          <w:t xml:space="preserve"> Group RA</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_Toc441070682 \h </w:instrText>
        </w:r>
        <w:r w:rsidR="00BE3B39" w:rsidRPr="00AA1EAE">
          <w:rPr>
            <w:noProof/>
            <w:webHidden/>
          </w:rPr>
        </w:r>
        <w:r w:rsidR="00BE3B39" w:rsidRPr="00AA1EAE">
          <w:rPr>
            <w:noProof/>
            <w:webHidden/>
          </w:rPr>
          <w:fldChar w:fldCharType="separate"/>
        </w:r>
        <w:r w:rsidR="00BE3B39" w:rsidRPr="00AA1EAE">
          <w:rPr>
            <w:noProof/>
            <w:webHidden/>
          </w:rPr>
          <w:t>8</w:t>
        </w:r>
        <w:r w:rsidR="00BE3B39" w:rsidRPr="00AA1EAE">
          <w:rPr>
            <w:noProof/>
            <w:webHidden/>
          </w:rPr>
          <w:fldChar w:fldCharType="end"/>
        </w:r>
      </w:hyperlink>
    </w:p>
    <w:p w:rsidR="00AA400A" w:rsidRPr="00AA400A" w:rsidRDefault="001558B8" w:rsidP="00AA400A">
      <w:pPr>
        <w:pStyle w:val="TOC2"/>
        <w:rPr>
          <w:rFonts w:asciiTheme="minorHAnsi" w:eastAsiaTheme="minorEastAsia" w:hAnsiTheme="minorHAnsi" w:cstheme="minorBidi"/>
          <w:b w:val="0"/>
          <w:smallCaps w:val="0"/>
          <w:noProof/>
          <w:sz w:val="22"/>
          <w:szCs w:val="22"/>
        </w:rPr>
      </w:pPr>
      <w:hyperlink w:anchor="_Toc441070682" w:history="1">
        <w:r w:rsidR="00AA400A">
          <w:rPr>
            <w:rStyle w:val="Hyperlink"/>
            <w:rFonts w:cs="Calibri"/>
            <w:noProof/>
            <w:snapToGrid w:val="0"/>
            <w:lang w:bidi="en-US"/>
          </w:rPr>
          <w:t>3.6</w:t>
        </w:r>
        <w:r w:rsidR="00AA400A" w:rsidRPr="00AA1EAE">
          <w:rPr>
            <w:rFonts w:asciiTheme="minorHAnsi" w:eastAsiaTheme="minorEastAsia" w:hAnsiTheme="minorHAnsi" w:cstheme="minorBidi"/>
            <w:b w:val="0"/>
            <w:smallCaps w:val="0"/>
            <w:noProof/>
            <w:sz w:val="22"/>
            <w:szCs w:val="22"/>
          </w:rPr>
          <w:tab/>
        </w:r>
        <w:r w:rsidR="00AA400A" w:rsidRPr="00AA1EAE">
          <w:rPr>
            <w:rStyle w:val="Hyperlink"/>
            <w:noProof/>
            <w:lang w:bidi="en-US"/>
          </w:rPr>
          <w:t>Submission</w:t>
        </w:r>
        <w:r w:rsidR="00AA400A" w:rsidRPr="00AA1EAE">
          <w:rPr>
            <w:noProof/>
            <w:webHidden/>
          </w:rPr>
          <w:tab/>
        </w:r>
        <w:r w:rsidR="00AA400A" w:rsidRPr="00AA1EAE">
          <w:rPr>
            <w:noProof/>
            <w:webHidden/>
          </w:rPr>
          <w:fldChar w:fldCharType="begin"/>
        </w:r>
        <w:r w:rsidR="00AA400A" w:rsidRPr="00AA1EAE">
          <w:rPr>
            <w:noProof/>
            <w:webHidden/>
          </w:rPr>
          <w:instrText xml:space="preserve"> PAGEREF _Toc441070682 \h </w:instrText>
        </w:r>
        <w:r w:rsidR="00AA400A" w:rsidRPr="00AA1EAE">
          <w:rPr>
            <w:noProof/>
            <w:webHidden/>
          </w:rPr>
        </w:r>
        <w:r w:rsidR="00AA400A" w:rsidRPr="00AA1EAE">
          <w:rPr>
            <w:noProof/>
            <w:webHidden/>
          </w:rPr>
          <w:fldChar w:fldCharType="separate"/>
        </w:r>
        <w:r w:rsidR="00AA400A" w:rsidRPr="00AA1EAE">
          <w:rPr>
            <w:noProof/>
            <w:webHidden/>
          </w:rPr>
          <w:t>8</w:t>
        </w:r>
        <w:r w:rsidR="00AA400A" w:rsidRPr="00AA1EAE">
          <w:rPr>
            <w:noProof/>
            <w:webHidden/>
          </w:rPr>
          <w:fldChar w:fldCharType="end"/>
        </w:r>
      </w:hyperlink>
    </w:p>
    <w:p w:rsidR="00BE3B39" w:rsidRPr="00AA1EAE" w:rsidRDefault="001558B8">
      <w:pPr>
        <w:pStyle w:val="TOC1"/>
        <w:tabs>
          <w:tab w:val="left" w:pos="440"/>
          <w:tab w:val="right" w:leader="dot" w:pos="9350"/>
        </w:tabs>
        <w:rPr>
          <w:rFonts w:asciiTheme="minorHAnsi" w:eastAsiaTheme="minorEastAsia" w:hAnsiTheme="minorHAnsi" w:cstheme="minorBidi"/>
          <w:b w:val="0"/>
          <w:caps w:val="0"/>
          <w:noProof/>
          <w:color w:val="auto"/>
          <w:sz w:val="22"/>
        </w:rPr>
      </w:pPr>
      <w:hyperlink w:anchor="_Toc441070683" w:history="1">
        <w:r w:rsidR="00BE3B39" w:rsidRPr="00AA1EAE">
          <w:rPr>
            <w:rStyle w:val="Hyperlink"/>
            <w:noProof/>
            <w:lang w:bidi="en-US"/>
          </w:rPr>
          <w:t>4.</w:t>
        </w:r>
        <w:r w:rsidR="00BE3B39" w:rsidRPr="00AA1EAE">
          <w:rPr>
            <w:rFonts w:asciiTheme="minorHAnsi" w:eastAsiaTheme="minorEastAsia" w:hAnsiTheme="minorHAnsi" w:cstheme="minorBidi"/>
            <w:b w:val="0"/>
            <w:caps w:val="0"/>
            <w:noProof/>
            <w:color w:val="auto"/>
            <w:sz w:val="22"/>
          </w:rPr>
          <w:tab/>
        </w:r>
        <w:r w:rsidR="00BE3B39" w:rsidRPr="00AA1EAE">
          <w:rPr>
            <w:rStyle w:val="Hyperlink"/>
            <w:noProof/>
            <w:lang w:bidi="en-US"/>
          </w:rPr>
          <w:t>Document History and Version Control</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_Toc441070683 \h </w:instrText>
        </w:r>
        <w:r w:rsidR="00BE3B39" w:rsidRPr="00AA1EAE">
          <w:rPr>
            <w:noProof/>
            <w:webHidden/>
          </w:rPr>
        </w:r>
        <w:r w:rsidR="00BE3B39" w:rsidRPr="00AA1EAE">
          <w:rPr>
            <w:noProof/>
            <w:webHidden/>
          </w:rPr>
          <w:fldChar w:fldCharType="separate"/>
        </w:r>
        <w:r w:rsidR="00BE3B39" w:rsidRPr="00AA1EAE">
          <w:rPr>
            <w:noProof/>
            <w:webHidden/>
          </w:rPr>
          <w:t>8</w:t>
        </w:r>
        <w:r w:rsidR="00BE3B39" w:rsidRPr="00AA1EAE">
          <w:rPr>
            <w:noProof/>
            <w:webHidden/>
          </w:rPr>
          <w:fldChar w:fldCharType="end"/>
        </w:r>
      </w:hyperlink>
    </w:p>
    <w:p w:rsidR="00BE3B39" w:rsidRPr="00AA1EAE" w:rsidRDefault="001558B8">
      <w:pPr>
        <w:pStyle w:val="TOC2"/>
        <w:rPr>
          <w:rFonts w:asciiTheme="minorHAnsi" w:eastAsiaTheme="minorEastAsia" w:hAnsiTheme="minorHAnsi" w:cstheme="minorBidi"/>
          <w:b w:val="0"/>
          <w:smallCaps w:val="0"/>
          <w:noProof/>
          <w:sz w:val="22"/>
          <w:szCs w:val="22"/>
        </w:rPr>
      </w:pPr>
      <w:hyperlink w:anchor="_Toc441070684" w:history="1">
        <w:r w:rsidR="00BE3B39" w:rsidRPr="00AA1EAE">
          <w:rPr>
            <w:rStyle w:val="Hyperlink"/>
            <w:rFonts w:cs="Calibri"/>
            <w:noProof/>
            <w:snapToGrid w:val="0"/>
            <w:lang w:bidi="en-US"/>
          </w:rPr>
          <w:t>4.1</w:t>
        </w:r>
        <w:r w:rsidR="00BE3B39" w:rsidRPr="00AA1EAE">
          <w:rPr>
            <w:rFonts w:asciiTheme="minorHAnsi" w:eastAsiaTheme="minorEastAsia" w:hAnsiTheme="minorHAnsi" w:cstheme="minorBidi"/>
            <w:b w:val="0"/>
            <w:smallCaps w:val="0"/>
            <w:noProof/>
            <w:sz w:val="22"/>
            <w:szCs w:val="22"/>
          </w:rPr>
          <w:tab/>
        </w:r>
        <w:r w:rsidR="00BE3B39" w:rsidRPr="00AA1EAE">
          <w:rPr>
            <w:rStyle w:val="Hyperlink"/>
            <w:noProof/>
            <w:lang w:bidi="en-US"/>
          </w:rPr>
          <w:t>Ownership and Authorship</w:t>
        </w:r>
        <w:r w:rsidR="00BE3B39" w:rsidRPr="00AA1EAE">
          <w:rPr>
            <w:noProof/>
            <w:webHidden/>
          </w:rPr>
          <w:tab/>
        </w:r>
        <w:r w:rsidR="00BE3B39" w:rsidRPr="00AA1EAE">
          <w:rPr>
            <w:noProof/>
            <w:webHidden/>
          </w:rPr>
          <w:fldChar w:fldCharType="begin"/>
        </w:r>
        <w:r w:rsidR="00BE3B39" w:rsidRPr="00AA1EAE">
          <w:rPr>
            <w:noProof/>
            <w:webHidden/>
          </w:rPr>
          <w:instrText xml:space="preserve"> PAGEREF _Toc441070684 \h </w:instrText>
        </w:r>
        <w:r w:rsidR="00BE3B39" w:rsidRPr="00AA1EAE">
          <w:rPr>
            <w:noProof/>
            <w:webHidden/>
          </w:rPr>
        </w:r>
        <w:r w:rsidR="00BE3B39" w:rsidRPr="00AA1EAE">
          <w:rPr>
            <w:noProof/>
            <w:webHidden/>
          </w:rPr>
          <w:fldChar w:fldCharType="separate"/>
        </w:r>
        <w:r w:rsidR="00BE3B39" w:rsidRPr="00AA1EAE">
          <w:rPr>
            <w:noProof/>
            <w:webHidden/>
          </w:rPr>
          <w:t>8</w:t>
        </w:r>
        <w:r w:rsidR="00BE3B39" w:rsidRPr="00AA1EAE">
          <w:rPr>
            <w:noProof/>
            <w:webHidden/>
          </w:rPr>
          <w:fldChar w:fldCharType="end"/>
        </w:r>
      </w:hyperlink>
    </w:p>
    <w:p w:rsidR="00C71009" w:rsidRPr="00AA1EAE" w:rsidRDefault="00C71009" w:rsidP="00C71009">
      <w:r w:rsidRPr="00AA1EAE">
        <w:fldChar w:fldCharType="end"/>
      </w:r>
    </w:p>
    <w:p w:rsidR="00C71009" w:rsidRPr="00AA1EAE" w:rsidRDefault="00C71009" w:rsidP="00C71009"/>
    <w:p w:rsidR="00880B50" w:rsidRPr="00AA1EAE" w:rsidRDefault="00880B50" w:rsidP="00C71009"/>
    <w:p w:rsidR="00880B50" w:rsidRPr="00AA1EAE" w:rsidRDefault="00880B50" w:rsidP="00C71009"/>
    <w:p w:rsidR="00880B50" w:rsidRPr="00AA1EAE" w:rsidRDefault="00880B50" w:rsidP="00C71009"/>
    <w:p w:rsidR="00880B50" w:rsidRPr="00AA1EAE" w:rsidRDefault="00880B50" w:rsidP="00C71009"/>
    <w:p w:rsidR="00880B50" w:rsidRPr="00AA1EAE" w:rsidRDefault="00880B50" w:rsidP="00C71009"/>
    <w:p w:rsidR="00880B50" w:rsidRPr="00AA1EAE" w:rsidRDefault="00880B50" w:rsidP="00C71009"/>
    <w:p w:rsidR="00FF71F8" w:rsidRPr="00AA1EAE" w:rsidRDefault="00FF71F8" w:rsidP="00C71009">
      <w:pPr>
        <w:pStyle w:val="SANUS1"/>
        <w:numPr>
          <w:ilvl w:val="0"/>
          <w:numId w:val="1"/>
        </w:numPr>
        <w:sectPr w:rsidR="00FF71F8" w:rsidRPr="00AA1EAE" w:rsidSect="00E457A7">
          <w:headerReference w:type="default" r:id="rId10"/>
          <w:footerReference w:type="default" r:id="rId11"/>
          <w:pgSz w:w="12240" w:h="15840"/>
          <w:pgMar w:top="1440" w:right="1440" w:bottom="1440" w:left="1440" w:header="720" w:footer="720" w:gutter="0"/>
          <w:cols w:space="720"/>
          <w:titlePg/>
          <w:docGrid w:linePitch="360"/>
        </w:sectPr>
      </w:pPr>
      <w:bookmarkStart w:id="2" w:name="_Toc373835312"/>
    </w:p>
    <w:p w:rsidR="00C71009" w:rsidRPr="00AA1EAE" w:rsidRDefault="00C71009" w:rsidP="00C71009">
      <w:pPr>
        <w:pStyle w:val="SANUS1"/>
        <w:numPr>
          <w:ilvl w:val="0"/>
          <w:numId w:val="1"/>
        </w:numPr>
      </w:pPr>
      <w:bookmarkStart w:id="3" w:name="_Toc441070656"/>
      <w:r w:rsidRPr="00AA1EAE">
        <w:lastRenderedPageBreak/>
        <w:t>Introduction</w:t>
      </w:r>
      <w:bookmarkEnd w:id="2"/>
      <w:bookmarkEnd w:id="3"/>
    </w:p>
    <w:p w:rsidR="00C71009" w:rsidRPr="00AA1EAE" w:rsidRDefault="00C71009" w:rsidP="00C71009">
      <w:pPr>
        <w:pStyle w:val="SANUS2"/>
        <w:numPr>
          <w:ilvl w:val="1"/>
          <w:numId w:val="1"/>
        </w:numPr>
      </w:pPr>
      <w:bookmarkStart w:id="4" w:name="_Toc441070657"/>
      <w:r w:rsidRPr="00AA1EAE">
        <w:t>Purpose of the document</w:t>
      </w:r>
      <w:bookmarkEnd w:id="4"/>
    </w:p>
    <w:p w:rsidR="00C71009" w:rsidRPr="00AA1EAE" w:rsidRDefault="00C71009" w:rsidP="00C71009">
      <w:pPr>
        <w:pStyle w:val="Normal1"/>
        <w:jc w:val="both"/>
        <w:rPr>
          <w:sz w:val="24"/>
          <w:szCs w:val="24"/>
        </w:rPr>
      </w:pPr>
      <w:r w:rsidRPr="00AA1EAE">
        <w:rPr>
          <w:sz w:val="24"/>
          <w:szCs w:val="24"/>
        </w:rPr>
        <w:t xml:space="preserve">The Group Risk Appetite (“RA”) </w:t>
      </w:r>
      <w:r w:rsidR="007E563D" w:rsidRPr="00AA1EAE">
        <w:rPr>
          <w:sz w:val="24"/>
          <w:szCs w:val="24"/>
        </w:rPr>
        <w:t>metric collection document for M</w:t>
      </w:r>
      <w:r w:rsidRPr="00AA1EAE">
        <w:rPr>
          <w:sz w:val="24"/>
          <w:szCs w:val="24"/>
        </w:rPr>
        <w:t xml:space="preserve">adrid details how </w:t>
      </w:r>
      <w:r w:rsidR="007E563D" w:rsidRPr="00AA1EAE">
        <w:rPr>
          <w:sz w:val="24"/>
          <w:szCs w:val="24"/>
        </w:rPr>
        <w:t>t</w:t>
      </w:r>
      <w:r w:rsidRPr="00AA1EAE">
        <w:rPr>
          <w:sz w:val="24"/>
          <w:szCs w:val="24"/>
        </w:rPr>
        <w:t xml:space="preserve">he Santander Holdings USA, Inc. (“SHUSA”) team collects </w:t>
      </w:r>
      <w:r w:rsidR="007E563D" w:rsidRPr="00AA1EAE">
        <w:rPr>
          <w:sz w:val="24"/>
          <w:szCs w:val="24"/>
        </w:rPr>
        <w:t xml:space="preserve">and reports </w:t>
      </w:r>
      <w:r w:rsidRPr="00AA1EAE">
        <w:rPr>
          <w:sz w:val="24"/>
          <w:szCs w:val="24"/>
        </w:rPr>
        <w:t xml:space="preserve">risk appetite metric data from each </w:t>
      </w:r>
      <w:r w:rsidR="00115A41">
        <w:rPr>
          <w:sz w:val="24"/>
          <w:szCs w:val="24"/>
        </w:rPr>
        <w:t xml:space="preserve">US </w:t>
      </w:r>
      <w:r w:rsidR="007E563D" w:rsidRPr="00AA1EAE">
        <w:rPr>
          <w:sz w:val="24"/>
          <w:szCs w:val="24"/>
        </w:rPr>
        <w:t>Risk Appetite Team (“RA team”)</w:t>
      </w:r>
      <w:r w:rsidRPr="00AA1EAE">
        <w:rPr>
          <w:sz w:val="24"/>
          <w:szCs w:val="24"/>
        </w:rPr>
        <w:t xml:space="preserve"> </w:t>
      </w:r>
      <w:r w:rsidR="00115A41">
        <w:rPr>
          <w:sz w:val="24"/>
          <w:szCs w:val="24"/>
        </w:rPr>
        <w:t xml:space="preserve">for SHUSA, SBNA and SC for </w:t>
      </w:r>
      <w:r w:rsidRPr="00AA1EAE">
        <w:rPr>
          <w:sz w:val="24"/>
          <w:szCs w:val="24"/>
        </w:rPr>
        <w:t>the quarterly Risk appetite report for Madrid.</w:t>
      </w:r>
    </w:p>
    <w:p w:rsidR="00C71009" w:rsidRPr="00AA1EAE" w:rsidRDefault="00C71009" w:rsidP="00C71009">
      <w:pPr>
        <w:pStyle w:val="SANUS2"/>
        <w:numPr>
          <w:ilvl w:val="1"/>
          <w:numId w:val="1"/>
        </w:numPr>
      </w:pPr>
      <w:bookmarkStart w:id="5" w:name="_Toc441070658"/>
      <w:bookmarkStart w:id="6" w:name="_Toc401564541"/>
      <w:r w:rsidRPr="00AA1EAE">
        <w:t>Scope</w:t>
      </w:r>
      <w:r w:rsidR="007E563D" w:rsidRPr="00AA1EAE">
        <w:t xml:space="preserve"> and Maintenance</w:t>
      </w:r>
      <w:bookmarkEnd w:id="5"/>
    </w:p>
    <w:p w:rsidR="00FF71F8" w:rsidRPr="00AA1EAE" w:rsidRDefault="007E563D" w:rsidP="00FF71F8">
      <w:pPr>
        <w:pStyle w:val="Normal1"/>
        <w:jc w:val="both"/>
        <w:rPr>
          <w:sz w:val="24"/>
          <w:szCs w:val="24"/>
        </w:rPr>
      </w:pPr>
      <w:r w:rsidRPr="00AA1EAE">
        <w:rPr>
          <w:sz w:val="24"/>
          <w:szCs w:val="24"/>
        </w:rPr>
        <w:t>This process applies to the SHUSA RA team and is owned and maintained by the SHUSA Director of Risk Appetite. This document should be updated as needed in the event of changes to the process listed out in this document or if there are any changes</w:t>
      </w:r>
      <w:r w:rsidR="00FF71F8" w:rsidRPr="00AA1EAE">
        <w:rPr>
          <w:sz w:val="24"/>
          <w:szCs w:val="24"/>
        </w:rPr>
        <w:t xml:space="preserve"> to the Risk appetite Statement.</w:t>
      </w:r>
    </w:p>
    <w:p w:rsidR="00E6138C" w:rsidRPr="00AA1EAE" w:rsidRDefault="00E6138C"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AA1EAE" w:rsidRPr="00AA1EAE" w:rsidRDefault="00AA1EAE" w:rsidP="00FF71F8">
      <w:pPr>
        <w:pStyle w:val="Normal1"/>
        <w:jc w:val="both"/>
        <w:rPr>
          <w:sz w:val="24"/>
          <w:szCs w:val="24"/>
        </w:rPr>
      </w:pPr>
    </w:p>
    <w:p w:rsidR="00E6138C" w:rsidRPr="00AA1EAE" w:rsidRDefault="00E6138C" w:rsidP="00E6138C">
      <w:pPr>
        <w:pStyle w:val="SANUS1"/>
        <w:numPr>
          <w:ilvl w:val="0"/>
          <w:numId w:val="1"/>
        </w:numPr>
      </w:pPr>
      <w:bookmarkStart w:id="7" w:name="_Toc441070659"/>
      <w:r w:rsidRPr="00AA1EAE">
        <w:t>Santander Group RAS reporting process</w:t>
      </w:r>
      <w:bookmarkEnd w:id="7"/>
    </w:p>
    <w:p w:rsidR="00E6138C" w:rsidRPr="00AA1EAE" w:rsidRDefault="00E6138C" w:rsidP="00E6138C">
      <w:pPr>
        <w:pStyle w:val="ListParagraph"/>
        <w:numPr>
          <w:ilvl w:val="0"/>
          <w:numId w:val="9"/>
        </w:numPr>
      </w:pPr>
      <w:r w:rsidRPr="00AA1EAE">
        <w:rPr>
          <w:sz w:val="24"/>
        </w:rPr>
        <w:t>The</w:t>
      </w:r>
      <w:r w:rsidRPr="00AA1EAE">
        <w:t xml:space="preserve"> SHUSA RA team submits a </w:t>
      </w:r>
      <w:r w:rsidRPr="00AA1EAE">
        <w:rPr>
          <w:b/>
          <w:u w:val="single"/>
        </w:rPr>
        <w:t>quarterly</w:t>
      </w:r>
      <w:r w:rsidRPr="00AA1EAE">
        <w:t xml:space="preserve"> risk appetite report to Santander Group:</w:t>
      </w:r>
    </w:p>
    <w:p w:rsidR="00E6138C" w:rsidRPr="00AA1EAE" w:rsidRDefault="00E6138C" w:rsidP="00E6138C">
      <w:pPr>
        <w:pStyle w:val="ListParagraph"/>
        <w:ind w:left="360"/>
      </w:pPr>
      <w:r w:rsidRPr="00AA1EAE">
        <w:t xml:space="preserve"> </w:t>
      </w:r>
    </w:p>
    <w:p w:rsidR="00AA1EAE" w:rsidRPr="00AA1EAE" w:rsidRDefault="00E6138C" w:rsidP="00AA1EAE">
      <w:pPr>
        <w:pStyle w:val="ListParagraph"/>
        <w:numPr>
          <w:ilvl w:val="0"/>
          <w:numId w:val="8"/>
        </w:numPr>
        <w:rPr>
          <w:sz w:val="24"/>
        </w:rPr>
      </w:pPr>
      <w:r w:rsidRPr="00AA1EAE">
        <w:rPr>
          <w:sz w:val="24"/>
        </w:rPr>
        <w:t xml:space="preserve">The template for the report is provided by Group RA Global Team, and </w:t>
      </w:r>
      <w:r w:rsidR="00257887" w:rsidRPr="00AA1EAE">
        <w:rPr>
          <w:sz w:val="24"/>
        </w:rPr>
        <w:t>is filed</w:t>
      </w:r>
      <w:r w:rsidRPr="00AA1EAE">
        <w:rPr>
          <w:sz w:val="24"/>
        </w:rPr>
        <w:t xml:space="preserve"> in the </w:t>
      </w:r>
      <w:r w:rsidR="00CE50C7" w:rsidRPr="00AA1EAE">
        <w:rPr>
          <w:sz w:val="24"/>
        </w:rPr>
        <w:t xml:space="preserve">SHUSA RA team </w:t>
      </w:r>
      <w:r w:rsidR="00AA1EAE" w:rsidRPr="00AA1EAE">
        <w:rPr>
          <w:sz w:val="24"/>
        </w:rPr>
        <w:t xml:space="preserve">shared drive. </w:t>
      </w:r>
    </w:p>
    <w:p w:rsidR="00AA1EAE" w:rsidRPr="00AA1EAE" w:rsidRDefault="00AA1EAE" w:rsidP="00AA1EAE">
      <w:pPr>
        <w:pStyle w:val="ListParagraph"/>
        <w:rPr>
          <w:i/>
        </w:rPr>
      </w:pPr>
      <w:r w:rsidRPr="00AA1EAE">
        <w:rPr>
          <w:i/>
        </w:rPr>
        <w:t>\\corpormabop3\docs\EWRMG\Dept\SHUSA Risk Appetite Statement\2. Reporting\Madrid RAS Reporting</w:t>
      </w:r>
    </w:p>
    <w:p w:rsidR="00E6138C" w:rsidRPr="00AA1EAE" w:rsidRDefault="00E6138C" w:rsidP="00AA1EAE">
      <w:pPr>
        <w:pStyle w:val="ListParagraph"/>
        <w:numPr>
          <w:ilvl w:val="0"/>
          <w:numId w:val="8"/>
        </w:numPr>
        <w:rPr>
          <w:sz w:val="24"/>
        </w:rPr>
      </w:pPr>
      <w:r w:rsidRPr="00AA1EAE">
        <w:rPr>
          <w:sz w:val="24"/>
        </w:rPr>
        <w:t>The Group RA report must be completed and sent to Madrid by the 10</w:t>
      </w:r>
      <w:r w:rsidRPr="00AA1EAE">
        <w:rPr>
          <w:sz w:val="24"/>
          <w:vertAlign w:val="superscript"/>
        </w:rPr>
        <w:t>th</w:t>
      </w:r>
      <w:r w:rsidRPr="00AA1EAE">
        <w:rPr>
          <w:sz w:val="24"/>
        </w:rPr>
        <w:t xml:space="preserve"> calendar day of the second month after quarter end (i.e. March quarter end will be submitted by May 10</w:t>
      </w:r>
      <w:r w:rsidRPr="00AA1EAE">
        <w:rPr>
          <w:sz w:val="24"/>
          <w:vertAlign w:val="superscript"/>
        </w:rPr>
        <w:t>th</w:t>
      </w:r>
      <w:r w:rsidRPr="00AA1EAE">
        <w:rPr>
          <w:sz w:val="24"/>
        </w:rPr>
        <w:t>)</w:t>
      </w:r>
      <w:r w:rsidR="00CE50C7" w:rsidRPr="00AA1EAE">
        <w:rPr>
          <w:sz w:val="24"/>
        </w:rPr>
        <w:t xml:space="preserve"> (section 3.</w:t>
      </w:r>
      <w:r w:rsidR="00257887" w:rsidRPr="00AA1EAE">
        <w:rPr>
          <w:sz w:val="24"/>
        </w:rPr>
        <w:t>6</w:t>
      </w:r>
      <w:r w:rsidR="00CE50C7" w:rsidRPr="00AA1EAE">
        <w:rPr>
          <w:sz w:val="24"/>
        </w:rPr>
        <w:t>)</w:t>
      </w:r>
      <w:r w:rsidR="00257887" w:rsidRPr="00AA1EAE">
        <w:rPr>
          <w:sz w:val="24"/>
        </w:rPr>
        <w:t xml:space="preserve">. The final report is filed in </w:t>
      </w:r>
      <w:r w:rsidR="00AA1EAE" w:rsidRPr="00AA1EAE">
        <w:rPr>
          <w:i/>
        </w:rPr>
        <w:t>\\corpormabop3\docs\EWRMG\Dept\SHUSA Risk Appetite Statement\2. Reporting\Madrid RAS Reporting</w:t>
      </w:r>
      <w:r w:rsidR="00AA1EAE" w:rsidRPr="00AA1EAE">
        <w:t xml:space="preserve"> </w:t>
      </w:r>
      <w:r w:rsidR="00AA1EAE" w:rsidRPr="00AA1EAE">
        <w:rPr>
          <w:sz w:val="24"/>
        </w:rPr>
        <w:t>under the related quarter due.</w:t>
      </w:r>
    </w:p>
    <w:p w:rsidR="00E6138C" w:rsidRPr="00AA1EAE" w:rsidRDefault="00E6138C" w:rsidP="00AA1EAE">
      <w:pPr>
        <w:pStyle w:val="ListParagraph"/>
        <w:numPr>
          <w:ilvl w:val="0"/>
          <w:numId w:val="8"/>
        </w:numPr>
        <w:rPr>
          <w:sz w:val="24"/>
        </w:rPr>
      </w:pPr>
      <w:r w:rsidRPr="00AA1EAE">
        <w:rPr>
          <w:sz w:val="24"/>
        </w:rPr>
        <w:t>The metrics detailed in section 3.1 are taken by the SHUSA RA team from the SHUSA Monthly RA report</w:t>
      </w:r>
      <w:r w:rsidR="00CE50C7" w:rsidRPr="00AA1EAE">
        <w:rPr>
          <w:sz w:val="24"/>
        </w:rPr>
        <w:t xml:space="preserve"> that can be found in </w:t>
      </w:r>
      <w:r w:rsidR="00AA1EAE" w:rsidRPr="00AA1EAE">
        <w:rPr>
          <w:i/>
        </w:rPr>
        <w:t>\\corpormabop3\docs\EWRMG\Dept\SHUSA Risk Appetite Statement\2. Reporting\RAS monthly reporting</w:t>
      </w:r>
    </w:p>
    <w:p w:rsidR="00E6138C" w:rsidRPr="00AA1EAE" w:rsidRDefault="00E6138C" w:rsidP="00AA1EAE">
      <w:pPr>
        <w:pStyle w:val="ListParagraph"/>
        <w:numPr>
          <w:ilvl w:val="0"/>
          <w:numId w:val="8"/>
        </w:numPr>
        <w:rPr>
          <w:sz w:val="24"/>
        </w:rPr>
      </w:pPr>
      <w:r w:rsidRPr="00AA1EAE">
        <w:rPr>
          <w:sz w:val="24"/>
        </w:rPr>
        <w:t xml:space="preserve">The metrics detailed in section 3.2 are provided to the SHUSA RA team by the SHUSA risk managers, and are due one week before the deadline for report submission to </w:t>
      </w:r>
      <w:r w:rsidRPr="005F6A42">
        <w:rPr>
          <w:sz w:val="24"/>
        </w:rPr>
        <w:t>group</w:t>
      </w:r>
      <w:r w:rsidR="00CE50C7" w:rsidRPr="005F6A42">
        <w:rPr>
          <w:sz w:val="24"/>
        </w:rPr>
        <w:t xml:space="preserve">. The submissions are filed in </w:t>
      </w:r>
      <w:r w:rsidR="00AA1EAE" w:rsidRPr="005F6A42">
        <w:rPr>
          <w:sz w:val="24"/>
        </w:rPr>
        <w:t>folder under the quarter that is being provided to</w:t>
      </w:r>
      <w:r w:rsidR="00AA1EAE" w:rsidRPr="00AA1EAE">
        <w:rPr>
          <w:sz w:val="24"/>
        </w:rPr>
        <w:t xml:space="preserve"> Madrid. </w:t>
      </w:r>
      <w:r w:rsidR="00AA1EAE" w:rsidRPr="00AA1EAE">
        <w:rPr>
          <w:i/>
        </w:rPr>
        <w:t>\\corpormabop3\docs\EWRMG\Dept\SHUSA Risk Appetite Statement\2. Reporting\Madrid RAS Reporting</w:t>
      </w:r>
    </w:p>
    <w:p w:rsidR="00E6138C" w:rsidRPr="00AA1EAE" w:rsidRDefault="00E6138C" w:rsidP="00AA1EAE">
      <w:pPr>
        <w:pStyle w:val="ListParagraph"/>
        <w:numPr>
          <w:ilvl w:val="0"/>
          <w:numId w:val="8"/>
        </w:numPr>
        <w:rPr>
          <w:sz w:val="24"/>
        </w:rPr>
      </w:pPr>
      <w:r w:rsidRPr="00AA1EAE">
        <w:rPr>
          <w:sz w:val="24"/>
        </w:rPr>
        <w:t>The metrics detailed in section 3.3 are calculated by the SHUSA RA team based on the information submitted by other SHUSA functions</w:t>
      </w:r>
      <w:r w:rsidR="00CE50C7" w:rsidRPr="00AA1EAE">
        <w:rPr>
          <w:sz w:val="24"/>
        </w:rPr>
        <w:t xml:space="preserve">. The calculations are filed in </w:t>
      </w:r>
      <w:r w:rsidR="00AA1EAE" w:rsidRPr="00AA1EAE">
        <w:rPr>
          <w:i/>
        </w:rPr>
        <w:t>\\corpormabop3\docs\EWRMG\Dept\SHUSA Risk Appetite Statement\2. Reporting\Madrid RAS Reporting</w:t>
      </w:r>
      <w:r w:rsidR="00E965D6">
        <w:rPr>
          <w:i/>
        </w:rPr>
        <w:t xml:space="preserve"> </w:t>
      </w:r>
      <w:r w:rsidR="00E965D6" w:rsidRPr="00E965D6">
        <w:rPr>
          <w:sz w:val="24"/>
        </w:rPr>
        <w:t>under the</w:t>
      </w:r>
      <w:r w:rsidR="00E965D6">
        <w:rPr>
          <w:sz w:val="24"/>
        </w:rPr>
        <w:t xml:space="preserve"> quarter being sent.</w:t>
      </w:r>
    </w:p>
    <w:p w:rsidR="00AA1EAE" w:rsidRPr="00AA1EAE" w:rsidRDefault="00AA1EAE" w:rsidP="00AA1EAE">
      <w:pPr>
        <w:pStyle w:val="ListParagraph"/>
        <w:rPr>
          <w:sz w:val="24"/>
        </w:rPr>
      </w:pPr>
    </w:p>
    <w:p w:rsidR="00257887" w:rsidRPr="00AA1EAE" w:rsidRDefault="00E6138C" w:rsidP="00AA1EAE">
      <w:pPr>
        <w:pStyle w:val="ListParagraph"/>
        <w:numPr>
          <w:ilvl w:val="0"/>
          <w:numId w:val="9"/>
        </w:numPr>
        <w:rPr>
          <w:i/>
        </w:rPr>
      </w:pPr>
      <w:r w:rsidRPr="00AA1EAE">
        <w:rPr>
          <w:sz w:val="24"/>
        </w:rPr>
        <w:t xml:space="preserve">The SHUSA RA team submits </w:t>
      </w:r>
      <w:r w:rsidRPr="00AA1EAE">
        <w:rPr>
          <w:b/>
          <w:sz w:val="24"/>
          <w:u w:val="single"/>
        </w:rPr>
        <w:t>monthly</w:t>
      </w:r>
      <w:r w:rsidRPr="00AA1EAE">
        <w:rPr>
          <w:sz w:val="24"/>
        </w:rPr>
        <w:t xml:space="preserve"> </w:t>
      </w:r>
      <w:r w:rsidR="00257887" w:rsidRPr="00AA1EAE">
        <w:rPr>
          <w:sz w:val="24"/>
        </w:rPr>
        <w:t xml:space="preserve">and </w:t>
      </w:r>
      <w:r w:rsidR="00257887" w:rsidRPr="00AA1EAE">
        <w:rPr>
          <w:b/>
          <w:sz w:val="24"/>
          <w:u w:val="single"/>
        </w:rPr>
        <w:t>quarterly</w:t>
      </w:r>
      <w:r w:rsidR="00257887" w:rsidRPr="00AA1EAE">
        <w:rPr>
          <w:sz w:val="24"/>
        </w:rPr>
        <w:t xml:space="preserve"> </w:t>
      </w:r>
      <w:r w:rsidRPr="00AA1EAE">
        <w:rPr>
          <w:sz w:val="24"/>
        </w:rPr>
        <w:t>RAS breach monitoring and escalation report</w:t>
      </w:r>
      <w:r w:rsidR="00257887" w:rsidRPr="00AA1EAE">
        <w:rPr>
          <w:sz w:val="24"/>
        </w:rPr>
        <w:t>s</w:t>
      </w:r>
      <w:r w:rsidRPr="00AA1EAE">
        <w:rPr>
          <w:sz w:val="24"/>
        </w:rPr>
        <w:t xml:space="preserve"> to Santander Group as detailed in section 3.</w:t>
      </w:r>
      <w:r w:rsidR="00257887" w:rsidRPr="00AA1EAE">
        <w:rPr>
          <w:sz w:val="24"/>
        </w:rPr>
        <w:t>5</w:t>
      </w:r>
      <w:r w:rsidR="00CE50C7" w:rsidRPr="00AA1EAE">
        <w:rPr>
          <w:sz w:val="24"/>
        </w:rPr>
        <w:t xml:space="preserve">. </w:t>
      </w:r>
      <w:r w:rsidR="00E965D6">
        <w:rPr>
          <w:sz w:val="24"/>
        </w:rPr>
        <w:t>Both</w:t>
      </w:r>
      <w:r w:rsidR="00CE50C7" w:rsidRPr="00AA1EAE">
        <w:rPr>
          <w:sz w:val="24"/>
        </w:rPr>
        <w:t xml:space="preserve"> template</w:t>
      </w:r>
      <w:r w:rsidR="00257887" w:rsidRPr="00AA1EAE">
        <w:rPr>
          <w:sz w:val="24"/>
        </w:rPr>
        <w:t>s</w:t>
      </w:r>
      <w:r w:rsidR="00CE50C7" w:rsidRPr="00AA1EAE">
        <w:rPr>
          <w:sz w:val="24"/>
        </w:rPr>
        <w:t xml:space="preserve"> for the report</w:t>
      </w:r>
      <w:r w:rsidR="00257887" w:rsidRPr="00AA1EAE">
        <w:rPr>
          <w:sz w:val="24"/>
        </w:rPr>
        <w:t xml:space="preserve">s are filed </w:t>
      </w:r>
      <w:r w:rsidR="00CE50C7" w:rsidRPr="00AA1EAE">
        <w:rPr>
          <w:sz w:val="24"/>
        </w:rPr>
        <w:t xml:space="preserve">in </w:t>
      </w:r>
      <w:r w:rsidR="00AA1EAE" w:rsidRPr="00AA1EAE">
        <w:rPr>
          <w:i/>
        </w:rPr>
        <w:t>\\corpormabop3\docs\EWRMG\Dept\SHUSA Risk Appetite Statement\2. Reporting\Madrid RAS Reporting\Escalation reporting.</w:t>
      </w:r>
      <w:r w:rsidR="00AA1EAE" w:rsidRPr="00AA1EAE">
        <w:t xml:space="preserve"> </w:t>
      </w:r>
      <w:r w:rsidR="00257887" w:rsidRPr="00AA1EAE">
        <w:rPr>
          <w:sz w:val="24"/>
        </w:rPr>
        <w:t xml:space="preserve">The final report is filed in </w:t>
      </w:r>
      <w:r w:rsidR="00AA1EAE" w:rsidRPr="00AA1EAE">
        <w:rPr>
          <w:sz w:val="24"/>
        </w:rPr>
        <w:t xml:space="preserve">the same folder </w:t>
      </w:r>
      <w:r w:rsidR="00AA1EAE" w:rsidRPr="00AA1EAE">
        <w:rPr>
          <w:i/>
        </w:rPr>
        <w:t>\\corpormabop3\docs\EWRMG\Dept\SHUSA Risk Appetite Statement\2. Reporting\Madrid RAS Reporting\Escalation reporting</w:t>
      </w:r>
    </w:p>
    <w:p w:rsidR="00E6138C" w:rsidRPr="00AA1EAE" w:rsidRDefault="00E6138C" w:rsidP="00AA1EAE">
      <w:pPr>
        <w:pStyle w:val="ListParagraph"/>
        <w:ind w:left="360"/>
        <w:rPr>
          <w:sz w:val="24"/>
        </w:rPr>
        <w:sectPr w:rsidR="00E6138C" w:rsidRPr="00AA1EAE" w:rsidSect="00FF71F8">
          <w:pgSz w:w="12240" w:h="15840"/>
          <w:pgMar w:top="1440" w:right="1440" w:bottom="1440" w:left="1440" w:header="720" w:footer="720" w:gutter="0"/>
          <w:cols w:space="720"/>
          <w:docGrid w:linePitch="360"/>
        </w:sectPr>
      </w:pPr>
    </w:p>
    <w:p w:rsidR="007D2256" w:rsidRPr="00AA1EAE" w:rsidRDefault="00E965D6" w:rsidP="007D2256">
      <w:pPr>
        <w:pStyle w:val="SANUS1"/>
        <w:numPr>
          <w:ilvl w:val="0"/>
          <w:numId w:val="1"/>
        </w:numPr>
      </w:pPr>
      <w:bookmarkStart w:id="8" w:name="_Toc441070660"/>
      <w:bookmarkEnd w:id="6"/>
      <w:r>
        <w:lastRenderedPageBreak/>
        <w:t xml:space="preserve">All </w:t>
      </w:r>
      <w:r w:rsidR="00895B4C" w:rsidRPr="00AA1EAE">
        <w:t>Metrics reported to Santander Group – Quarterly reporting</w:t>
      </w:r>
      <w:bookmarkEnd w:id="8"/>
    </w:p>
    <w:tbl>
      <w:tblPr>
        <w:tblStyle w:val="TableGrid"/>
        <w:tblW w:w="0" w:type="auto"/>
        <w:tblLook w:val="04A0" w:firstRow="1" w:lastRow="0" w:firstColumn="1" w:lastColumn="0" w:noHBand="0" w:noVBand="1"/>
      </w:tblPr>
      <w:tblGrid>
        <w:gridCol w:w="2689"/>
        <w:gridCol w:w="9443"/>
      </w:tblGrid>
      <w:tr w:rsidR="00665F0F" w:rsidRPr="00AA1EAE" w:rsidTr="00C33EB2">
        <w:trPr>
          <w:trHeight w:val="209"/>
        </w:trPr>
        <w:tc>
          <w:tcPr>
            <w:tcW w:w="2689" w:type="dxa"/>
            <w:shd w:val="clear" w:color="auto" w:fill="FF0000"/>
            <w:hideMark/>
          </w:tcPr>
          <w:p w:rsidR="00665F0F" w:rsidRPr="00AA1EAE" w:rsidRDefault="00665F0F">
            <w:pPr>
              <w:rPr>
                <w:color w:val="FFFFFF" w:themeColor="background1"/>
                <w:sz w:val="20"/>
              </w:rPr>
            </w:pPr>
            <w:r w:rsidRPr="00AA1EAE">
              <w:rPr>
                <w:color w:val="FFFFFF" w:themeColor="background1"/>
                <w:sz w:val="20"/>
              </w:rPr>
              <w:t> </w:t>
            </w:r>
          </w:p>
        </w:tc>
        <w:tc>
          <w:tcPr>
            <w:tcW w:w="9443" w:type="dxa"/>
            <w:shd w:val="clear" w:color="auto" w:fill="FF0000"/>
            <w:hideMark/>
          </w:tcPr>
          <w:p w:rsidR="00665F0F" w:rsidRPr="00AA1EAE" w:rsidRDefault="00665F0F" w:rsidP="00665F0F">
            <w:pPr>
              <w:rPr>
                <w:b/>
                <w:bCs/>
                <w:color w:val="FFFFFF" w:themeColor="background1"/>
                <w:sz w:val="20"/>
              </w:rPr>
            </w:pPr>
            <w:r w:rsidRPr="00AA1EAE">
              <w:rPr>
                <w:b/>
                <w:bCs/>
                <w:color w:val="FFFFFF" w:themeColor="background1"/>
                <w:sz w:val="20"/>
              </w:rPr>
              <w:t>METRICS</w:t>
            </w:r>
          </w:p>
        </w:tc>
      </w:tr>
      <w:tr w:rsidR="00665F0F" w:rsidRPr="00AA1EAE" w:rsidTr="00C33EB2">
        <w:trPr>
          <w:trHeight w:val="209"/>
        </w:trPr>
        <w:tc>
          <w:tcPr>
            <w:tcW w:w="2689" w:type="dxa"/>
            <w:vMerge w:val="restart"/>
            <w:hideMark/>
          </w:tcPr>
          <w:p w:rsidR="00665F0F" w:rsidRPr="00AA1EAE" w:rsidRDefault="00665F0F" w:rsidP="00665F0F">
            <w:pPr>
              <w:rPr>
                <w:b/>
                <w:bCs/>
                <w:sz w:val="20"/>
              </w:rPr>
            </w:pPr>
            <w:r w:rsidRPr="00AA1EAE">
              <w:rPr>
                <w:b/>
                <w:bCs/>
                <w:sz w:val="20"/>
              </w:rPr>
              <w:t>Losses Volatility</w:t>
            </w:r>
          </w:p>
        </w:tc>
        <w:tc>
          <w:tcPr>
            <w:tcW w:w="9443" w:type="dxa"/>
            <w:hideMark/>
          </w:tcPr>
          <w:p w:rsidR="00665F0F" w:rsidRPr="00AA1EAE" w:rsidRDefault="00665F0F">
            <w:pPr>
              <w:rPr>
                <w:sz w:val="20"/>
              </w:rPr>
            </w:pPr>
            <w:r w:rsidRPr="00AA1EAE">
              <w:rPr>
                <w:sz w:val="20"/>
              </w:rPr>
              <w:t>Loss in stress/Profit before taxes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 xml:space="preserve">Gross </w:t>
            </w:r>
            <w:proofErr w:type="spellStart"/>
            <w:r w:rsidRPr="00AA1EAE">
              <w:rPr>
                <w:sz w:val="20"/>
              </w:rPr>
              <w:t>OpRisk</w:t>
            </w:r>
            <w:proofErr w:type="spellEnd"/>
            <w:r w:rsidRPr="00AA1EAE">
              <w:rPr>
                <w:sz w:val="20"/>
              </w:rPr>
              <w:t xml:space="preserve"> Losses/Gross Margin</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Net operational losses/Gross margin</w:t>
            </w:r>
          </w:p>
        </w:tc>
      </w:tr>
      <w:tr w:rsidR="00665F0F" w:rsidRPr="00AA1EAE" w:rsidTr="00C33EB2">
        <w:trPr>
          <w:trHeight w:val="209"/>
        </w:trPr>
        <w:tc>
          <w:tcPr>
            <w:tcW w:w="2689" w:type="dxa"/>
            <w:vMerge w:val="restart"/>
            <w:hideMark/>
          </w:tcPr>
          <w:p w:rsidR="00665F0F" w:rsidRPr="00AA1EAE" w:rsidRDefault="00665F0F" w:rsidP="00665F0F">
            <w:pPr>
              <w:rPr>
                <w:b/>
                <w:bCs/>
                <w:sz w:val="20"/>
              </w:rPr>
            </w:pPr>
            <w:r w:rsidRPr="00AA1EAE">
              <w:rPr>
                <w:b/>
                <w:bCs/>
                <w:sz w:val="20"/>
              </w:rPr>
              <w:t>Solvency</w:t>
            </w:r>
          </w:p>
        </w:tc>
        <w:tc>
          <w:tcPr>
            <w:tcW w:w="9443" w:type="dxa"/>
            <w:hideMark/>
          </w:tcPr>
          <w:p w:rsidR="00665F0F" w:rsidRPr="00AA1EAE" w:rsidRDefault="00665F0F">
            <w:pPr>
              <w:rPr>
                <w:sz w:val="20"/>
              </w:rPr>
            </w:pPr>
            <w:r w:rsidRPr="00AA1EAE">
              <w:rPr>
                <w:sz w:val="20"/>
              </w:rPr>
              <w:t>CET 1 under Base</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CET 1 under Stress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CET 1 current</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Tier 1 leverage Stress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Tier 1 leverage current</w:t>
            </w:r>
          </w:p>
        </w:tc>
      </w:tr>
      <w:tr w:rsidR="00665F0F" w:rsidRPr="00AA1EAE" w:rsidTr="00C33EB2">
        <w:trPr>
          <w:trHeight w:val="209"/>
        </w:trPr>
        <w:tc>
          <w:tcPr>
            <w:tcW w:w="2689" w:type="dxa"/>
            <w:vMerge w:val="restart"/>
            <w:hideMark/>
          </w:tcPr>
          <w:p w:rsidR="00665F0F" w:rsidRPr="00AA1EAE" w:rsidRDefault="00665F0F" w:rsidP="00665F0F">
            <w:pPr>
              <w:rPr>
                <w:b/>
                <w:bCs/>
                <w:sz w:val="20"/>
              </w:rPr>
            </w:pPr>
            <w:r w:rsidRPr="00AA1EAE">
              <w:rPr>
                <w:b/>
                <w:bCs/>
                <w:sz w:val="20"/>
              </w:rPr>
              <w:t>Liquidity</w:t>
            </w:r>
          </w:p>
        </w:tc>
        <w:tc>
          <w:tcPr>
            <w:tcW w:w="9443" w:type="dxa"/>
            <w:hideMark/>
          </w:tcPr>
          <w:p w:rsidR="00665F0F" w:rsidRPr="00AA1EAE" w:rsidRDefault="00665F0F">
            <w:pPr>
              <w:rPr>
                <w:sz w:val="20"/>
              </w:rPr>
            </w:pPr>
            <w:r w:rsidRPr="00AA1EAE">
              <w:rPr>
                <w:sz w:val="20"/>
              </w:rPr>
              <w:t>Trading Portfolio</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CVA</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Structural Funding Ratio</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SCUSA - Available committed liquidity/average projected net originations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Stressed Survival Period: Local Systemic</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Stressed Survival Period: Idiosyncratic</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Stressed Survival Period: Systemic Global</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Survival Horizon under Stress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Liquidity Coverage Ratio</w:t>
            </w:r>
          </w:p>
        </w:tc>
      </w:tr>
      <w:tr w:rsidR="00366D76" w:rsidRPr="00AA1EAE" w:rsidTr="00C33EB2">
        <w:trPr>
          <w:trHeight w:val="209"/>
        </w:trPr>
        <w:tc>
          <w:tcPr>
            <w:tcW w:w="2689" w:type="dxa"/>
            <w:vMerge w:val="restart"/>
            <w:hideMark/>
          </w:tcPr>
          <w:p w:rsidR="00366D76" w:rsidRPr="00AA1EAE" w:rsidRDefault="00366D76" w:rsidP="00665F0F">
            <w:pPr>
              <w:rPr>
                <w:b/>
                <w:bCs/>
                <w:sz w:val="20"/>
              </w:rPr>
            </w:pPr>
            <w:r w:rsidRPr="00AA1EAE">
              <w:rPr>
                <w:b/>
                <w:bCs/>
                <w:sz w:val="20"/>
              </w:rPr>
              <w:t>Concentration</w:t>
            </w:r>
          </w:p>
        </w:tc>
        <w:tc>
          <w:tcPr>
            <w:tcW w:w="9443" w:type="dxa"/>
            <w:hideMark/>
          </w:tcPr>
          <w:p w:rsidR="00366D76" w:rsidRPr="00AA1EAE" w:rsidRDefault="00366D76">
            <w:pPr>
              <w:rPr>
                <w:sz w:val="20"/>
              </w:rPr>
            </w:pPr>
            <w:r w:rsidRPr="00AA1EAE">
              <w:rPr>
                <w:sz w:val="20"/>
              </w:rPr>
              <w:t>GBM concentration</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Single Name</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Top 5</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Top 20</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Maximum Individual exposure with clients with rating &lt; 5.0</w:t>
            </w:r>
          </w:p>
        </w:tc>
      </w:tr>
      <w:tr w:rsidR="00366D76" w:rsidRPr="00AA1EAE" w:rsidTr="00C33EB2">
        <w:trPr>
          <w:trHeight w:val="198"/>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Max. industry concentration over: Total Portfolio (exc. CRE &amp; Multifamily)</w:t>
            </w:r>
          </w:p>
        </w:tc>
      </w:tr>
      <w:tr w:rsidR="00366D76" w:rsidRPr="00AA1EAE" w:rsidTr="00C33EB2">
        <w:trPr>
          <w:trHeight w:val="198"/>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Max. industry concentration over: Total Portfolio excl. retail (exc. CRE &amp; Multifamily)</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CRE ($10.5 B)</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Multifamily ($10.5 B)</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SCUSA sub-prime assets over SHUSA Net Credit Exposure</w:t>
            </w:r>
          </w:p>
        </w:tc>
      </w:tr>
      <w:tr w:rsidR="00366D76" w:rsidRPr="00AA1EAE" w:rsidTr="00C33EB2">
        <w:trPr>
          <w:trHeight w:val="209"/>
        </w:trPr>
        <w:tc>
          <w:tcPr>
            <w:tcW w:w="2689" w:type="dxa"/>
            <w:vMerge/>
            <w:hideMark/>
          </w:tcPr>
          <w:p w:rsidR="00366D76" w:rsidRPr="00AA1EAE" w:rsidRDefault="00366D76">
            <w:pPr>
              <w:rPr>
                <w:b/>
                <w:bCs/>
                <w:sz w:val="20"/>
              </w:rPr>
            </w:pPr>
          </w:p>
        </w:tc>
        <w:tc>
          <w:tcPr>
            <w:tcW w:w="9443" w:type="dxa"/>
            <w:hideMark/>
          </w:tcPr>
          <w:p w:rsidR="00366D76" w:rsidRPr="00AA1EAE" w:rsidRDefault="00366D76">
            <w:pPr>
              <w:rPr>
                <w:sz w:val="20"/>
              </w:rPr>
            </w:pPr>
            <w:r w:rsidRPr="00AA1EAE">
              <w:rPr>
                <w:sz w:val="20"/>
              </w:rPr>
              <w:t>SCUSA RWAs/CET1 - 11% of CET1</w:t>
            </w:r>
          </w:p>
        </w:tc>
      </w:tr>
      <w:tr w:rsidR="00665F0F" w:rsidRPr="00AA1EAE" w:rsidTr="00C33EB2">
        <w:trPr>
          <w:trHeight w:val="209"/>
        </w:trPr>
        <w:tc>
          <w:tcPr>
            <w:tcW w:w="2689" w:type="dxa"/>
            <w:vMerge w:val="restart"/>
            <w:hideMark/>
          </w:tcPr>
          <w:p w:rsidR="00665F0F" w:rsidRPr="00AA1EAE" w:rsidRDefault="00665F0F" w:rsidP="00665F0F">
            <w:pPr>
              <w:rPr>
                <w:b/>
                <w:bCs/>
                <w:sz w:val="20"/>
              </w:rPr>
            </w:pPr>
            <w:r w:rsidRPr="00AA1EAE">
              <w:rPr>
                <w:b/>
                <w:bCs/>
                <w:sz w:val="20"/>
              </w:rPr>
              <w:t>Qualitative Elements</w:t>
            </w:r>
          </w:p>
        </w:tc>
        <w:tc>
          <w:tcPr>
            <w:tcW w:w="9443" w:type="dxa"/>
            <w:hideMark/>
          </w:tcPr>
          <w:p w:rsidR="00665F0F" w:rsidRPr="00AA1EAE" w:rsidRDefault="00665F0F">
            <w:pPr>
              <w:rPr>
                <w:sz w:val="20"/>
              </w:rPr>
            </w:pPr>
            <w:r w:rsidRPr="00AA1EAE">
              <w:rPr>
                <w:sz w:val="20"/>
              </w:rPr>
              <w:t>SHUSA - Frequency of material Operational events &gt;$200k in potential losses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SBNA - Frequency of material Operational events &gt;$200k in potential losses</w:t>
            </w:r>
          </w:p>
        </w:tc>
      </w:tr>
      <w:tr w:rsidR="00665F0F" w:rsidRPr="00AA1EAE" w:rsidTr="00C33EB2">
        <w:trPr>
          <w:trHeight w:val="209"/>
        </w:trPr>
        <w:tc>
          <w:tcPr>
            <w:tcW w:w="2689" w:type="dxa"/>
            <w:vMerge/>
            <w:hideMark/>
          </w:tcPr>
          <w:p w:rsidR="00665F0F" w:rsidRPr="00AA1EAE" w:rsidRDefault="00665F0F">
            <w:pPr>
              <w:rPr>
                <w:b/>
                <w:bCs/>
                <w:sz w:val="20"/>
              </w:rPr>
            </w:pPr>
          </w:p>
        </w:tc>
        <w:tc>
          <w:tcPr>
            <w:tcW w:w="9443" w:type="dxa"/>
            <w:hideMark/>
          </w:tcPr>
          <w:p w:rsidR="00665F0F" w:rsidRPr="00AA1EAE" w:rsidRDefault="00665F0F">
            <w:pPr>
              <w:rPr>
                <w:sz w:val="20"/>
              </w:rPr>
            </w:pPr>
            <w:r w:rsidRPr="00AA1EAE">
              <w:rPr>
                <w:sz w:val="20"/>
              </w:rPr>
              <w:t>SCUSA - Frequency of material Operational events &gt;$200k in potential losses</w:t>
            </w:r>
          </w:p>
        </w:tc>
      </w:tr>
    </w:tbl>
    <w:p w:rsidR="00FF71F8" w:rsidRPr="00AA1EAE" w:rsidRDefault="00FF71F8">
      <w:pPr>
        <w:rPr>
          <w:rFonts w:asciiTheme="minorHAnsi" w:hAnsiTheme="minorHAnsi"/>
          <w:szCs w:val="24"/>
        </w:rPr>
        <w:sectPr w:rsidR="00FF71F8" w:rsidRPr="00AA1EAE" w:rsidSect="00801FE0">
          <w:pgSz w:w="15840" w:h="12240" w:orient="landscape"/>
          <w:pgMar w:top="1440" w:right="1440" w:bottom="1440" w:left="1440" w:header="720" w:footer="720" w:gutter="0"/>
          <w:cols w:space="720"/>
          <w:docGrid w:linePitch="360"/>
        </w:sectPr>
      </w:pPr>
    </w:p>
    <w:p w:rsidR="00E6138C" w:rsidRPr="00AA1EAE" w:rsidRDefault="00FF71F8" w:rsidP="00BE3B39">
      <w:pPr>
        <w:pStyle w:val="SANUS2"/>
        <w:numPr>
          <w:ilvl w:val="1"/>
          <w:numId w:val="1"/>
        </w:numPr>
      </w:pPr>
      <w:bookmarkStart w:id="9" w:name="_Toc441070504"/>
      <w:bookmarkStart w:id="10" w:name="_Toc441070540"/>
      <w:bookmarkStart w:id="11" w:name="_Toc441070632"/>
      <w:bookmarkStart w:id="12" w:name="_Toc441070661"/>
      <w:bookmarkStart w:id="13" w:name="_Toc441070505"/>
      <w:bookmarkStart w:id="14" w:name="_Toc441070541"/>
      <w:bookmarkStart w:id="15" w:name="_Toc441070633"/>
      <w:bookmarkStart w:id="16" w:name="_Toc441070662"/>
      <w:bookmarkStart w:id="17" w:name="_Toc441070506"/>
      <w:bookmarkStart w:id="18" w:name="_Toc441070542"/>
      <w:bookmarkStart w:id="19" w:name="_Toc441070634"/>
      <w:bookmarkStart w:id="20" w:name="_Toc441070663"/>
      <w:bookmarkStart w:id="21" w:name="_Toc441070507"/>
      <w:bookmarkStart w:id="22" w:name="_Toc441070543"/>
      <w:bookmarkStart w:id="23" w:name="_Toc441070635"/>
      <w:bookmarkStart w:id="24" w:name="_Toc441070664"/>
      <w:bookmarkStart w:id="25" w:name="_Toc441070508"/>
      <w:bookmarkStart w:id="26" w:name="_Toc441070544"/>
      <w:bookmarkStart w:id="27" w:name="_Toc441070636"/>
      <w:bookmarkStart w:id="28" w:name="_Toc441070665"/>
      <w:bookmarkStart w:id="29" w:name="_Toc441070511"/>
      <w:bookmarkStart w:id="30" w:name="_Toc441070547"/>
      <w:bookmarkStart w:id="31" w:name="_Toc441070639"/>
      <w:bookmarkStart w:id="32" w:name="_Toc441070668"/>
      <w:bookmarkStart w:id="33" w:name="_Toc441070512"/>
      <w:bookmarkStart w:id="34" w:name="_Toc441070548"/>
      <w:bookmarkStart w:id="35" w:name="_Toc441070640"/>
      <w:bookmarkStart w:id="36" w:name="_Toc441070669"/>
      <w:bookmarkStart w:id="37" w:name="_Toc441070513"/>
      <w:bookmarkStart w:id="38" w:name="_Toc441070549"/>
      <w:bookmarkStart w:id="39" w:name="_Toc441070641"/>
      <w:bookmarkStart w:id="40" w:name="_Toc441070670"/>
      <w:bookmarkStart w:id="41" w:name="_Toc441070515"/>
      <w:bookmarkStart w:id="42" w:name="_Toc441070551"/>
      <w:bookmarkStart w:id="43" w:name="_Toc441070643"/>
      <w:bookmarkStart w:id="44" w:name="_Toc441070672"/>
      <w:bookmarkStart w:id="45" w:name="_Toc441070673"/>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AA1EAE">
        <w:lastRenderedPageBreak/>
        <w:t>C</w:t>
      </w:r>
      <w:r w:rsidR="00191830" w:rsidRPr="00AA1EAE">
        <w:t>ollection of</w:t>
      </w:r>
      <w:r w:rsidR="00786DF2" w:rsidRPr="00AA1EAE">
        <w:t xml:space="preserve"> SHUSA monthly report</w:t>
      </w:r>
      <w:r w:rsidR="00191830" w:rsidRPr="00AA1EAE">
        <w:t xml:space="preserve"> data</w:t>
      </w:r>
      <w:bookmarkEnd w:id="45"/>
      <w:r w:rsidR="00191830" w:rsidRPr="00AA1EAE">
        <w:t xml:space="preserve"> </w:t>
      </w:r>
    </w:p>
    <w:p w:rsidR="00E6138C" w:rsidRPr="00AA1EAE" w:rsidRDefault="00E6138C" w:rsidP="00E6138C">
      <w:pPr>
        <w:pStyle w:val="SANUS2"/>
        <w:rPr>
          <w:rFonts w:eastAsia="Times New Roman"/>
          <w:b w:val="0"/>
          <w:bCs w:val="0"/>
          <w:lang w:bidi="ar-SA"/>
        </w:rPr>
      </w:pPr>
      <w:bookmarkStart w:id="46" w:name="_Toc441070674"/>
      <w:r w:rsidRPr="00AA1EAE">
        <w:rPr>
          <w:rFonts w:eastAsia="Times New Roman"/>
          <w:b w:val="0"/>
          <w:bCs w:val="0"/>
          <w:lang w:bidi="ar-SA"/>
        </w:rPr>
        <w:t>These metrics and their values are found in the SHUSA monthly RAS report and are included unchanged into the Group template.</w:t>
      </w:r>
      <w:bookmarkEnd w:id="46"/>
      <w:r w:rsidR="00E965D6">
        <w:rPr>
          <w:rFonts w:eastAsia="Times New Roman"/>
          <w:b w:val="0"/>
          <w:bCs w:val="0"/>
          <w:lang w:bidi="ar-SA"/>
        </w:rPr>
        <w:t xml:space="preserve"> </w:t>
      </w:r>
    </w:p>
    <w:p w:rsidR="0001382C" w:rsidRPr="00AA1EAE" w:rsidRDefault="0001382C" w:rsidP="00595D48">
      <w:pPr>
        <w:pStyle w:val="SANUS2"/>
        <w:rPr>
          <w:rFonts w:eastAsia="Times New Roman"/>
          <w:b w:val="0"/>
          <w:bCs w:val="0"/>
          <w:lang w:bidi="ar-SA"/>
        </w:rPr>
      </w:pPr>
    </w:p>
    <w:tbl>
      <w:tblPr>
        <w:tblStyle w:val="TableGrid"/>
        <w:tblpPr w:leftFromText="180" w:rightFromText="180" w:vertAnchor="page" w:horzAnchor="margin" w:tblpY="3205"/>
        <w:tblW w:w="9378" w:type="dxa"/>
        <w:tblLook w:val="04A0" w:firstRow="1" w:lastRow="0" w:firstColumn="1" w:lastColumn="0" w:noHBand="0" w:noVBand="1"/>
      </w:tblPr>
      <w:tblGrid>
        <w:gridCol w:w="1548"/>
        <w:gridCol w:w="7830"/>
      </w:tblGrid>
      <w:tr w:rsidR="00BE3B39" w:rsidRPr="00AA1EAE" w:rsidTr="00BE3B39">
        <w:trPr>
          <w:trHeight w:val="201"/>
        </w:trPr>
        <w:tc>
          <w:tcPr>
            <w:tcW w:w="9378" w:type="dxa"/>
            <w:gridSpan w:val="2"/>
            <w:shd w:val="clear" w:color="auto" w:fill="FF0000"/>
          </w:tcPr>
          <w:p w:rsidR="00BE3B39" w:rsidRPr="00AA1EAE" w:rsidRDefault="00BE3B39" w:rsidP="00BE3B39">
            <w:pPr>
              <w:jc w:val="center"/>
              <w:rPr>
                <w:rFonts w:asciiTheme="minorHAnsi" w:hAnsiTheme="minorHAnsi"/>
                <w:b/>
                <w:sz w:val="18"/>
              </w:rPr>
            </w:pPr>
            <w:r w:rsidRPr="00AA1EAE">
              <w:rPr>
                <w:rFonts w:asciiTheme="minorHAnsi" w:hAnsiTheme="minorHAnsi"/>
                <w:b/>
                <w:color w:val="FFFFFF" w:themeColor="background1"/>
              </w:rPr>
              <w:t>RISK APPETITE MONTHLY METRICS</w:t>
            </w:r>
          </w:p>
        </w:tc>
      </w:tr>
      <w:tr w:rsidR="00BE3B39" w:rsidRPr="00AA1EAE" w:rsidTr="00BE3B39">
        <w:trPr>
          <w:trHeight w:val="201"/>
        </w:trPr>
        <w:tc>
          <w:tcPr>
            <w:tcW w:w="1548" w:type="dxa"/>
            <w:vMerge w:val="restart"/>
            <w:vAlign w:val="center"/>
          </w:tcPr>
          <w:p w:rsidR="00BE3B39" w:rsidRPr="00AA1EAE" w:rsidRDefault="00BE3B39" w:rsidP="00BE3B39">
            <w:pPr>
              <w:jc w:val="center"/>
              <w:rPr>
                <w:rFonts w:asciiTheme="minorHAnsi" w:hAnsiTheme="minorHAnsi"/>
                <w:b/>
                <w:bCs/>
                <w:color w:val="000000"/>
              </w:rPr>
            </w:pPr>
            <w:r w:rsidRPr="00AA1EAE">
              <w:rPr>
                <w:rFonts w:asciiTheme="minorHAnsi" w:hAnsiTheme="minorHAnsi"/>
                <w:b/>
                <w:bCs/>
                <w:color w:val="000000"/>
              </w:rPr>
              <w:t>Losses Volatility</w:t>
            </w: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Loss in stress/Profit before taxes</w:t>
            </w:r>
          </w:p>
        </w:tc>
      </w:tr>
      <w:tr w:rsidR="00BE3B39" w:rsidRPr="00AA1EAE" w:rsidTr="00BE3B39">
        <w:trPr>
          <w:trHeight w:val="109"/>
        </w:trPr>
        <w:tc>
          <w:tcPr>
            <w:tcW w:w="1548" w:type="dxa"/>
            <w:vMerge/>
            <w:vAlign w:val="center"/>
          </w:tcPr>
          <w:p w:rsidR="00BE3B39" w:rsidRPr="00AA1EAE" w:rsidRDefault="00BE3B39" w:rsidP="00BE3B39">
            <w:pPr>
              <w:rPr>
                <w:rFonts w:asciiTheme="minorHAnsi" w:hAnsiTheme="minorHAnsi"/>
                <w:b/>
                <w:bCs/>
                <w:color w:val="000000"/>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Gross Operational Risk Losses/Gross Margin</w:t>
            </w:r>
          </w:p>
        </w:tc>
      </w:tr>
      <w:tr w:rsidR="00BE3B39" w:rsidRPr="00AA1EAE" w:rsidTr="00BE3B39">
        <w:trPr>
          <w:trHeight w:val="109"/>
        </w:trPr>
        <w:tc>
          <w:tcPr>
            <w:tcW w:w="1548" w:type="dxa"/>
            <w:vMerge w:val="restart"/>
            <w:vAlign w:val="center"/>
          </w:tcPr>
          <w:p w:rsidR="00BE3B39" w:rsidRPr="00AA1EAE" w:rsidRDefault="00BE3B39" w:rsidP="00BE3B39">
            <w:pPr>
              <w:jc w:val="center"/>
              <w:rPr>
                <w:rFonts w:asciiTheme="minorHAnsi" w:hAnsiTheme="minorHAnsi"/>
                <w:b/>
                <w:bCs/>
                <w:color w:val="000000"/>
              </w:rPr>
            </w:pPr>
            <w:r w:rsidRPr="00AA1EAE">
              <w:rPr>
                <w:rFonts w:asciiTheme="minorHAnsi" w:hAnsiTheme="minorHAnsi"/>
                <w:b/>
                <w:bCs/>
                <w:color w:val="000000"/>
              </w:rPr>
              <w:t>Solvency</w:t>
            </w: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CET 1 under Base</w:t>
            </w:r>
          </w:p>
        </w:tc>
      </w:tr>
      <w:tr w:rsidR="00BE3B39" w:rsidRPr="00AA1EAE" w:rsidTr="00BE3B39">
        <w:trPr>
          <w:trHeight w:val="201"/>
        </w:trPr>
        <w:tc>
          <w:tcPr>
            <w:tcW w:w="1548" w:type="dxa"/>
            <w:vMerge/>
            <w:vAlign w:val="center"/>
          </w:tcPr>
          <w:p w:rsidR="00BE3B39" w:rsidRPr="00AA1EAE" w:rsidRDefault="00BE3B39" w:rsidP="00BE3B39">
            <w:pPr>
              <w:jc w:val="cente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CET 1 under Stress</w:t>
            </w:r>
          </w:p>
        </w:tc>
      </w:tr>
      <w:tr w:rsidR="00BE3B39" w:rsidRPr="00AA1EAE" w:rsidTr="00BE3B39">
        <w:trPr>
          <w:trHeight w:val="109"/>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CET 1 current</w:t>
            </w:r>
          </w:p>
        </w:tc>
      </w:tr>
      <w:tr w:rsidR="00BE3B39" w:rsidRPr="00AA1EAE" w:rsidTr="00BE3B39">
        <w:trPr>
          <w:trHeight w:val="109"/>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Tier 1 leverage Stress</w:t>
            </w:r>
          </w:p>
        </w:tc>
      </w:tr>
      <w:tr w:rsidR="00BE3B39" w:rsidRPr="00AA1EAE" w:rsidTr="00BE3B39">
        <w:trPr>
          <w:trHeight w:val="109"/>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Tier 1 leverage current</w:t>
            </w:r>
          </w:p>
        </w:tc>
      </w:tr>
      <w:tr w:rsidR="00BE3B39" w:rsidRPr="00AA1EAE" w:rsidTr="00BE3B39">
        <w:trPr>
          <w:trHeight w:val="189"/>
        </w:trPr>
        <w:tc>
          <w:tcPr>
            <w:tcW w:w="1548" w:type="dxa"/>
            <w:vMerge w:val="restart"/>
            <w:vAlign w:val="center"/>
          </w:tcPr>
          <w:p w:rsidR="00BE3B39" w:rsidRPr="00AA1EAE" w:rsidRDefault="00BE3B39" w:rsidP="00BE3B39">
            <w:pPr>
              <w:jc w:val="center"/>
              <w:rPr>
                <w:rFonts w:asciiTheme="minorHAnsi" w:hAnsiTheme="minorHAnsi"/>
                <w:b/>
              </w:rPr>
            </w:pPr>
            <w:r w:rsidRPr="00AA1EAE">
              <w:rPr>
                <w:rFonts w:asciiTheme="minorHAnsi" w:hAnsiTheme="minorHAnsi"/>
                <w:b/>
              </w:rPr>
              <w:t>Liquidity</w:t>
            </w: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Structural Funding Ratio</w:t>
            </w:r>
          </w:p>
        </w:tc>
      </w:tr>
      <w:tr w:rsidR="00BE3B39" w:rsidRPr="00AA1EAE" w:rsidTr="00BE3B39">
        <w:trPr>
          <w:trHeight w:val="109"/>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SC - Available committed liquidity/av</w:t>
            </w:r>
            <w:r w:rsidR="00E965D6">
              <w:rPr>
                <w:rFonts w:asciiTheme="minorHAnsi" w:hAnsiTheme="minorHAnsi"/>
                <w:color w:val="000000"/>
              </w:rPr>
              <w:t>e</w:t>
            </w:r>
            <w:r w:rsidRPr="00AA1EAE">
              <w:rPr>
                <w:rFonts w:asciiTheme="minorHAnsi" w:hAnsiTheme="minorHAnsi"/>
                <w:color w:val="000000"/>
              </w:rPr>
              <w:t>r</w:t>
            </w:r>
            <w:r w:rsidR="00E965D6">
              <w:rPr>
                <w:rFonts w:asciiTheme="minorHAnsi" w:hAnsiTheme="minorHAnsi"/>
                <w:color w:val="000000"/>
              </w:rPr>
              <w:t>a</w:t>
            </w:r>
            <w:r w:rsidRPr="00AA1EAE">
              <w:rPr>
                <w:rFonts w:asciiTheme="minorHAnsi" w:hAnsiTheme="minorHAnsi"/>
                <w:color w:val="000000"/>
              </w:rPr>
              <w:t>ge projected net originations</w:t>
            </w:r>
          </w:p>
        </w:tc>
      </w:tr>
      <w:tr w:rsidR="00BE3B39" w:rsidRPr="00AA1EAE" w:rsidTr="00BE3B39">
        <w:trPr>
          <w:trHeight w:val="109"/>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Survival Horizon under Stress</w:t>
            </w:r>
          </w:p>
        </w:tc>
      </w:tr>
      <w:tr w:rsidR="00BE3B39" w:rsidRPr="00AA1EAE" w:rsidTr="00BE3B39">
        <w:trPr>
          <w:trHeight w:val="254"/>
        </w:trPr>
        <w:tc>
          <w:tcPr>
            <w:tcW w:w="1548" w:type="dxa"/>
            <w:vMerge/>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Liquidity Coverage Ratio</w:t>
            </w:r>
          </w:p>
        </w:tc>
      </w:tr>
      <w:tr w:rsidR="00BE3B39" w:rsidRPr="00AA1EAE" w:rsidTr="00BE3B39">
        <w:trPr>
          <w:trHeight w:val="242"/>
        </w:trPr>
        <w:tc>
          <w:tcPr>
            <w:tcW w:w="1548" w:type="dxa"/>
            <w:vMerge w:val="restart"/>
            <w:vAlign w:val="center"/>
          </w:tcPr>
          <w:p w:rsidR="00BE3B39" w:rsidRPr="00AA1EAE" w:rsidRDefault="00BE3B39" w:rsidP="00BE3B39">
            <w:pPr>
              <w:jc w:val="center"/>
              <w:rPr>
                <w:rFonts w:asciiTheme="minorHAnsi" w:hAnsiTheme="minorHAnsi"/>
                <w:b/>
              </w:rPr>
            </w:pPr>
            <w:r w:rsidRPr="00AA1EAE">
              <w:rPr>
                <w:rFonts w:asciiTheme="minorHAnsi" w:hAnsiTheme="minorHAnsi"/>
                <w:b/>
              </w:rPr>
              <w:t>Concentration</w:t>
            </w: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Max individual exposure with clients with rating &lt;5.0</w:t>
            </w:r>
          </w:p>
        </w:tc>
      </w:tr>
      <w:tr w:rsidR="00BE3B39" w:rsidRPr="00AA1EAE" w:rsidTr="00BE3B39">
        <w:trPr>
          <w:trHeight w:val="109"/>
        </w:trPr>
        <w:tc>
          <w:tcPr>
            <w:tcW w:w="1548" w:type="dxa"/>
            <w:vMerge/>
            <w:vAlign w:val="center"/>
          </w:tcPr>
          <w:p w:rsidR="00BE3B39" w:rsidRPr="00AA1EAE" w:rsidRDefault="00BE3B39" w:rsidP="00BE3B39">
            <w:pPr>
              <w:jc w:val="center"/>
              <w:rPr>
                <w:rFonts w:asciiTheme="minorHAnsi" w:hAnsiTheme="minorHAnsi"/>
                <w:b/>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SC sub-prime assets over SHUSA Net Credit Exposure</w:t>
            </w:r>
          </w:p>
        </w:tc>
      </w:tr>
      <w:tr w:rsidR="00BE3B39" w:rsidRPr="00AA1EAE" w:rsidTr="00BE3B39">
        <w:trPr>
          <w:trHeight w:val="109"/>
        </w:trPr>
        <w:tc>
          <w:tcPr>
            <w:tcW w:w="1548" w:type="dxa"/>
            <w:vMerge/>
            <w:vAlign w:val="center"/>
          </w:tcPr>
          <w:p w:rsidR="00BE3B39" w:rsidRPr="00AA1EAE" w:rsidRDefault="00BE3B39" w:rsidP="00BE3B39">
            <w:pPr>
              <w:rPr>
                <w:rFonts w:asciiTheme="minorHAnsi" w:hAnsiTheme="minorHAnsi"/>
              </w:rPr>
            </w:pPr>
          </w:p>
        </w:tc>
        <w:tc>
          <w:tcPr>
            <w:tcW w:w="783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SC RWAs/CET1 - 11% of CET1</w:t>
            </w:r>
          </w:p>
        </w:tc>
      </w:tr>
      <w:tr w:rsidR="00BE3B39" w:rsidRPr="00AA1EAE" w:rsidTr="00E965D6">
        <w:trPr>
          <w:trHeight w:val="391"/>
        </w:trPr>
        <w:tc>
          <w:tcPr>
            <w:tcW w:w="1548" w:type="dxa"/>
            <w:vAlign w:val="center"/>
          </w:tcPr>
          <w:p w:rsidR="00BE3B39" w:rsidRPr="00AA1EAE" w:rsidRDefault="00BE3B39" w:rsidP="00BE3B39">
            <w:pPr>
              <w:jc w:val="center"/>
              <w:rPr>
                <w:rFonts w:asciiTheme="minorHAnsi" w:hAnsiTheme="minorHAnsi"/>
                <w:b/>
              </w:rPr>
            </w:pPr>
            <w:r w:rsidRPr="00AA1EAE">
              <w:rPr>
                <w:rFonts w:asciiTheme="minorHAnsi" w:hAnsiTheme="minorHAnsi"/>
                <w:b/>
              </w:rPr>
              <w:t>Qualitative Elements</w:t>
            </w:r>
          </w:p>
        </w:tc>
        <w:tc>
          <w:tcPr>
            <w:tcW w:w="7830" w:type="dxa"/>
            <w:vAlign w:val="center"/>
          </w:tcPr>
          <w:p w:rsidR="00BE3B39" w:rsidRPr="00AA1EAE" w:rsidRDefault="00BE3B39" w:rsidP="00E965D6">
            <w:pPr>
              <w:rPr>
                <w:rFonts w:asciiTheme="minorHAnsi" w:hAnsiTheme="minorHAnsi"/>
                <w:color w:val="000000"/>
              </w:rPr>
            </w:pPr>
            <w:r w:rsidRPr="00AA1EAE">
              <w:rPr>
                <w:rFonts w:asciiTheme="minorHAnsi" w:hAnsiTheme="minorHAnsi"/>
                <w:color w:val="000000"/>
              </w:rPr>
              <w:t>SHUSA - Frequency of material Operational events &gt;$200k in potential losses</w:t>
            </w:r>
          </w:p>
        </w:tc>
      </w:tr>
    </w:tbl>
    <w:tbl>
      <w:tblPr>
        <w:tblStyle w:val="TableGrid"/>
        <w:tblpPr w:leftFromText="180" w:rightFromText="180" w:vertAnchor="text" w:horzAnchor="margin" w:tblpY="1416"/>
        <w:tblW w:w="0" w:type="auto"/>
        <w:tblLook w:val="04A0" w:firstRow="1" w:lastRow="0" w:firstColumn="1" w:lastColumn="0" w:noHBand="0" w:noVBand="1"/>
      </w:tblPr>
      <w:tblGrid>
        <w:gridCol w:w="1548"/>
        <w:gridCol w:w="3780"/>
        <w:gridCol w:w="4248"/>
      </w:tblGrid>
      <w:tr w:rsidR="00BE3B39" w:rsidRPr="00AA1EAE" w:rsidTr="00BE3B39">
        <w:tc>
          <w:tcPr>
            <w:tcW w:w="5328" w:type="dxa"/>
            <w:gridSpan w:val="2"/>
            <w:shd w:val="clear" w:color="auto" w:fill="FF0000"/>
          </w:tcPr>
          <w:p w:rsidR="00BE3B39" w:rsidRPr="00AA1EAE" w:rsidRDefault="00BE3B39" w:rsidP="000C6B03">
            <w:pPr>
              <w:jc w:val="center"/>
              <w:rPr>
                <w:rFonts w:asciiTheme="minorHAnsi" w:hAnsiTheme="minorHAnsi"/>
                <w:b/>
                <w:szCs w:val="24"/>
              </w:rPr>
            </w:pPr>
            <w:r w:rsidRPr="00AA1EAE">
              <w:rPr>
                <w:rFonts w:asciiTheme="minorHAnsi" w:hAnsiTheme="minorHAnsi"/>
                <w:b/>
                <w:color w:val="FFFFFF" w:themeColor="background1"/>
                <w:szCs w:val="24"/>
              </w:rPr>
              <w:t>METRIC COMPLETED BY RISK TEAM</w:t>
            </w:r>
          </w:p>
        </w:tc>
        <w:tc>
          <w:tcPr>
            <w:tcW w:w="4248" w:type="dxa"/>
            <w:shd w:val="clear" w:color="auto" w:fill="FF0000"/>
          </w:tcPr>
          <w:p w:rsidR="00BE3B39" w:rsidRPr="00AA1EAE" w:rsidRDefault="00BE3B39" w:rsidP="00BE3B39">
            <w:pPr>
              <w:jc w:val="center"/>
              <w:rPr>
                <w:rFonts w:asciiTheme="minorHAnsi" w:hAnsiTheme="minorHAnsi"/>
                <w:b/>
                <w:color w:val="FFFFFF" w:themeColor="background1"/>
                <w:szCs w:val="24"/>
              </w:rPr>
            </w:pPr>
            <w:r w:rsidRPr="00AA1EAE">
              <w:rPr>
                <w:rFonts w:asciiTheme="minorHAnsi" w:hAnsiTheme="minorHAnsi"/>
                <w:b/>
                <w:color w:val="FFFFFF" w:themeColor="background1"/>
                <w:szCs w:val="24"/>
              </w:rPr>
              <w:t>COLLECTION</w:t>
            </w:r>
          </w:p>
        </w:tc>
      </w:tr>
      <w:tr w:rsidR="00BE3B39" w:rsidRPr="00AA1EAE" w:rsidTr="00BE3B39">
        <w:tc>
          <w:tcPr>
            <w:tcW w:w="1548" w:type="dxa"/>
            <w:vAlign w:val="center"/>
          </w:tcPr>
          <w:p w:rsidR="00BE3B39" w:rsidRPr="00AA1EAE" w:rsidRDefault="00BE3B39" w:rsidP="00BE3B39">
            <w:pPr>
              <w:jc w:val="center"/>
              <w:rPr>
                <w:rFonts w:asciiTheme="minorHAnsi" w:hAnsiTheme="minorHAnsi"/>
                <w:b/>
                <w:bCs/>
                <w:color w:val="000000"/>
                <w:szCs w:val="24"/>
              </w:rPr>
            </w:pPr>
            <w:r w:rsidRPr="00AA1EAE">
              <w:rPr>
                <w:rFonts w:asciiTheme="minorHAnsi" w:hAnsiTheme="minorHAnsi"/>
                <w:b/>
                <w:bCs/>
                <w:color w:val="000000"/>
                <w:szCs w:val="24"/>
              </w:rPr>
              <w:t>Losses Volatility</w:t>
            </w:r>
          </w:p>
        </w:tc>
        <w:tc>
          <w:tcPr>
            <w:tcW w:w="3780" w:type="dxa"/>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Net operational losses/Gross margin</w:t>
            </w:r>
          </w:p>
        </w:tc>
        <w:tc>
          <w:tcPr>
            <w:tcW w:w="4248" w:type="dxa"/>
            <w:vAlign w:val="bottom"/>
          </w:tcPr>
          <w:p w:rsidR="00BE3B39" w:rsidRPr="00AA1EAE" w:rsidRDefault="00BE3B39" w:rsidP="00BE3B39">
            <w:r w:rsidRPr="00AA1EAE">
              <w:t>Provided by Katie Eckhoff.</w:t>
            </w:r>
          </w:p>
          <w:p w:rsidR="00BE3B39" w:rsidRPr="00AA1EAE" w:rsidRDefault="00BE3B39" w:rsidP="00BE3B39">
            <w:r w:rsidRPr="00AA1EAE">
              <w:t>The metric value will be provided at the same time as Katie provides us with the quarterly value of Gross operational risk</w:t>
            </w:r>
          </w:p>
          <w:p w:rsidR="00BE3B39" w:rsidRPr="00AA1EAE" w:rsidRDefault="00BE3B39" w:rsidP="00BE3B39">
            <w:r w:rsidRPr="00AA1EAE">
              <w:t>SHUSA RA team inputs to Group template</w:t>
            </w:r>
            <w:r w:rsidR="00E965D6">
              <w:t>.</w:t>
            </w:r>
          </w:p>
        </w:tc>
      </w:tr>
      <w:tr w:rsidR="00BE3B39" w:rsidRPr="00AA1EAE" w:rsidTr="00BE3B39">
        <w:tc>
          <w:tcPr>
            <w:tcW w:w="1548" w:type="dxa"/>
            <w:vAlign w:val="center"/>
          </w:tcPr>
          <w:p w:rsidR="00BE3B39" w:rsidRPr="00AA1EAE" w:rsidRDefault="00BE3B39" w:rsidP="00BE3B39">
            <w:pPr>
              <w:jc w:val="center"/>
              <w:rPr>
                <w:rFonts w:asciiTheme="minorHAnsi" w:hAnsiTheme="minorHAnsi"/>
                <w:b/>
                <w:szCs w:val="24"/>
              </w:rPr>
            </w:pPr>
            <w:r w:rsidRPr="00AA1EAE">
              <w:rPr>
                <w:rFonts w:asciiTheme="minorHAnsi" w:hAnsiTheme="minorHAnsi"/>
                <w:b/>
                <w:szCs w:val="24"/>
              </w:rPr>
              <w:t>Concentration</w:t>
            </w:r>
          </w:p>
        </w:tc>
        <w:tc>
          <w:tcPr>
            <w:tcW w:w="3780" w:type="dxa"/>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GCB concentration</w:t>
            </w:r>
          </w:p>
        </w:tc>
        <w:tc>
          <w:tcPr>
            <w:tcW w:w="4248" w:type="dxa"/>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Brian Flatley provides us with the entire Group template slide completed for GCB.</w:t>
            </w:r>
          </w:p>
        </w:tc>
      </w:tr>
      <w:tr w:rsidR="00BE3B39" w:rsidRPr="00AA1EAE" w:rsidTr="00BE3B39">
        <w:tc>
          <w:tcPr>
            <w:tcW w:w="1548" w:type="dxa"/>
            <w:vMerge w:val="restart"/>
            <w:vAlign w:val="center"/>
          </w:tcPr>
          <w:p w:rsidR="00BE3B39" w:rsidRPr="00AA1EAE" w:rsidRDefault="00BE3B39" w:rsidP="00BE3B39">
            <w:pPr>
              <w:jc w:val="center"/>
              <w:rPr>
                <w:rFonts w:asciiTheme="minorHAnsi" w:hAnsiTheme="minorHAnsi"/>
                <w:b/>
                <w:szCs w:val="24"/>
              </w:rPr>
            </w:pPr>
            <w:r w:rsidRPr="00AA1EAE">
              <w:rPr>
                <w:rFonts w:asciiTheme="minorHAnsi" w:hAnsiTheme="minorHAnsi"/>
                <w:b/>
                <w:szCs w:val="24"/>
              </w:rPr>
              <w:t>Liquidity</w:t>
            </w:r>
          </w:p>
        </w:tc>
        <w:tc>
          <w:tcPr>
            <w:tcW w:w="3780" w:type="dxa"/>
            <w:vAlign w:val="bottom"/>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Stressed Survival Period: Local Systemic</w:t>
            </w:r>
          </w:p>
        </w:tc>
        <w:tc>
          <w:tcPr>
            <w:tcW w:w="4248" w:type="dxa"/>
            <w:vMerge w:val="restart"/>
          </w:tcPr>
          <w:p w:rsidR="00BE3B39" w:rsidRPr="00AA1EAE" w:rsidRDefault="00BE3B39" w:rsidP="00BE3B39">
            <w:r w:rsidRPr="00AA1EAE">
              <w:t xml:space="preserve">The Group template slide will be completed by the following managers: </w:t>
            </w:r>
          </w:p>
          <w:p w:rsidR="00BE3B39" w:rsidRPr="00AA1EAE" w:rsidRDefault="00BE3B39" w:rsidP="00BE3B39">
            <w:pPr>
              <w:pStyle w:val="ListParagraph"/>
              <w:numPr>
                <w:ilvl w:val="0"/>
                <w:numId w:val="6"/>
              </w:numPr>
              <w:rPr>
                <w:szCs w:val="24"/>
              </w:rPr>
            </w:pPr>
            <w:r w:rsidRPr="00AA1EAE">
              <w:rPr>
                <w:szCs w:val="24"/>
              </w:rPr>
              <w:t>Cesar Ibares</w:t>
            </w:r>
          </w:p>
          <w:p w:rsidR="00BE3B39" w:rsidRPr="00AA1EAE" w:rsidRDefault="00BE3B39" w:rsidP="00BE3B39">
            <w:pPr>
              <w:pStyle w:val="ListParagraph"/>
              <w:numPr>
                <w:ilvl w:val="0"/>
                <w:numId w:val="6"/>
              </w:numPr>
              <w:rPr>
                <w:szCs w:val="24"/>
              </w:rPr>
            </w:pPr>
            <w:r w:rsidRPr="00AA1EAE">
              <w:rPr>
                <w:szCs w:val="24"/>
              </w:rPr>
              <w:t>Jorge Segura and Roberto Severino</w:t>
            </w:r>
          </w:p>
        </w:tc>
      </w:tr>
      <w:tr w:rsidR="00BE3B39" w:rsidRPr="00AA1EAE" w:rsidTr="00BE3B39">
        <w:tc>
          <w:tcPr>
            <w:tcW w:w="1548" w:type="dxa"/>
            <w:vMerge/>
            <w:vAlign w:val="center"/>
          </w:tcPr>
          <w:p w:rsidR="00BE3B39" w:rsidRPr="00AA1EAE" w:rsidRDefault="00BE3B39" w:rsidP="00BE3B39">
            <w:pPr>
              <w:jc w:val="center"/>
              <w:rPr>
                <w:rFonts w:asciiTheme="minorHAnsi" w:hAnsiTheme="minorHAnsi"/>
                <w:b/>
                <w:szCs w:val="24"/>
              </w:rPr>
            </w:pPr>
          </w:p>
        </w:tc>
        <w:tc>
          <w:tcPr>
            <w:tcW w:w="3780" w:type="dxa"/>
            <w:vAlign w:val="bottom"/>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Stressed Survival Period: Idiosyncratic</w:t>
            </w:r>
          </w:p>
        </w:tc>
        <w:tc>
          <w:tcPr>
            <w:tcW w:w="4248" w:type="dxa"/>
            <w:vMerge/>
          </w:tcPr>
          <w:p w:rsidR="00BE3B39" w:rsidRPr="00AA1EAE" w:rsidRDefault="00BE3B39" w:rsidP="00BE3B39">
            <w:pPr>
              <w:rPr>
                <w:rFonts w:asciiTheme="minorHAnsi" w:hAnsiTheme="minorHAnsi"/>
                <w:color w:val="000000"/>
                <w:szCs w:val="24"/>
              </w:rPr>
            </w:pPr>
          </w:p>
        </w:tc>
      </w:tr>
      <w:tr w:rsidR="00BE3B39" w:rsidRPr="00AA1EAE" w:rsidTr="00BE3B39">
        <w:trPr>
          <w:trHeight w:val="278"/>
        </w:trPr>
        <w:tc>
          <w:tcPr>
            <w:tcW w:w="1548" w:type="dxa"/>
            <w:vMerge/>
          </w:tcPr>
          <w:p w:rsidR="00BE3B39" w:rsidRPr="00AA1EAE" w:rsidRDefault="00BE3B39" w:rsidP="00BE3B39">
            <w:pPr>
              <w:rPr>
                <w:sz w:val="20"/>
              </w:rPr>
            </w:pPr>
          </w:p>
        </w:tc>
        <w:tc>
          <w:tcPr>
            <w:tcW w:w="3780" w:type="dxa"/>
            <w:vAlign w:val="bottom"/>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Stressed Survival Period: Systemic Global</w:t>
            </w:r>
          </w:p>
        </w:tc>
        <w:tc>
          <w:tcPr>
            <w:tcW w:w="4248" w:type="dxa"/>
            <w:vMerge/>
          </w:tcPr>
          <w:p w:rsidR="00BE3B39" w:rsidRPr="00AA1EAE" w:rsidRDefault="00BE3B39" w:rsidP="00BE3B39">
            <w:pPr>
              <w:rPr>
                <w:rFonts w:asciiTheme="minorHAnsi" w:hAnsiTheme="minorHAnsi"/>
                <w:color w:val="000000"/>
                <w:szCs w:val="24"/>
              </w:rPr>
            </w:pPr>
          </w:p>
        </w:tc>
      </w:tr>
      <w:tr w:rsidR="00BE3B39" w:rsidRPr="00AA1EAE" w:rsidTr="00BE3B39">
        <w:tc>
          <w:tcPr>
            <w:tcW w:w="1548" w:type="dxa"/>
            <w:vMerge/>
          </w:tcPr>
          <w:p w:rsidR="00BE3B39" w:rsidRPr="00AA1EAE" w:rsidRDefault="00BE3B39" w:rsidP="00BE3B39">
            <w:pPr>
              <w:rPr>
                <w:sz w:val="20"/>
              </w:rPr>
            </w:pPr>
          </w:p>
        </w:tc>
        <w:tc>
          <w:tcPr>
            <w:tcW w:w="3780" w:type="dxa"/>
            <w:vAlign w:val="bottom"/>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Trading Portfolio</w:t>
            </w:r>
          </w:p>
        </w:tc>
        <w:tc>
          <w:tcPr>
            <w:tcW w:w="4248" w:type="dxa"/>
            <w:vMerge/>
          </w:tcPr>
          <w:p w:rsidR="00BE3B39" w:rsidRPr="00AA1EAE" w:rsidRDefault="00BE3B39" w:rsidP="00BE3B39">
            <w:pPr>
              <w:rPr>
                <w:rFonts w:asciiTheme="minorHAnsi" w:hAnsiTheme="minorHAnsi"/>
                <w:color w:val="000000"/>
                <w:szCs w:val="24"/>
              </w:rPr>
            </w:pPr>
          </w:p>
        </w:tc>
      </w:tr>
      <w:tr w:rsidR="00BE3B39" w:rsidRPr="00AA1EAE" w:rsidTr="00BE3B39">
        <w:trPr>
          <w:trHeight w:val="341"/>
        </w:trPr>
        <w:tc>
          <w:tcPr>
            <w:tcW w:w="1548" w:type="dxa"/>
            <w:vMerge/>
          </w:tcPr>
          <w:p w:rsidR="00BE3B39" w:rsidRPr="00AA1EAE" w:rsidRDefault="00BE3B39" w:rsidP="00BE3B39">
            <w:pPr>
              <w:rPr>
                <w:sz w:val="20"/>
              </w:rPr>
            </w:pPr>
          </w:p>
        </w:tc>
        <w:tc>
          <w:tcPr>
            <w:tcW w:w="3780" w:type="dxa"/>
          </w:tcPr>
          <w:p w:rsidR="00BE3B39" w:rsidRPr="00AA1EAE" w:rsidRDefault="00BE3B39" w:rsidP="00BE3B39">
            <w:pPr>
              <w:rPr>
                <w:rFonts w:asciiTheme="minorHAnsi" w:hAnsiTheme="minorHAnsi"/>
                <w:color w:val="000000"/>
                <w:szCs w:val="24"/>
              </w:rPr>
            </w:pPr>
            <w:r w:rsidRPr="00AA1EAE">
              <w:rPr>
                <w:rFonts w:asciiTheme="minorHAnsi" w:hAnsiTheme="minorHAnsi"/>
                <w:color w:val="000000"/>
                <w:szCs w:val="24"/>
              </w:rPr>
              <w:t>CVA</w:t>
            </w:r>
          </w:p>
        </w:tc>
        <w:tc>
          <w:tcPr>
            <w:tcW w:w="4248" w:type="dxa"/>
            <w:vMerge/>
          </w:tcPr>
          <w:p w:rsidR="00BE3B39" w:rsidRPr="00AA1EAE" w:rsidRDefault="00BE3B39" w:rsidP="00BE3B39">
            <w:pPr>
              <w:rPr>
                <w:rFonts w:asciiTheme="minorHAnsi" w:hAnsiTheme="minorHAnsi"/>
                <w:color w:val="000000"/>
                <w:szCs w:val="24"/>
              </w:rPr>
            </w:pPr>
          </w:p>
        </w:tc>
      </w:tr>
    </w:tbl>
    <w:p w:rsidR="00595D48" w:rsidRPr="00AA1EAE" w:rsidRDefault="00635341" w:rsidP="00595D48">
      <w:pPr>
        <w:pStyle w:val="SANUS2"/>
        <w:numPr>
          <w:ilvl w:val="1"/>
          <w:numId w:val="1"/>
        </w:numPr>
      </w:pPr>
      <w:bookmarkStart w:id="47" w:name="_Toc441070518"/>
      <w:bookmarkStart w:id="48" w:name="_Toc441070554"/>
      <w:bookmarkStart w:id="49" w:name="_Toc441070646"/>
      <w:bookmarkStart w:id="50" w:name="_Toc441070675"/>
      <w:bookmarkStart w:id="51" w:name="_Toc441070676"/>
      <w:bookmarkEnd w:id="47"/>
      <w:bookmarkEnd w:id="48"/>
      <w:bookmarkEnd w:id="49"/>
      <w:bookmarkEnd w:id="50"/>
      <w:r w:rsidRPr="00AA1EAE">
        <w:t xml:space="preserve">Collection of Group </w:t>
      </w:r>
      <w:r w:rsidR="00A44914" w:rsidRPr="00AA1EAE">
        <w:t>metric calculation</w:t>
      </w:r>
      <w:r w:rsidR="00786DF2" w:rsidRPr="00AA1EAE">
        <w:t xml:space="preserve"> from managers</w:t>
      </w:r>
      <w:bookmarkEnd w:id="51"/>
    </w:p>
    <w:p w:rsidR="00F06468" w:rsidRPr="00AA1EAE" w:rsidRDefault="00F06468" w:rsidP="00595D48">
      <w:pPr>
        <w:pStyle w:val="SANUS2"/>
        <w:rPr>
          <w:b w:val="0"/>
        </w:rPr>
      </w:pPr>
      <w:bookmarkStart w:id="52" w:name="_Toc441070677"/>
      <w:r w:rsidRPr="00AA1EAE">
        <w:rPr>
          <w:b w:val="0"/>
        </w:rPr>
        <w:t xml:space="preserve">To complete the group RAS quarterly report, several additional metrics are calculated </w:t>
      </w:r>
      <w:r w:rsidR="0001382C" w:rsidRPr="00AA1EAE">
        <w:rPr>
          <w:b w:val="0"/>
        </w:rPr>
        <w:t>by SHUSA. Each risk type manager is responsible for providing the information as described below.</w:t>
      </w:r>
      <w:bookmarkEnd w:id="52"/>
      <w:r w:rsidRPr="00AA1EAE">
        <w:rPr>
          <w:b w:val="0"/>
        </w:rPr>
        <w:t xml:space="preserve"> </w:t>
      </w:r>
    </w:p>
    <w:p w:rsidR="00D76974" w:rsidRPr="00AA1EAE" w:rsidRDefault="00D76974"/>
    <w:p w:rsidR="00D70FCF" w:rsidRPr="00AA1EAE" w:rsidRDefault="00E76EE0" w:rsidP="00D70FCF">
      <w:pPr>
        <w:pStyle w:val="SANUS2"/>
        <w:numPr>
          <w:ilvl w:val="1"/>
          <w:numId w:val="1"/>
        </w:numPr>
      </w:pPr>
      <w:bookmarkStart w:id="53" w:name="_Toc441070678"/>
      <w:r w:rsidRPr="00AA1EAE">
        <w:lastRenderedPageBreak/>
        <w:t>Coll</w:t>
      </w:r>
      <w:r w:rsidR="0009208A" w:rsidRPr="00AA1EAE">
        <w:t>ection of ad</w:t>
      </w:r>
      <w:r w:rsidR="00D70FCF" w:rsidRPr="00AA1EAE">
        <w:t>ditional information</w:t>
      </w:r>
      <w:bookmarkEnd w:id="53"/>
    </w:p>
    <w:p w:rsidR="002C600D" w:rsidRPr="00AA1EAE" w:rsidRDefault="0001382C" w:rsidP="002C600D">
      <w:pPr>
        <w:pStyle w:val="SANUS2"/>
        <w:spacing w:after="0"/>
        <w:rPr>
          <w:b w:val="0"/>
        </w:rPr>
      </w:pPr>
      <w:bookmarkStart w:id="54" w:name="_Toc441070679"/>
      <w:r w:rsidRPr="00AA1EAE">
        <w:rPr>
          <w:b w:val="0"/>
        </w:rPr>
        <w:t xml:space="preserve">The quarterly Group RAS report includes certain concentration metrics that are included in the SHUSA RAS but require </w:t>
      </w:r>
      <w:r w:rsidR="002C600D" w:rsidRPr="00AA1EAE">
        <w:rPr>
          <w:b w:val="0"/>
        </w:rPr>
        <w:t xml:space="preserve">additional or different calculations in order to comply with Madrid’s </w:t>
      </w:r>
      <w:r w:rsidR="00BE3B39" w:rsidRPr="00AA1EAE">
        <w:rPr>
          <w:b w:val="0"/>
        </w:rPr>
        <w:t>guidelines and reporting</w:t>
      </w:r>
      <w:r w:rsidR="002C600D" w:rsidRPr="00AA1EAE">
        <w:rPr>
          <w:b w:val="0"/>
        </w:rPr>
        <w:t>.</w:t>
      </w:r>
      <w:bookmarkEnd w:id="54"/>
      <w:r w:rsidR="002C600D" w:rsidRPr="00AA1EAE">
        <w:rPr>
          <w:b w:val="0"/>
        </w:rPr>
        <w:t xml:space="preserve"> </w:t>
      </w:r>
    </w:p>
    <w:tbl>
      <w:tblPr>
        <w:tblStyle w:val="TableGrid"/>
        <w:tblpPr w:leftFromText="180" w:rightFromText="180" w:vertAnchor="page" w:horzAnchor="margin" w:tblpY="3368"/>
        <w:tblW w:w="10008" w:type="dxa"/>
        <w:tblLook w:val="04A0" w:firstRow="1" w:lastRow="0" w:firstColumn="1" w:lastColumn="0" w:noHBand="0" w:noVBand="1"/>
      </w:tblPr>
      <w:tblGrid>
        <w:gridCol w:w="1638"/>
        <w:gridCol w:w="2790"/>
        <w:gridCol w:w="5580"/>
      </w:tblGrid>
      <w:tr w:rsidR="005F6A42" w:rsidRPr="00AA1EAE" w:rsidTr="000C6B03">
        <w:trPr>
          <w:trHeight w:val="162"/>
        </w:trPr>
        <w:tc>
          <w:tcPr>
            <w:tcW w:w="4428" w:type="dxa"/>
            <w:gridSpan w:val="2"/>
            <w:shd w:val="clear" w:color="auto" w:fill="FF0000"/>
            <w:vAlign w:val="center"/>
          </w:tcPr>
          <w:p w:rsidR="005F6A42" w:rsidRPr="005F6A42" w:rsidRDefault="000C6B03" w:rsidP="005F6A42">
            <w:pPr>
              <w:jc w:val="center"/>
              <w:rPr>
                <w:rFonts w:asciiTheme="minorHAnsi" w:hAnsiTheme="minorHAnsi"/>
                <w:b/>
                <w:color w:val="FFFFFF" w:themeColor="background1"/>
              </w:rPr>
            </w:pPr>
            <w:r>
              <w:rPr>
                <w:rFonts w:asciiTheme="minorHAnsi" w:hAnsiTheme="minorHAnsi"/>
                <w:b/>
                <w:color w:val="FFFFFF" w:themeColor="background1"/>
              </w:rPr>
              <w:t>METRICS CALCULATED BY RA TEAM</w:t>
            </w:r>
          </w:p>
        </w:tc>
        <w:tc>
          <w:tcPr>
            <w:tcW w:w="5580" w:type="dxa"/>
            <w:shd w:val="clear" w:color="auto" w:fill="FF0000"/>
            <w:vAlign w:val="center"/>
          </w:tcPr>
          <w:p w:rsidR="005F6A42" w:rsidRPr="00AA1EAE" w:rsidRDefault="000C6B03" w:rsidP="000C6B03">
            <w:pPr>
              <w:jc w:val="center"/>
              <w:rPr>
                <w:b/>
                <w:color w:val="FFFFFF" w:themeColor="background1"/>
              </w:rPr>
            </w:pPr>
            <w:r>
              <w:rPr>
                <w:b/>
                <w:color w:val="FFFFFF" w:themeColor="background1"/>
              </w:rPr>
              <w:t>ADDITIONAL INFORMATION</w:t>
            </w:r>
          </w:p>
        </w:tc>
      </w:tr>
      <w:tr w:rsidR="00BE3B39" w:rsidRPr="00AA1EAE" w:rsidTr="007F0E8D">
        <w:trPr>
          <w:trHeight w:val="162"/>
        </w:trPr>
        <w:tc>
          <w:tcPr>
            <w:tcW w:w="1638" w:type="dxa"/>
            <w:vMerge w:val="restart"/>
            <w:vAlign w:val="center"/>
          </w:tcPr>
          <w:p w:rsidR="00BE3B39" w:rsidRPr="00AA1EAE" w:rsidRDefault="00BE3B39" w:rsidP="00BE3B39">
            <w:pPr>
              <w:jc w:val="center"/>
              <w:rPr>
                <w:rFonts w:asciiTheme="minorHAnsi" w:hAnsiTheme="minorHAnsi"/>
                <w:b/>
              </w:rPr>
            </w:pPr>
            <w:r w:rsidRPr="00AA1EAE">
              <w:rPr>
                <w:rFonts w:asciiTheme="minorHAnsi" w:hAnsiTheme="minorHAnsi"/>
                <w:b/>
              </w:rPr>
              <w:t>Concentration</w:t>
            </w:r>
          </w:p>
          <w:p w:rsidR="00BE3B39" w:rsidRPr="00AA1EAE" w:rsidRDefault="00BE3B39" w:rsidP="00BE3B39">
            <w:pPr>
              <w:jc w:val="center"/>
              <w:rPr>
                <w:rFonts w:asciiTheme="minorHAnsi" w:hAnsiTheme="minorHAnsi"/>
              </w:rPr>
            </w:pPr>
          </w:p>
          <w:p w:rsidR="00BE3B39" w:rsidRPr="00AA1EAE" w:rsidRDefault="00BE3B39" w:rsidP="00BE3B39">
            <w:pPr>
              <w:jc w:val="center"/>
              <w:rPr>
                <w:rFonts w:asciiTheme="minorHAnsi" w:hAnsiTheme="minorHAnsi"/>
                <w:b/>
              </w:rPr>
            </w:pPr>
          </w:p>
        </w:tc>
        <w:tc>
          <w:tcPr>
            <w:tcW w:w="2790" w:type="dxa"/>
          </w:tcPr>
          <w:p w:rsidR="00BE3B39" w:rsidRPr="00AA1EAE" w:rsidRDefault="00BE3B39" w:rsidP="00BE3B39">
            <w:pPr>
              <w:rPr>
                <w:rFonts w:asciiTheme="minorHAnsi" w:hAnsiTheme="minorHAnsi"/>
                <w:color w:val="000000"/>
              </w:rPr>
            </w:pPr>
            <w:r w:rsidRPr="00AA1EAE">
              <w:rPr>
                <w:rFonts w:asciiTheme="minorHAnsi" w:hAnsiTheme="minorHAnsi"/>
                <w:color w:val="000000"/>
              </w:rPr>
              <w:t>Single name</w:t>
            </w:r>
          </w:p>
        </w:tc>
        <w:tc>
          <w:tcPr>
            <w:tcW w:w="5580" w:type="dxa"/>
          </w:tcPr>
          <w:p w:rsidR="00BE3B39" w:rsidRPr="00AA1EAE" w:rsidRDefault="00BE3B39" w:rsidP="00BE3B39">
            <w:r w:rsidRPr="00AA1EAE">
              <w:t>Divide single obligor by Shareholder equity of June 2015</w:t>
            </w:r>
          </w:p>
          <w:p w:rsidR="00BE3B39" w:rsidRPr="00AA1EAE" w:rsidRDefault="005F6A42" w:rsidP="007F0E8D">
            <w:r>
              <w:t xml:space="preserve">Shareholder equity number can be found </w:t>
            </w:r>
            <w:r w:rsidR="007F0E8D">
              <w:t xml:space="preserve">in the Master Data Spreadsheet </w:t>
            </w:r>
            <w:r w:rsidR="007F0E8D">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55pt" o:ole="">
                  <v:imagedata r:id="rId12" o:title=""/>
                </v:shape>
                <o:OLEObject Type="Embed" ProgID="Excel.Sheet.12" ShapeID="_x0000_i1025" DrawAspect="Icon" ObjectID="_1517299078" r:id="rId13"/>
              </w:object>
            </w:r>
          </w:p>
        </w:tc>
      </w:tr>
      <w:tr w:rsidR="00BE3B39" w:rsidRPr="00AA1EAE" w:rsidTr="007F0E8D">
        <w:trPr>
          <w:trHeight w:val="162"/>
        </w:trPr>
        <w:tc>
          <w:tcPr>
            <w:tcW w:w="1638" w:type="dxa"/>
            <w:vMerge/>
            <w:vAlign w:val="center"/>
          </w:tcPr>
          <w:p w:rsidR="00BE3B39" w:rsidRPr="00AA1EAE" w:rsidRDefault="00BE3B39" w:rsidP="00BE3B39">
            <w:pPr>
              <w:jc w:val="center"/>
              <w:rPr>
                <w:rFonts w:asciiTheme="minorHAnsi" w:hAnsiTheme="minorHAnsi"/>
                <w:b/>
              </w:rPr>
            </w:pPr>
          </w:p>
        </w:tc>
        <w:tc>
          <w:tcPr>
            <w:tcW w:w="2790" w:type="dxa"/>
          </w:tcPr>
          <w:p w:rsidR="00BE3B39" w:rsidRPr="00AA1EAE" w:rsidRDefault="00BE3B39" w:rsidP="00BE3B39">
            <w:pPr>
              <w:rPr>
                <w:rFonts w:asciiTheme="minorHAnsi" w:hAnsiTheme="minorHAnsi"/>
                <w:color w:val="000000"/>
              </w:rPr>
            </w:pPr>
            <w:r w:rsidRPr="00AA1EAE">
              <w:rPr>
                <w:rFonts w:asciiTheme="minorHAnsi" w:hAnsiTheme="minorHAnsi"/>
                <w:color w:val="000000"/>
              </w:rPr>
              <w:t>Top 5</w:t>
            </w:r>
          </w:p>
        </w:tc>
        <w:tc>
          <w:tcPr>
            <w:tcW w:w="5580" w:type="dxa"/>
          </w:tcPr>
          <w:p w:rsidR="00BE3B39" w:rsidRPr="00AA1EAE" w:rsidRDefault="00E965D6" w:rsidP="00BE3B39">
            <w:r>
              <w:t>With the document sent by Madrid (attached here), w</w:t>
            </w:r>
            <w:r w:rsidR="00BE3B39" w:rsidRPr="00AA1EAE">
              <w:t>e need the breakdown of CET1 to get the value of Capital SHUSA CET1 and the value of Risk weighted assets where we can find it in the link of SHUSA summary trend</w:t>
            </w:r>
            <w:r w:rsidR="008228C0">
              <w:rPr>
                <w:rStyle w:val="FootnoteReference"/>
              </w:rPr>
              <w:footnoteReference w:id="1"/>
            </w:r>
            <w:r w:rsidR="00BE3B39" w:rsidRPr="00AA1EAE">
              <w:t>.</w:t>
            </w:r>
          </w:p>
          <w:p w:rsidR="00BE3B39" w:rsidRPr="00AA1EAE" w:rsidRDefault="00BE3B39" w:rsidP="008228C0">
            <w:r w:rsidRPr="00AA1EAE">
              <w:object w:dxaOrig="2069" w:dyaOrig="1339">
                <v:shape id="_x0000_i1026" type="#_x0000_t75" style="width:90.4pt;height:59pt" o:ole="">
                  <v:imagedata r:id="rId14" o:title=""/>
                </v:shape>
                <o:OLEObject Type="Embed" ProgID="Excel.Sheet.12" ShapeID="_x0000_i1026" DrawAspect="Icon" ObjectID="_1517299079" r:id="rId15"/>
              </w:object>
            </w:r>
          </w:p>
        </w:tc>
      </w:tr>
      <w:tr w:rsidR="00BE3B39" w:rsidRPr="00AA1EAE" w:rsidTr="007F0E8D">
        <w:trPr>
          <w:trHeight w:val="162"/>
        </w:trPr>
        <w:tc>
          <w:tcPr>
            <w:tcW w:w="1638" w:type="dxa"/>
            <w:vMerge/>
            <w:vAlign w:val="center"/>
          </w:tcPr>
          <w:p w:rsidR="00BE3B39" w:rsidRPr="00AA1EAE" w:rsidRDefault="00BE3B39" w:rsidP="00BE3B39">
            <w:pPr>
              <w:jc w:val="center"/>
              <w:rPr>
                <w:rFonts w:asciiTheme="minorHAnsi" w:hAnsiTheme="minorHAnsi"/>
              </w:rPr>
            </w:pPr>
          </w:p>
        </w:tc>
        <w:tc>
          <w:tcPr>
            <w:tcW w:w="2790" w:type="dxa"/>
            <w:vAlign w:val="bottom"/>
          </w:tcPr>
          <w:p w:rsidR="00BE3B39" w:rsidRPr="00AA1EAE" w:rsidRDefault="00BE3B39" w:rsidP="00BE3B39">
            <w:pPr>
              <w:rPr>
                <w:rFonts w:asciiTheme="minorHAnsi" w:hAnsiTheme="minorHAnsi"/>
                <w:color w:val="000000"/>
              </w:rPr>
            </w:pPr>
            <w:r w:rsidRPr="00AA1EAE">
              <w:rPr>
                <w:rFonts w:asciiTheme="minorHAnsi" w:hAnsiTheme="minorHAnsi"/>
                <w:color w:val="000000"/>
              </w:rPr>
              <w:t>Top 20</w:t>
            </w:r>
          </w:p>
        </w:tc>
        <w:tc>
          <w:tcPr>
            <w:tcW w:w="5580" w:type="dxa"/>
          </w:tcPr>
          <w:p w:rsidR="00BE3B39" w:rsidRPr="00AA1EAE" w:rsidRDefault="000C6B03" w:rsidP="00BE3B39">
            <w:pPr>
              <w:rPr>
                <w:rFonts w:asciiTheme="minorHAnsi" w:hAnsiTheme="minorHAnsi"/>
                <w:color w:val="000000"/>
              </w:rPr>
            </w:pPr>
            <w:r>
              <w:rPr>
                <w:rFonts w:asciiTheme="minorHAnsi" w:hAnsiTheme="minorHAnsi"/>
                <w:color w:val="000000"/>
              </w:rPr>
              <w:t xml:space="preserve">Ask </w:t>
            </w:r>
            <w:r w:rsidR="00BE3B39" w:rsidRPr="00AA1EAE">
              <w:rPr>
                <w:rFonts w:asciiTheme="minorHAnsi" w:hAnsiTheme="minorHAnsi"/>
                <w:color w:val="000000"/>
              </w:rPr>
              <w:t xml:space="preserve">Brian Flatley </w:t>
            </w:r>
            <w:r>
              <w:rPr>
                <w:rFonts w:asciiTheme="minorHAnsi" w:hAnsiTheme="minorHAnsi"/>
                <w:color w:val="000000"/>
              </w:rPr>
              <w:t>to provide</w:t>
            </w:r>
            <w:r w:rsidR="00BE3B39" w:rsidRPr="00AA1EAE">
              <w:rPr>
                <w:rFonts w:asciiTheme="minorHAnsi" w:hAnsiTheme="minorHAnsi"/>
                <w:color w:val="000000"/>
              </w:rPr>
              <w:t xml:space="preserve"> the SBNA Top customer report</w:t>
            </w:r>
          </w:p>
        </w:tc>
      </w:tr>
      <w:tr w:rsidR="00BE3B39" w:rsidRPr="00AA1EAE" w:rsidTr="000C6B03">
        <w:trPr>
          <w:trHeight w:val="162"/>
        </w:trPr>
        <w:tc>
          <w:tcPr>
            <w:tcW w:w="1638" w:type="dxa"/>
            <w:vMerge/>
            <w:vAlign w:val="center"/>
          </w:tcPr>
          <w:p w:rsidR="00BE3B39" w:rsidRPr="00AA1EAE" w:rsidRDefault="00BE3B39" w:rsidP="00BE3B39">
            <w:pPr>
              <w:jc w:val="center"/>
              <w:rPr>
                <w:rFonts w:asciiTheme="minorHAnsi" w:hAnsiTheme="minorHAnsi"/>
              </w:rPr>
            </w:pPr>
          </w:p>
        </w:tc>
        <w:tc>
          <w:tcPr>
            <w:tcW w:w="2790" w:type="dxa"/>
            <w:vAlign w:val="bottom"/>
          </w:tcPr>
          <w:p w:rsidR="00BE3B39" w:rsidRPr="00AA1EAE" w:rsidRDefault="00BE3B39" w:rsidP="001558B8">
            <w:pPr>
              <w:rPr>
                <w:rFonts w:asciiTheme="minorHAnsi" w:hAnsiTheme="minorHAnsi"/>
                <w:color w:val="000000"/>
              </w:rPr>
            </w:pPr>
            <w:r w:rsidRPr="00AA1EAE">
              <w:rPr>
                <w:rFonts w:asciiTheme="minorHAnsi" w:hAnsiTheme="minorHAnsi"/>
                <w:color w:val="000000"/>
              </w:rPr>
              <w:t>Max. industry conce</w:t>
            </w:r>
            <w:r w:rsidR="001558B8">
              <w:rPr>
                <w:rFonts w:asciiTheme="minorHAnsi" w:hAnsiTheme="minorHAnsi"/>
                <w:color w:val="000000"/>
              </w:rPr>
              <w:t>ntration over: Total Portfolio*</w:t>
            </w:r>
          </w:p>
        </w:tc>
        <w:tc>
          <w:tcPr>
            <w:tcW w:w="5580" w:type="dxa"/>
            <w:vAlign w:val="center"/>
          </w:tcPr>
          <w:p w:rsidR="00BE3B39" w:rsidRPr="00AA1EAE" w:rsidRDefault="00B33A24" w:rsidP="000C6B03">
            <w:pPr>
              <w:rPr>
                <w:rFonts w:asciiTheme="minorHAnsi" w:hAnsiTheme="minorHAnsi"/>
                <w:color w:val="000000"/>
              </w:rPr>
            </w:pPr>
            <w:r>
              <w:rPr>
                <w:rFonts w:asciiTheme="minorHAnsi" w:hAnsiTheme="minorHAnsi"/>
                <w:color w:val="000000"/>
              </w:rPr>
              <w:t>Khan, Sharique</w:t>
            </w:r>
            <w:r w:rsidR="00BE3B39" w:rsidRPr="00AA1EAE">
              <w:rPr>
                <w:rFonts w:asciiTheme="minorHAnsi" w:hAnsiTheme="minorHAnsi"/>
                <w:color w:val="000000"/>
              </w:rPr>
              <w:t xml:space="preserve"> provides SBNA industry limits</w:t>
            </w:r>
          </w:p>
          <w:p w:rsidR="00BE3B39" w:rsidRPr="00AA1EAE" w:rsidRDefault="00BE3B39" w:rsidP="000C6B03">
            <w:pPr>
              <w:rPr>
                <w:rFonts w:asciiTheme="minorHAnsi" w:hAnsiTheme="minorHAnsi"/>
                <w:color w:val="000000"/>
              </w:rPr>
            </w:pPr>
            <w:r w:rsidRPr="00AA1EAE">
              <w:rPr>
                <w:rFonts w:asciiTheme="minorHAnsi" w:hAnsiTheme="minorHAnsi"/>
                <w:color w:val="000000"/>
              </w:rPr>
              <w:t>Eric Nagy provides SBNA Total exposure</w:t>
            </w:r>
          </w:p>
        </w:tc>
      </w:tr>
      <w:tr w:rsidR="000C6B03" w:rsidRPr="00AA1EAE" w:rsidTr="000C6B03">
        <w:trPr>
          <w:trHeight w:val="162"/>
        </w:trPr>
        <w:tc>
          <w:tcPr>
            <w:tcW w:w="1638" w:type="dxa"/>
            <w:vMerge/>
          </w:tcPr>
          <w:p w:rsidR="000C6B03" w:rsidRPr="00AA1EAE" w:rsidRDefault="000C6B03" w:rsidP="00BE3B39">
            <w:pPr>
              <w:rPr>
                <w:rFonts w:asciiTheme="minorHAnsi" w:hAnsiTheme="minorHAnsi"/>
              </w:rPr>
            </w:pPr>
          </w:p>
        </w:tc>
        <w:tc>
          <w:tcPr>
            <w:tcW w:w="2790" w:type="dxa"/>
            <w:vAlign w:val="bottom"/>
          </w:tcPr>
          <w:p w:rsidR="000C6B03" w:rsidRPr="00AA1EAE" w:rsidRDefault="000C6B03" w:rsidP="001558B8">
            <w:pPr>
              <w:rPr>
                <w:rFonts w:asciiTheme="minorHAnsi" w:hAnsiTheme="minorHAnsi"/>
                <w:color w:val="000000"/>
              </w:rPr>
            </w:pPr>
            <w:r w:rsidRPr="00AA1EAE">
              <w:rPr>
                <w:rFonts w:asciiTheme="minorHAnsi" w:hAnsiTheme="minorHAnsi"/>
                <w:color w:val="000000"/>
              </w:rPr>
              <w:t>Max. industry concentration over</w:t>
            </w:r>
            <w:r w:rsidR="001558B8">
              <w:rPr>
                <w:rFonts w:asciiTheme="minorHAnsi" w:hAnsiTheme="minorHAnsi"/>
                <w:color w:val="000000"/>
              </w:rPr>
              <w:t>: Total Portfolio excl. retail*</w:t>
            </w:r>
          </w:p>
        </w:tc>
        <w:tc>
          <w:tcPr>
            <w:tcW w:w="5580" w:type="dxa"/>
            <w:vMerge w:val="restart"/>
            <w:vAlign w:val="center"/>
          </w:tcPr>
          <w:p w:rsidR="00B33A24" w:rsidRDefault="000C6B03" w:rsidP="000C6B03">
            <w:pPr>
              <w:rPr>
                <w:rFonts w:asciiTheme="minorHAnsi" w:hAnsiTheme="minorHAnsi"/>
                <w:color w:val="000000"/>
              </w:rPr>
            </w:pPr>
            <w:r w:rsidRPr="00AA1EAE">
              <w:rPr>
                <w:rFonts w:asciiTheme="minorHAnsi" w:hAnsiTheme="minorHAnsi"/>
                <w:color w:val="000000"/>
              </w:rPr>
              <w:t>Eric Nagy provides SBNA Total exposure excluding Retail</w:t>
            </w:r>
          </w:p>
          <w:p w:rsidR="000C6B03" w:rsidRPr="00AA1EAE" w:rsidRDefault="000C6B03" w:rsidP="001558B8">
            <w:pPr>
              <w:rPr>
                <w:rFonts w:asciiTheme="minorHAnsi" w:hAnsiTheme="minorHAnsi"/>
                <w:color w:val="000000"/>
              </w:rPr>
            </w:pPr>
          </w:p>
        </w:tc>
      </w:tr>
      <w:tr w:rsidR="000C6B03" w:rsidRPr="00AA1EAE" w:rsidTr="007F0E8D">
        <w:trPr>
          <w:trHeight w:val="162"/>
        </w:trPr>
        <w:tc>
          <w:tcPr>
            <w:tcW w:w="1638" w:type="dxa"/>
            <w:vMerge/>
          </w:tcPr>
          <w:p w:rsidR="000C6B03" w:rsidRPr="00AA1EAE" w:rsidRDefault="000C6B03" w:rsidP="00BE3B39">
            <w:pPr>
              <w:rPr>
                <w:rFonts w:asciiTheme="minorHAnsi" w:hAnsiTheme="minorHAnsi"/>
              </w:rPr>
            </w:pPr>
          </w:p>
        </w:tc>
        <w:tc>
          <w:tcPr>
            <w:tcW w:w="2790" w:type="dxa"/>
            <w:vAlign w:val="bottom"/>
          </w:tcPr>
          <w:p w:rsidR="000C6B03" w:rsidRPr="00AA1EAE" w:rsidRDefault="000C6B03" w:rsidP="000C6B03">
            <w:pPr>
              <w:rPr>
                <w:rFonts w:asciiTheme="minorHAnsi" w:hAnsiTheme="minorHAnsi"/>
                <w:color w:val="000000"/>
              </w:rPr>
            </w:pPr>
            <w:r w:rsidRPr="00AA1EAE">
              <w:rPr>
                <w:rFonts w:asciiTheme="minorHAnsi" w:hAnsiTheme="minorHAnsi"/>
                <w:color w:val="000000"/>
              </w:rPr>
              <w:t>CRE ($10.5 B)</w:t>
            </w:r>
          </w:p>
        </w:tc>
        <w:tc>
          <w:tcPr>
            <w:tcW w:w="5580" w:type="dxa"/>
            <w:vMerge/>
          </w:tcPr>
          <w:p w:rsidR="000C6B03" w:rsidRPr="00AA1EAE" w:rsidRDefault="000C6B03" w:rsidP="00BE3B39">
            <w:pPr>
              <w:rPr>
                <w:rFonts w:asciiTheme="minorHAnsi" w:hAnsiTheme="minorHAnsi"/>
                <w:color w:val="000000"/>
              </w:rPr>
            </w:pPr>
          </w:p>
        </w:tc>
      </w:tr>
      <w:tr w:rsidR="000C6B03" w:rsidRPr="00AA1EAE" w:rsidTr="007F0E8D">
        <w:trPr>
          <w:trHeight w:val="162"/>
        </w:trPr>
        <w:tc>
          <w:tcPr>
            <w:tcW w:w="1638" w:type="dxa"/>
            <w:vMerge/>
          </w:tcPr>
          <w:p w:rsidR="000C6B03" w:rsidRPr="00AA1EAE" w:rsidRDefault="000C6B03" w:rsidP="00BE3B39">
            <w:pPr>
              <w:rPr>
                <w:rFonts w:asciiTheme="minorHAnsi" w:hAnsiTheme="minorHAnsi"/>
              </w:rPr>
            </w:pPr>
          </w:p>
        </w:tc>
        <w:tc>
          <w:tcPr>
            <w:tcW w:w="2790" w:type="dxa"/>
            <w:vAlign w:val="bottom"/>
          </w:tcPr>
          <w:p w:rsidR="000C6B03" w:rsidRPr="00AA1EAE" w:rsidRDefault="000C6B03" w:rsidP="00BE3B39">
            <w:pPr>
              <w:rPr>
                <w:rFonts w:asciiTheme="minorHAnsi" w:hAnsiTheme="minorHAnsi"/>
                <w:color w:val="000000"/>
              </w:rPr>
            </w:pPr>
            <w:r>
              <w:rPr>
                <w:rFonts w:asciiTheme="minorHAnsi" w:hAnsiTheme="minorHAnsi"/>
                <w:color w:val="000000"/>
              </w:rPr>
              <w:t>Multifamily ($10.5 B</w:t>
            </w:r>
            <w:r w:rsidRPr="00AA1EAE">
              <w:rPr>
                <w:rFonts w:asciiTheme="minorHAnsi" w:hAnsiTheme="minorHAnsi"/>
                <w:color w:val="000000"/>
              </w:rPr>
              <w:t>)</w:t>
            </w:r>
          </w:p>
        </w:tc>
        <w:tc>
          <w:tcPr>
            <w:tcW w:w="5580" w:type="dxa"/>
            <w:vMerge/>
          </w:tcPr>
          <w:p w:rsidR="000C6B03" w:rsidRPr="00AA1EAE" w:rsidRDefault="000C6B03" w:rsidP="00BE3B39">
            <w:pPr>
              <w:rPr>
                <w:rFonts w:asciiTheme="minorHAnsi" w:hAnsiTheme="minorHAnsi"/>
                <w:color w:val="000000"/>
              </w:rPr>
            </w:pPr>
          </w:p>
        </w:tc>
      </w:tr>
    </w:tbl>
    <w:p w:rsidR="001558B8" w:rsidRDefault="001558B8" w:rsidP="00BE3B39"/>
    <w:p w:rsidR="002C600D" w:rsidRPr="00AA1EAE" w:rsidRDefault="001558B8" w:rsidP="00BE3B39">
      <w:pPr>
        <w:rPr>
          <w:b/>
        </w:rPr>
      </w:pPr>
      <w:r>
        <w:t>*Each quarter reporting calculations for both Total portfolio (</w:t>
      </w:r>
      <w:proofErr w:type="spellStart"/>
      <w:r>
        <w:t>excl</w:t>
      </w:r>
      <w:proofErr w:type="spellEnd"/>
      <w:r>
        <w:t xml:space="preserve"> retail and including retail) are held constant to June 2015 portfolio value.</w:t>
      </w:r>
      <w:bookmarkStart w:id="55" w:name="_GoBack"/>
      <w:bookmarkEnd w:id="55"/>
      <w:r w:rsidR="00BE3B39" w:rsidRPr="00AA1EAE">
        <w:br w:type="page"/>
      </w:r>
    </w:p>
    <w:p w:rsidR="000A2CDD" w:rsidRPr="00AA1EAE" w:rsidRDefault="000A2CDD" w:rsidP="00BE3B39">
      <w:pPr>
        <w:pStyle w:val="SANUS2"/>
        <w:spacing w:before="0"/>
        <w:rPr>
          <w:b w:val="0"/>
        </w:rPr>
        <w:sectPr w:rsidR="000A2CDD" w:rsidRPr="00AA1EAE" w:rsidSect="00BE3B39">
          <w:pgSz w:w="12240" w:h="15840"/>
          <w:pgMar w:top="1440" w:right="1440" w:bottom="1440" w:left="1440" w:header="288" w:footer="720" w:gutter="0"/>
          <w:cols w:space="720"/>
          <w:docGrid w:linePitch="360"/>
        </w:sectPr>
      </w:pPr>
    </w:p>
    <w:p w:rsidR="001241C3" w:rsidRPr="00AA1EAE" w:rsidRDefault="00A83B12" w:rsidP="001241C3">
      <w:pPr>
        <w:pStyle w:val="SANUS2"/>
        <w:numPr>
          <w:ilvl w:val="1"/>
          <w:numId w:val="1"/>
        </w:numPr>
      </w:pPr>
      <w:bookmarkStart w:id="56" w:name="_Toc441070680"/>
      <w:r w:rsidRPr="00AA1EAE">
        <w:lastRenderedPageBreak/>
        <w:t>Preparing the Group RA report</w:t>
      </w:r>
      <w:bookmarkEnd w:id="56"/>
    </w:p>
    <w:p w:rsidR="007D245F" w:rsidRDefault="00B06ACA" w:rsidP="001241C3">
      <w:pPr>
        <w:rPr>
          <w:sz w:val="24"/>
        </w:rPr>
      </w:pPr>
      <w:r w:rsidRPr="00AA1EAE">
        <w:rPr>
          <w:sz w:val="24"/>
        </w:rPr>
        <w:t xml:space="preserve">With the </w:t>
      </w:r>
      <w:r w:rsidR="008A2BCB" w:rsidRPr="00AA1EAE">
        <w:rPr>
          <w:sz w:val="24"/>
        </w:rPr>
        <w:t>information gathered from</w:t>
      </w:r>
      <w:r w:rsidRPr="00AA1EAE">
        <w:rPr>
          <w:sz w:val="24"/>
        </w:rPr>
        <w:t xml:space="preserve"> </w:t>
      </w:r>
      <w:r w:rsidR="008A2BCB" w:rsidRPr="00AA1EAE">
        <w:rPr>
          <w:sz w:val="24"/>
        </w:rPr>
        <w:t xml:space="preserve">the </w:t>
      </w:r>
      <w:r w:rsidRPr="00AA1EAE">
        <w:rPr>
          <w:sz w:val="24"/>
        </w:rPr>
        <w:t xml:space="preserve">risk managers, risk teams and the RA monthly report, </w:t>
      </w:r>
      <w:r w:rsidR="00E6138C" w:rsidRPr="00AA1EAE">
        <w:rPr>
          <w:sz w:val="24"/>
        </w:rPr>
        <w:t xml:space="preserve">the SHUSA RA team </w:t>
      </w:r>
      <w:r w:rsidR="000C6B03">
        <w:rPr>
          <w:sz w:val="24"/>
        </w:rPr>
        <w:t>can complete</w:t>
      </w:r>
      <w:r w:rsidRPr="00AA1EAE">
        <w:rPr>
          <w:sz w:val="24"/>
        </w:rPr>
        <w:t xml:space="preserve"> </w:t>
      </w:r>
      <w:r w:rsidR="00E6138C" w:rsidRPr="00AA1EAE">
        <w:rPr>
          <w:sz w:val="24"/>
        </w:rPr>
        <w:t xml:space="preserve">the </w:t>
      </w:r>
      <w:r w:rsidR="000C6B03">
        <w:rPr>
          <w:sz w:val="24"/>
        </w:rPr>
        <w:t xml:space="preserve">Quarterly metrics </w:t>
      </w:r>
      <w:r w:rsidR="00E6138C" w:rsidRPr="00AA1EAE">
        <w:rPr>
          <w:sz w:val="24"/>
        </w:rPr>
        <w:t xml:space="preserve">template provided by Group. </w:t>
      </w:r>
    </w:p>
    <w:p w:rsidR="00AA400A" w:rsidRPr="00AA1EAE" w:rsidRDefault="00AA400A" w:rsidP="00AA400A">
      <w:pPr>
        <w:pStyle w:val="SANUS2"/>
        <w:numPr>
          <w:ilvl w:val="1"/>
          <w:numId w:val="1"/>
        </w:numPr>
      </w:pPr>
      <w:r>
        <w:t>RECAST Group RA</w:t>
      </w:r>
    </w:p>
    <w:p w:rsidR="00AA400A" w:rsidRDefault="00AA400A" w:rsidP="001241C3">
      <w:pPr>
        <w:rPr>
          <w:sz w:val="24"/>
        </w:rPr>
      </w:pPr>
      <w:r>
        <w:rPr>
          <w:sz w:val="24"/>
        </w:rPr>
        <w:t>In the case that any metri</w:t>
      </w:r>
      <w:r w:rsidR="00036F84">
        <w:rPr>
          <w:sz w:val="24"/>
        </w:rPr>
        <w:t>c value is recast</w:t>
      </w:r>
      <w:r>
        <w:rPr>
          <w:sz w:val="24"/>
        </w:rPr>
        <w:t xml:space="preserve"> and therefore updates the value of any </w:t>
      </w:r>
      <w:r w:rsidRPr="00AA400A">
        <w:rPr>
          <w:sz w:val="24"/>
          <w:u w:val="single"/>
        </w:rPr>
        <w:t>quarterly</w:t>
      </w:r>
      <w:r>
        <w:rPr>
          <w:sz w:val="24"/>
        </w:rPr>
        <w:t xml:space="preserve"> metric in the report, we will resend the quarterly report to Madrid </w:t>
      </w:r>
      <w:r w:rsidR="00036F84">
        <w:rPr>
          <w:sz w:val="24"/>
        </w:rPr>
        <w:t>with the updated values.</w:t>
      </w:r>
    </w:p>
    <w:p w:rsidR="00AA400A" w:rsidRPr="00AA1EAE" w:rsidRDefault="00AA400A" w:rsidP="001241C3">
      <w:pPr>
        <w:rPr>
          <w:sz w:val="24"/>
        </w:rPr>
      </w:pPr>
      <w:r>
        <w:rPr>
          <w:sz w:val="24"/>
        </w:rPr>
        <w:t>Any mo</w:t>
      </w:r>
      <w:r w:rsidR="00036F84">
        <w:rPr>
          <w:sz w:val="24"/>
        </w:rPr>
        <w:t xml:space="preserve">nthly breach metrics that are recast </w:t>
      </w:r>
      <w:r>
        <w:rPr>
          <w:sz w:val="24"/>
        </w:rPr>
        <w:t xml:space="preserve">will </w:t>
      </w:r>
      <w:r w:rsidR="00036F84">
        <w:rPr>
          <w:sz w:val="24"/>
        </w:rPr>
        <w:t xml:space="preserve">be reflected in the </w:t>
      </w:r>
      <w:r w:rsidR="00036F84" w:rsidRPr="00036F84">
        <w:rPr>
          <w:sz w:val="24"/>
          <w:u w:val="single"/>
        </w:rPr>
        <w:t>following</w:t>
      </w:r>
      <w:r w:rsidR="00036F84">
        <w:rPr>
          <w:sz w:val="24"/>
        </w:rPr>
        <w:t xml:space="preserve"> monthly breach report mentioning the updated value(s)</w:t>
      </w:r>
      <w:r>
        <w:rPr>
          <w:sz w:val="24"/>
        </w:rPr>
        <w:t>.</w:t>
      </w:r>
    </w:p>
    <w:p w:rsidR="00257887" w:rsidRDefault="00257887" w:rsidP="00257887">
      <w:pPr>
        <w:pStyle w:val="ListParagraph"/>
        <w:numPr>
          <w:ilvl w:val="1"/>
          <w:numId w:val="1"/>
        </w:numPr>
        <w:rPr>
          <w:b/>
          <w:sz w:val="24"/>
        </w:rPr>
      </w:pPr>
      <w:bookmarkStart w:id="57" w:name="_Toc441070524"/>
      <w:bookmarkStart w:id="58" w:name="_Toc441070560"/>
      <w:bookmarkStart w:id="59" w:name="_Toc441070652"/>
      <w:bookmarkStart w:id="60" w:name="_Toc441070681"/>
      <w:bookmarkStart w:id="61" w:name="_Toc441070682"/>
      <w:bookmarkEnd w:id="57"/>
      <w:bookmarkEnd w:id="58"/>
      <w:bookmarkEnd w:id="59"/>
      <w:bookmarkEnd w:id="60"/>
      <w:r w:rsidRPr="00AA1EAE">
        <w:rPr>
          <w:b/>
          <w:sz w:val="24"/>
        </w:rPr>
        <w:t xml:space="preserve">Breach Escalation </w:t>
      </w:r>
    </w:p>
    <w:p w:rsidR="000C6B03" w:rsidRPr="00AA1EAE" w:rsidRDefault="000C6B03" w:rsidP="0081228A">
      <w:pPr>
        <w:pStyle w:val="ListParagraph"/>
        <w:spacing w:after="0"/>
        <w:ind w:left="680"/>
        <w:rPr>
          <w:b/>
          <w:sz w:val="24"/>
        </w:rPr>
      </w:pPr>
    </w:p>
    <w:p w:rsidR="000C6B03" w:rsidRPr="0081228A" w:rsidRDefault="00257887" w:rsidP="0081228A">
      <w:pPr>
        <w:spacing w:after="0"/>
        <w:rPr>
          <w:sz w:val="24"/>
        </w:rPr>
      </w:pPr>
      <w:r w:rsidRPr="0081228A">
        <w:rPr>
          <w:sz w:val="24"/>
        </w:rPr>
        <w:t>A monthly breach</w:t>
      </w:r>
      <w:r w:rsidR="0081228A">
        <w:rPr>
          <w:sz w:val="24"/>
        </w:rPr>
        <w:t xml:space="preserve"> </w:t>
      </w:r>
      <w:r w:rsidRPr="0081228A">
        <w:rPr>
          <w:sz w:val="24"/>
        </w:rPr>
        <w:t xml:space="preserve">inventory </w:t>
      </w:r>
      <w:r w:rsidR="0081228A">
        <w:rPr>
          <w:sz w:val="24"/>
        </w:rPr>
        <w:t>document will be submitted to</w:t>
      </w:r>
      <w:r w:rsidR="000C6B03" w:rsidRPr="0081228A">
        <w:rPr>
          <w:sz w:val="24"/>
        </w:rPr>
        <w:t xml:space="preserve"> </w:t>
      </w:r>
      <w:r w:rsidRPr="0081228A">
        <w:rPr>
          <w:sz w:val="24"/>
        </w:rPr>
        <w:t>Group</w:t>
      </w:r>
      <w:r w:rsidR="0081228A">
        <w:rPr>
          <w:sz w:val="24"/>
        </w:rPr>
        <w:t xml:space="preserve"> </w:t>
      </w:r>
      <w:r w:rsidR="0081228A" w:rsidRPr="0081228A">
        <w:rPr>
          <w:sz w:val="24"/>
        </w:rPr>
        <w:t>with the</w:t>
      </w:r>
      <w:r w:rsidR="0081228A" w:rsidRPr="0081228A">
        <w:rPr>
          <w:sz w:val="24"/>
          <w:u w:val="single"/>
        </w:rPr>
        <w:t xml:space="preserve"> breaches</w:t>
      </w:r>
      <w:r w:rsidR="0081228A">
        <w:rPr>
          <w:sz w:val="24"/>
          <w:u w:val="single"/>
        </w:rPr>
        <w:t xml:space="preserve"> from the group metrics</w:t>
      </w:r>
      <w:r w:rsidR="0081228A">
        <w:rPr>
          <w:sz w:val="24"/>
        </w:rPr>
        <w:t xml:space="preserve"> from the US RAS</w:t>
      </w:r>
      <w:r w:rsidR="000C6B03" w:rsidRPr="0081228A">
        <w:rPr>
          <w:sz w:val="24"/>
        </w:rPr>
        <w:t xml:space="preserve">. </w:t>
      </w:r>
      <w:r w:rsidR="0081228A">
        <w:rPr>
          <w:sz w:val="24"/>
        </w:rPr>
        <w:t>In the monthly breach escalation report there will be columns to explain</w:t>
      </w:r>
      <w:r w:rsidR="000C6B03" w:rsidRPr="0081228A">
        <w:rPr>
          <w:sz w:val="24"/>
        </w:rPr>
        <w:t xml:space="preserve"> </w:t>
      </w:r>
      <w:r w:rsidR="0081228A">
        <w:rPr>
          <w:sz w:val="24"/>
        </w:rPr>
        <w:t>the initial figure breach value</w:t>
      </w:r>
      <w:r w:rsidR="000C6B03" w:rsidRPr="0081228A">
        <w:rPr>
          <w:sz w:val="24"/>
        </w:rPr>
        <w:t>, the current value, the breach rational among other details.</w:t>
      </w:r>
    </w:p>
    <w:p w:rsidR="000C6B03" w:rsidRDefault="000C6B03" w:rsidP="000C6B03">
      <w:pPr>
        <w:pStyle w:val="ListParagraph"/>
        <w:spacing w:after="0"/>
        <w:rPr>
          <w:sz w:val="24"/>
        </w:rPr>
      </w:pPr>
    </w:p>
    <w:p w:rsidR="00257887" w:rsidRPr="00AA1EAE" w:rsidRDefault="000C6B03" w:rsidP="000C6B03">
      <w:pPr>
        <w:pStyle w:val="ListParagraph"/>
        <w:spacing w:after="0"/>
        <w:rPr>
          <w:sz w:val="24"/>
        </w:rPr>
      </w:pPr>
      <w:r>
        <w:rPr>
          <w:sz w:val="24"/>
        </w:rPr>
        <w:object w:dxaOrig="1551" w:dyaOrig="1004">
          <v:shape id="_x0000_i1027" type="#_x0000_t75" style="width:77.35pt;height:50.55pt" o:ole="">
            <v:imagedata r:id="rId16" o:title=""/>
          </v:shape>
          <o:OLEObject Type="Embed" ProgID="Excel.Sheet.12" ShapeID="_x0000_i1027" DrawAspect="Icon" ObjectID="_1517299080" r:id="rId17"/>
        </w:object>
      </w:r>
    </w:p>
    <w:p w:rsidR="00257887" w:rsidRPr="0081228A" w:rsidRDefault="00257887" w:rsidP="0081228A">
      <w:pPr>
        <w:spacing w:after="0"/>
        <w:rPr>
          <w:sz w:val="24"/>
        </w:rPr>
      </w:pPr>
      <w:r w:rsidRPr="0081228A">
        <w:rPr>
          <w:sz w:val="24"/>
        </w:rPr>
        <w:t>A quarterly document is submitted with a list of quarter</w:t>
      </w:r>
      <w:r w:rsidR="0081228A">
        <w:rPr>
          <w:sz w:val="24"/>
        </w:rPr>
        <w:t xml:space="preserve"> end breaches from the Group RAS.</w:t>
      </w:r>
    </w:p>
    <w:p w:rsidR="000C6B03" w:rsidRDefault="000C6B03" w:rsidP="000C6B03">
      <w:pPr>
        <w:spacing w:after="0"/>
        <w:rPr>
          <w:sz w:val="24"/>
        </w:rPr>
      </w:pPr>
    </w:p>
    <w:p w:rsidR="000C6B03" w:rsidRPr="000C6B03" w:rsidRDefault="000C6B03" w:rsidP="000C6B03">
      <w:pPr>
        <w:spacing w:after="0"/>
        <w:ind w:firstLine="680"/>
        <w:rPr>
          <w:sz w:val="24"/>
        </w:rPr>
      </w:pPr>
      <w:r>
        <w:rPr>
          <w:sz w:val="24"/>
        </w:rPr>
        <w:object w:dxaOrig="1551" w:dyaOrig="1004">
          <v:shape id="_x0000_i1028" type="#_x0000_t75" style="width:77.35pt;height:50.55pt" o:ole="">
            <v:imagedata r:id="rId18" o:title=""/>
          </v:shape>
          <o:OLEObject Type="Embed" ProgID="PowerPoint.Show.12" ShapeID="_x0000_i1028" DrawAspect="Icon" ObjectID="_1517299081" r:id="rId19"/>
        </w:object>
      </w:r>
    </w:p>
    <w:p w:rsidR="00257887" w:rsidRPr="00AA1EAE" w:rsidRDefault="00257887" w:rsidP="00257887">
      <w:pPr>
        <w:spacing w:after="0"/>
        <w:rPr>
          <w:sz w:val="24"/>
        </w:rPr>
      </w:pPr>
    </w:p>
    <w:p w:rsidR="007D245F" w:rsidRPr="00AA1EAE" w:rsidRDefault="00E6138C" w:rsidP="001241C3">
      <w:pPr>
        <w:pStyle w:val="SANUS2"/>
        <w:numPr>
          <w:ilvl w:val="1"/>
          <w:numId w:val="1"/>
        </w:numPr>
      </w:pPr>
      <w:r w:rsidRPr="00AA1EAE">
        <w:t>Submission</w:t>
      </w:r>
      <w:bookmarkEnd w:id="61"/>
      <w:r w:rsidR="00257887" w:rsidRPr="00AA1EAE">
        <w:t xml:space="preserve"> of Group reporting</w:t>
      </w:r>
    </w:p>
    <w:p w:rsidR="00B06ACA" w:rsidRPr="00AA1EAE" w:rsidRDefault="00257887" w:rsidP="001241C3">
      <w:pPr>
        <w:rPr>
          <w:sz w:val="24"/>
          <w:szCs w:val="24"/>
        </w:rPr>
      </w:pPr>
      <w:r w:rsidRPr="00AA1EAE">
        <w:rPr>
          <w:sz w:val="24"/>
          <w:szCs w:val="24"/>
        </w:rPr>
        <w:t>All</w:t>
      </w:r>
      <w:r w:rsidR="00B06ACA" w:rsidRPr="00AA1EAE">
        <w:rPr>
          <w:sz w:val="24"/>
          <w:szCs w:val="24"/>
        </w:rPr>
        <w:t xml:space="preserve"> report</w:t>
      </w:r>
      <w:r w:rsidRPr="00AA1EAE">
        <w:rPr>
          <w:sz w:val="24"/>
          <w:szCs w:val="24"/>
        </w:rPr>
        <w:t>s</w:t>
      </w:r>
      <w:r w:rsidR="00B06ACA" w:rsidRPr="00AA1EAE">
        <w:rPr>
          <w:sz w:val="24"/>
          <w:szCs w:val="24"/>
        </w:rPr>
        <w:t xml:space="preserve"> </w:t>
      </w:r>
      <w:r w:rsidRPr="00AA1EAE">
        <w:rPr>
          <w:sz w:val="24"/>
          <w:szCs w:val="24"/>
        </w:rPr>
        <w:t>are submitted via email</w:t>
      </w:r>
      <w:r w:rsidR="00B06ACA" w:rsidRPr="00AA1EAE">
        <w:rPr>
          <w:sz w:val="24"/>
          <w:szCs w:val="24"/>
        </w:rPr>
        <w:t xml:space="preserve"> to Francisco Javier </w:t>
      </w:r>
      <w:r w:rsidRPr="00AA1EAE">
        <w:rPr>
          <w:sz w:val="24"/>
          <w:szCs w:val="24"/>
        </w:rPr>
        <w:t xml:space="preserve">Moro </w:t>
      </w:r>
      <w:hyperlink r:id="rId20" w:history="1">
        <w:r w:rsidR="00B06ACA" w:rsidRPr="00AA1EAE">
          <w:rPr>
            <w:rStyle w:val="Hyperlink"/>
            <w:sz w:val="24"/>
            <w:szCs w:val="24"/>
          </w:rPr>
          <w:t>fjmoro@gruposantander.com</w:t>
        </w:r>
      </w:hyperlink>
      <w:r w:rsidR="00B06ACA" w:rsidRPr="00AA1EAE">
        <w:rPr>
          <w:sz w:val="24"/>
          <w:szCs w:val="24"/>
        </w:rPr>
        <w:t xml:space="preserve"> and </w:t>
      </w:r>
      <w:r w:rsidRPr="00AA1EAE">
        <w:rPr>
          <w:sz w:val="24"/>
          <w:szCs w:val="24"/>
        </w:rPr>
        <w:t xml:space="preserve">Luis </w:t>
      </w:r>
      <w:r w:rsidR="00B06ACA" w:rsidRPr="00AA1EAE">
        <w:rPr>
          <w:sz w:val="24"/>
          <w:szCs w:val="24"/>
        </w:rPr>
        <w:t xml:space="preserve">Sanz Extremera </w:t>
      </w:r>
      <w:hyperlink r:id="rId21" w:history="1">
        <w:r w:rsidR="00B06ACA" w:rsidRPr="00AA1EAE">
          <w:rPr>
            <w:rStyle w:val="Hyperlink"/>
            <w:sz w:val="24"/>
            <w:szCs w:val="24"/>
          </w:rPr>
          <w:t>lsanzextremera@gruposantander.com</w:t>
        </w:r>
      </w:hyperlink>
      <w:r w:rsidR="00B06ACA" w:rsidRPr="00AA1EAE">
        <w:rPr>
          <w:rStyle w:val="Hyperlink"/>
          <w:color w:val="auto"/>
          <w:sz w:val="24"/>
          <w:szCs w:val="24"/>
          <w:u w:val="none"/>
        </w:rPr>
        <w:t xml:space="preserve">. </w:t>
      </w:r>
    </w:p>
    <w:p w:rsidR="007D2256" w:rsidRDefault="007D2256" w:rsidP="009B2644">
      <w:pPr>
        <w:spacing w:after="0"/>
        <w:rPr>
          <w:sz w:val="24"/>
        </w:rPr>
      </w:pPr>
    </w:p>
    <w:p w:rsidR="00CF4FF9" w:rsidRDefault="00CF4FF9" w:rsidP="009B2644">
      <w:pPr>
        <w:spacing w:after="0"/>
        <w:rPr>
          <w:sz w:val="24"/>
        </w:rPr>
      </w:pPr>
    </w:p>
    <w:p w:rsidR="00CF4FF9" w:rsidRDefault="00CF4FF9" w:rsidP="009B2644">
      <w:pPr>
        <w:spacing w:after="0"/>
        <w:rPr>
          <w:sz w:val="24"/>
        </w:rPr>
      </w:pPr>
    </w:p>
    <w:p w:rsidR="00CF4FF9" w:rsidRDefault="00CF4FF9" w:rsidP="009B2644">
      <w:pPr>
        <w:spacing w:after="0"/>
        <w:rPr>
          <w:sz w:val="24"/>
        </w:rPr>
      </w:pPr>
    </w:p>
    <w:p w:rsidR="00CF4FF9" w:rsidRPr="00AA1EAE" w:rsidRDefault="00CF4FF9" w:rsidP="009B2644">
      <w:pPr>
        <w:spacing w:after="0"/>
        <w:rPr>
          <w:sz w:val="24"/>
        </w:rPr>
      </w:pPr>
    </w:p>
    <w:p w:rsidR="007D245F" w:rsidRPr="00AA1EAE" w:rsidRDefault="007D245F" w:rsidP="007D245F">
      <w:pPr>
        <w:pStyle w:val="SANUS1"/>
        <w:numPr>
          <w:ilvl w:val="0"/>
          <w:numId w:val="1"/>
        </w:numPr>
      </w:pPr>
      <w:bookmarkStart w:id="62" w:name="_Toc432572256"/>
      <w:bookmarkStart w:id="63" w:name="_Toc441070683"/>
      <w:r w:rsidRPr="00AA1EAE">
        <w:lastRenderedPageBreak/>
        <w:t>Document History and Version Control</w:t>
      </w:r>
      <w:bookmarkEnd w:id="62"/>
      <w:bookmarkEnd w:id="63"/>
    </w:p>
    <w:p w:rsidR="007D245F" w:rsidRPr="00AA1EAE" w:rsidRDefault="007D245F" w:rsidP="007D245F">
      <w:pPr>
        <w:pStyle w:val="SANUS2"/>
        <w:numPr>
          <w:ilvl w:val="1"/>
          <w:numId w:val="1"/>
        </w:numPr>
        <w:tabs>
          <w:tab w:val="clear" w:pos="567"/>
          <w:tab w:val="num" w:pos="657"/>
        </w:tabs>
        <w:ind w:left="770"/>
      </w:pPr>
      <w:bookmarkStart w:id="64" w:name="_Toc373835344"/>
      <w:bookmarkStart w:id="65" w:name="_Toc424570375"/>
      <w:bookmarkStart w:id="66" w:name="_Toc432572257"/>
      <w:bookmarkStart w:id="67" w:name="_Toc441070684"/>
      <w:r w:rsidRPr="00AA1EAE">
        <w:t>Ownership and Authorship</w:t>
      </w:r>
      <w:bookmarkEnd w:id="64"/>
      <w:bookmarkEnd w:id="65"/>
      <w:bookmarkEnd w:id="66"/>
      <w:bookmarkEnd w:id="67"/>
    </w:p>
    <w:tbl>
      <w:tblPr>
        <w:tblW w:w="508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33"/>
        <w:gridCol w:w="1486"/>
        <w:gridCol w:w="1439"/>
        <w:gridCol w:w="2028"/>
        <w:gridCol w:w="3553"/>
      </w:tblGrid>
      <w:tr w:rsidR="007D245F" w:rsidRPr="00AA1EAE" w:rsidTr="00E6138C">
        <w:trPr>
          <w:trHeight w:val="246"/>
        </w:trPr>
        <w:tc>
          <w:tcPr>
            <w:tcW w:w="633" w:type="pct"/>
            <w:tcBorders>
              <w:top w:val="single" w:sz="6" w:space="0" w:color="auto"/>
              <w:left w:val="single" w:sz="6" w:space="0" w:color="auto"/>
              <w:bottom w:val="single" w:sz="6" w:space="0" w:color="auto"/>
              <w:right w:val="single" w:sz="6" w:space="0" w:color="auto"/>
            </w:tcBorders>
            <w:shd w:val="clear" w:color="auto" w:fill="FF0000"/>
            <w:vAlign w:val="center"/>
          </w:tcPr>
          <w:p w:rsidR="007D245F" w:rsidRPr="00AA1EAE" w:rsidRDefault="007D245F" w:rsidP="00E6138C">
            <w:pPr>
              <w:pStyle w:val="Text"/>
              <w:spacing w:before="120" w:after="0"/>
              <w:rPr>
                <w:rFonts w:ascii="Calibri" w:hAnsi="Calibri" w:cs="Calibri"/>
                <w:b/>
                <w:bCs/>
                <w:color w:val="FFFFFF"/>
              </w:rPr>
            </w:pPr>
            <w:r w:rsidRPr="00AA1EAE">
              <w:rPr>
                <w:rFonts w:ascii="Calibri" w:hAnsi="Calibri" w:cs="Calibri"/>
                <w:b/>
                <w:bCs/>
                <w:color w:val="FFFFFF"/>
              </w:rPr>
              <w:t>Version</w:t>
            </w:r>
          </w:p>
        </w:tc>
        <w:tc>
          <w:tcPr>
            <w:tcW w:w="763" w:type="pct"/>
            <w:tcBorders>
              <w:top w:val="single" w:sz="6" w:space="0" w:color="auto"/>
              <w:left w:val="single" w:sz="6" w:space="0" w:color="auto"/>
              <w:bottom w:val="single" w:sz="6" w:space="0" w:color="auto"/>
              <w:right w:val="single" w:sz="6" w:space="0" w:color="auto"/>
            </w:tcBorders>
            <w:shd w:val="clear" w:color="auto" w:fill="FF0000"/>
          </w:tcPr>
          <w:p w:rsidR="007D245F" w:rsidRPr="00AA1EAE" w:rsidRDefault="007D245F" w:rsidP="00E6138C">
            <w:pPr>
              <w:pStyle w:val="Text"/>
              <w:spacing w:before="120" w:after="0"/>
              <w:rPr>
                <w:rFonts w:ascii="Calibri" w:hAnsi="Calibri" w:cs="Calibri"/>
                <w:b/>
                <w:bCs/>
                <w:color w:val="FFFFFF"/>
              </w:rPr>
            </w:pPr>
            <w:r w:rsidRPr="00AA1EAE">
              <w:rPr>
                <w:rFonts w:ascii="Calibri" w:hAnsi="Calibri" w:cs="Calibri"/>
                <w:b/>
                <w:bCs/>
                <w:color w:val="FFFFFF"/>
              </w:rPr>
              <w:t>Date</w:t>
            </w:r>
          </w:p>
        </w:tc>
        <w:tc>
          <w:tcPr>
            <w:tcW w:w="739" w:type="pct"/>
            <w:tcBorders>
              <w:top w:val="single" w:sz="6" w:space="0" w:color="auto"/>
              <w:left w:val="single" w:sz="6" w:space="0" w:color="auto"/>
              <w:bottom w:val="single" w:sz="6" w:space="0" w:color="auto"/>
              <w:right w:val="single" w:sz="6" w:space="0" w:color="auto"/>
            </w:tcBorders>
            <w:shd w:val="clear" w:color="auto" w:fill="FF0000"/>
            <w:vAlign w:val="center"/>
          </w:tcPr>
          <w:p w:rsidR="007D245F" w:rsidRPr="00AA1EAE" w:rsidRDefault="007D245F" w:rsidP="00E6138C">
            <w:pPr>
              <w:pStyle w:val="Text"/>
              <w:spacing w:before="120" w:after="0"/>
              <w:rPr>
                <w:rFonts w:ascii="Calibri" w:hAnsi="Calibri" w:cs="Calibri"/>
                <w:b/>
                <w:bCs/>
                <w:color w:val="FFFFFF"/>
              </w:rPr>
            </w:pPr>
            <w:r w:rsidRPr="00AA1EAE">
              <w:rPr>
                <w:rFonts w:ascii="Calibri" w:hAnsi="Calibri" w:cs="Calibri"/>
                <w:b/>
                <w:bCs/>
                <w:color w:val="FFFFFF"/>
              </w:rPr>
              <w:t>Author</w:t>
            </w:r>
          </w:p>
        </w:tc>
        <w:tc>
          <w:tcPr>
            <w:tcW w:w="1041" w:type="pct"/>
            <w:tcBorders>
              <w:top w:val="single" w:sz="6" w:space="0" w:color="auto"/>
              <w:left w:val="single" w:sz="6" w:space="0" w:color="auto"/>
              <w:bottom w:val="single" w:sz="6" w:space="0" w:color="auto"/>
              <w:right w:val="single" w:sz="6" w:space="0" w:color="auto"/>
            </w:tcBorders>
            <w:shd w:val="clear" w:color="auto" w:fill="FF0000"/>
          </w:tcPr>
          <w:p w:rsidR="007D245F" w:rsidRPr="00AA1EAE" w:rsidRDefault="007D245F" w:rsidP="00E6138C">
            <w:pPr>
              <w:pStyle w:val="Text"/>
              <w:spacing w:before="120" w:after="0"/>
              <w:rPr>
                <w:rFonts w:ascii="Calibri" w:hAnsi="Calibri" w:cs="Calibri"/>
                <w:b/>
                <w:bCs/>
                <w:color w:val="FFFFFF"/>
              </w:rPr>
            </w:pPr>
            <w:r w:rsidRPr="00AA1EAE">
              <w:rPr>
                <w:rFonts w:ascii="Calibri" w:hAnsi="Calibri" w:cs="Calibri"/>
                <w:b/>
                <w:bCs/>
                <w:color w:val="FFFFFF"/>
              </w:rPr>
              <w:t>Owner</w:t>
            </w:r>
          </w:p>
        </w:tc>
        <w:tc>
          <w:tcPr>
            <w:tcW w:w="1824" w:type="pct"/>
            <w:tcBorders>
              <w:top w:val="single" w:sz="6" w:space="0" w:color="auto"/>
              <w:left w:val="single" w:sz="6" w:space="0" w:color="auto"/>
              <w:bottom w:val="single" w:sz="6" w:space="0" w:color="auto"/>
              <w:right w:val="single" w:sz="6" w:space="0" w:color="auto"/>
            </w:tcBorders>
            <w:shd w:val="clear" w:color="auto" w:fill="FF0000"/>
          </w:tcPr>
          <w:p w:rsidR="007D245F" w:rsidRPr="00AA1EAE" w:rsidRDefault="007D245F" w:rsidP="00E6138C">
            <w:pPr>
              <w:pStyle w:val="Text"/>
              <w:spacing w:before="120" w:after="0"/>
              <w:rPr>
                <w:rFonts w:ascii="Calibri" w:hAnsi="Calibri" w:cs="Calibri"/>
                <w:b/>
                <w:bCs/>
                <w:color w:val="FFFFFF"/>
              </w:rPr>
            </w:pPr>
            <w:r w:rsidRPr="00AA1EAE">
              <w:rPr>
                <w:rFonts w:ascii="Calibri" w:hAnsi="Calibri" w:cs="Calibri"/>
                <w:b/>
                <w:bCs/>
                <w:color w:val="FFFFFF"/>
              </w:rPr>
              <w:t>Change</w:t>
            </w:r>
          </w:p>
        </w:tc>
      </w:tr>
      <w:tr w:rsidR="007D245F" w:rsidRPr="00AA1EAE" w:rsidTr="00E6138C">
        <w:trPr>
          <w:trHeight w:val="206"/>
        </w:trPr>
        <w:tc>
          <w:tcPr>
            <w:tcW w:w="633" w:type="pct"/>
            <w:tcBorders>
              <w:top w:val="single" w:sz="6" w:space="0" w:color="auto"/>
              <w:left w:val="single" w:sz="6" w:space="0" w:color="auto"/>
              <w:bottom w:val="single" w:sz="6" w:space="0" w:color="auto"/>
              <w:right w:val="single" w:sz="6" w:space="0" w:color="auto"/>
            </w:tcBorders>
          </w:tcPr>
          <w:p w:rsidR="007D245F" w:rsidRPr="00AA1EAE" w:rsidRDefault="007D245F" w:rsidP="00E6138C">
            <w:pPr>
              <w:pStyle w:val="Text"/>
              <w:spacing w:before="120" w:after="0"/>
              <w:jc w:val="left"/>
              <w:rPr>
                <w:rFonts w:ascii="Calibri" w:hAnsi="Calibri" w:cs="Calibri"/>
                <w:sz w:val="20"/>
                <w:szCs w:val="20"/>
              </w:rPr>
            </w:pPr>
            <w:r w:rsidRPr="00AA1EAE">
              <w:rPr>
                <w:rFonts w:ascii="Calibri" w:hAnsi="Calibri" w:cs="Calibri"/>
                <w:sz w:val="20"/>
                <w:szCs w:val="20"/>
              </w:rPr>
              <w:t>1.0</w:t>
            </w:r>
          </w:p>
        </w:tc>
        <w:tc>
          <w:tcPr>
            <w:tcW w:w="763" w:type="pct"/>
            <w:tcBorders>
              <w:top w:val="single" w:sz="6" w:space="0" w:color="auto"/>
              <w:left w:val="single" w:sz="6" w:space="0" w:color="auto"/>
              <w:bottom w:val="single" w:sz="6" w:space="0" w:color="auto"/>
              <w:right w:val="single" w:sz="6" w:space="0" w:color="auto"/>
            </w:tcBorders>
          </w:tcPr>
          <w:p w:rsidR="007D245F" w:rsidRPr="00AA1EAE" w:rsidRDefault="007D245F" w:rsidP="00E6138C">
            <w:pPr>
              <w:pStyle w:val="Text"/>
              <w:spacing w:before="120" w:after="0"/>
              <w:jc w:val="left"/>
              <w:rPr>
                <w:rFonts w:ascii="Calibri" w:hAnsi="Calibri" w:cs="Calibri"/>
                <w:sz w:val="20"/>
                <w:szCs w:val="20"/>
              </w:rPr>
            </w:pPr>
            <w:r w:rsidRPr="00AA1EAE">
              <w:rPr>
                <w:rFonts w:ascii="Calibri" w:hAnsi="Calibri" w:cs="Calibri"/>
                <w:sz w:val="20"/>
                <w:szCs w:val="20"/>
              </w:rPr>
              <w:t>November 2015</w:t>
            </w:r>
          </w:p>
        </w:tc>
        <w:tc>
          <w:tcPr>
            <w:tcW w:w="739" w:type="pct"/>
            <w:tcBorders>
              <w:top w:val="single" w:sz="6" w:space="0" w:color="auto"/>
              <w:left w:val="single" w:sz="6" w:space="0" w:color="auto"/>
              <w:bottom w:val="single" w:sz="6" w:space="0" w:color="auto"/>
              <w:right w:val="single" w:sz="6" w:space="0" w:color="auto"/>
            </w:tcBorders>
          </w:tcPr>
          <w:p w:rsidR="007D245F" w:rsidRPr="00AA1EAE" w:rsidRDefault="007D245F" w:rsidP="00E6138C">
            <w:pPr>
              <w:pStyle w:val="Text"/>
              <w:spacing w:before="120" w:after="0"/>
              <w:jc w:val="left"/>
              <w:rPr>
                <w:rFonts w:ascii="Calibri" w:hAnsi="Calibri" w:cs="Calibri"/>
                <w:sz w:val="20"/>
                <w:szCs w:val="20"/>
              </w:rPr>
            </w:pPr>
            <w:r w:rsidRPr="00AA1EAE">
              <w:rPr>
                <w:rFonts w:ascii="Calibri" w:hAnsi="Calibri" w:cs="Calibri"/>
                <w:sz w:val="20"/>
                <w:szCs w:val="20"/>
              </w:rPr>
              <w:t>Risk Appetite Function</w:t>
            </w:r>
          </w:p>
        </w:tc>
        <w:tc>
          <w:tcPr>
            <w:tcW w:w="1041" w:type="pct"/>
            <w:tcBorders>
              <w:top w:val="single" w:sz="6" w:space="0" w:color="auto"/>
              <w:left w:val="single" w:sz="6" w:space="0" w:color="auto"/>
              <w:bottom w:val="single" w:sz="6" w:space="0" w:color="auto"/>
              <w:right w:val="single" w:sz="6" w:space="0" w:color="auto"/>
            </w:tcBorders>
          </w:tcPr>
          <w:p w:rsidR="007D245F" w:rsidRPr="00AA1EAE" w:rsidRDefault="007D245F" w:rsidP="00E6138C">
            <w:pPr>
              <w:pStyle w:val="Text"/>
              <w:spacing w:before="120" w:after="0"/>
              <w:jc w:val="left"/>
              <w:rPr>
                <w:rFonts w:ascii="Calibri" w:hAnsi="Calibri" w:cs="Calibri"/>
                <w:sz w:val="20"/>
                <w:szCs w:val="20"/>
              </w:rPr>
            </w:pPr>
            <w:r w:rsidRPr="00AA1EAE">
              <w:rPr>
                <w:rFonts w:ascii="Calibri" w:hAnsi="Calibri" w:cs="Calibri"/>
                <w:sz w:val="20"/>
                <w:szCs w:val="20"/>
              </w:rPr>
              <w:t>Risk appetite team</w:t>
            </w:r>
          </w:p>
        </w:tc>
        <w:tc>
          <w:tcPr>
            <w:tcW w:w="1824" w:type="pct"/>
            <w:tcBorders>
              <w:top w:val="single" w:sz="6" w:space="0" w:color="auto"/>
              <w:left w:val="single" w:sz="6" w:space="0" w:color="auto"/>
              <w:bottom w:val="single" w:sz="6" w:space="0" w:color="auto"/>
              <w:right w:val="single" w:sz="6" w:space="0" w:color="auto"/>
            </w:tcBorders>
          </w:tcPr>
          <w:p w:rsidR="007D245F" w:rsidRPr="00AA1EAE" w:rsidRDefault="007D245F" w:rsidP="00E6138C">
            <w:pPr>
              <w:pStyle w:val="Text"/>
              <w:spacing w:before="120" w:after="0"/>
              <w:jc w:val="left"/>
              <w:rPr>
                <w:rFonts w:ascii="Calibri" w:hAnsi="Calibri" w:cs="Calibri"/>
                <w:sz w:val="20"/>
                <w:szCs w:val="20"/>
              </w:rPr>
            </w:pPr>
            <w:r w:rsidRPr="00AA1EAE">
              <w:rPr>
                <w:rFonts w:ascii="Calibri" w:hAnsi="Calibri" w:cs="Calibri"/>
                <w:sz w:val="20"/>
                <w:szCs w:val="20"/>
              </w:rPr>
              <w:t>First Collection document</w:t>
            </w:r>
          </w:p>
        </w:tc>
      </w:tr>
      <w:tr w:rsidR="0004261C" w:rsidRPr="00AA1EAE" w:rsidTr="00E6138C">
        <w:trPr>
          <w:trHeight w:val="206"/>
        </w:trPr>
        <w:tc>
          <w:tcPr>
            <w:tcW w:w="633" w:type="pct"/>
            <w:tcBorders>
              <w:top w:val="single" w:sz="6" w:space="0" w:color="auto"/>
              <w:left w:val="single" w:sz="6" w:space="0" w:color="auto"/>
              <w:bottom w:val="single" w:sz="6" w:space="0" w:color="auto"/>
              <w:right w:val="single" w:sz="6" w:space="0" w:color="auto"/>
            </w:tcBorders>
          </w:tcPr>
          <w:p w:rsidR="0004261C" w:rsidRPr="00AA1EAE" w:rsidRDefault="0004261C" w:rsidP="00E6138C">
            <w:pPr>
              <w:pStyle w:val="Text"/>
              <w:spacing w:before="120" w:after="0"/>
              <w:jc w:val="left"/>
              <w:rPr>
                <w:rFonts w:ascii="Calibri" w:hAnsi="Calibri" w:cs="Calibri"/>
                <w:sz w:val="20"/>
                <w:szCs w:val="20"/>
              </w:rPr>
            </w:pPr>
            <w:r w:rsidRPr="00AA1EAE">
              <w:rPr>
                <w:rFonts w:ascii="Calibri" w:hAnsi="Calibri" w:cs="Calibri"/>
                <w:sz w:val="20"/>
                <w:szCs w:val="20"/>
              </w:rPr>
              <w:t>2.0</w:t>
            </w:r>
          </w:p>
        </w:tc>
        <w:tc>
          <w:tcPr>
            <w:tcW w:w="763" w:type="pct"/>
            <w:tcBorders>
              <w:top w:val="single" w:sz="6" w:space="0" w:color="auto"/>
              <w:left w:val="single" w:sz="6" w:space="0" w:color="auto"/>
              <w:bottom w:val="single" w:sz="6" w:space="0" w:color="auto"/>
              <w:right w:val="single" w:sz="6" w:space="0" w:color="auto"/>
            </w:tcBorders>
          </w:tcPr>
          <w:p w:rsidR="0004261C" w:rsidRPr="00AA1EAE" w:rsidRDefault="0004261C" w:rsidP="00E6138C">
            <w:pPr>
              <w:pStyle w:val="Text"/>
              <w:spacing w:before="120" w:after="0"/>
              <w:jc w:val="left"/>
              <w:rPr>
                <w:rFonts w:ascii="Calibri" w:hAnsi="Calibri" w:cs="Calibri"/>
                <w:sz w:val="20"/>
                <w:szCs w:val="20"/>
              </w:rPr>
            </w:pPr>
            <w:r w:rsidRPr="00AA1EAE">
              <w:rPr>
                <w:rFonts w:ascii="Calibri" w:hAnsi="Calibri" w:cs="Calibri"/>
                <w:sz w:val="20"/>
                <w:szCs w:val="20"/>
              </w:rPr>
              <w:t>Jan 2015</w:t>
            </w:r>
          </w:p>
        </w:tc>
        <w:tc>
          <w:tcPr>
            <w:tcW w:w="739" w:type="pct"/>
            <w:tcBorders>
              <w:top w:val="single" w:sz="6" w:space="0" w:color="auto"/>
              <w:left w:val="single" w:sz="6" w:space="0" w:color="auto"/>
              <w:bottom w:val="single" w:sz="6" w:space="0" w:color="auto"/>
              <w:right w:val="single" w:sz="6" w:space="0" w:color="auto"/>
            </w:tcBorders>
          </w:tcPr>
          <w:p w:rsidR="0004261C" w:rsidRPr="00AA1EAE" w:rsidRDefault="007D2256" w:rsidP="007D2256">
            <w:pPr>
              <w:pStyle w:val="Text"/>
              <w:spacing w:before="120" w:after="0"/>
              <w:jc w:val="left"/>
              <w:rPr>
                <w:rFonts w:ascii="Calibri" w:hAnsi="Calibri" w:cs="Calibri"/>
                <w:sz w:val="20"/>
                <w:szCs w:val="20"/>
              </w:rPr>
            </w:pPr>
            <w:r w:rsidRPr="00AA1EAE">
              <w:rPr>
                <w:rFonts w:ascii="Calibri" w:hAnsi="Calibri" w:cs="Calibri"/>
                <w:sz w:val="20"/>
                <w:szCs w:val="20"/>
              </w:rPr>
              <w:t>Risk Appetite Functi</w:t>
            </w:r>
            <w:r w:rsidR="0004261C" w:rsidRPr="00AA1EAE">
              <w:rPr>
                <w:rFonts w:ascii="Calibri" w:hAnsi="Calibri" w:cs="Calibri"/>
                <w:sz w:val="20"/>
                <w:szCs w:val="20"/>
              </w:rPr>
              <w:t>on</w:t>
            </w:r>
          </w:p>
        </w:tc>
        <w:tc>
          <w:tcPr>
            <w:tcW w:w="1041" w:type="pct"/>
            <w:tcBorders>
              <w:top w:val="single" w:sz="6" w:space="0" w:color="auto"/>
              <w:left w:val="single" w:sz="6" w:space="0" w:color="auto"/>
              <w:bottom w:val="single" w:sz="6" w:space="0" w:color="auto"/>
              <w:right w:val="single" w:sz="6" w:space="0" w:color="auto"/>
            </w:tcBorders>
          </w:tcPr>
          <w:p w:rsidR="0004261C" w:rsidRPr="00AA1EAE" w:rsidRDefault="0004261C" w:rsidP="00E6138C">
            <w:pPr>
              <w:pStyle w:val="Text"/>
              <w:spacing w:before="120" w:after="0"/>
              <w:jc w:val="left"/>
              <w:rPr>
                <w:rFonts w:ascii="Calibri" w:hAnsi="Calibri" w:cs="Calibri"/>
                <w:sz w:val="20"/>
                <w:szCs w:val="20"/>
              </w:rPr>
            </w:pPr>
            <w:r w:rsidRPr="00AA1EAE">
              <w:rPr>
                <w:rFonts w:ascii="Calibri" w:hAnsi="Calibri" w:cs="Calibri"/>
                <w:sz w:val="20"/>
                <w:szCs w:val="20"/>
              </w:rPr>
              <w:t>Risk appetite team</w:t>
            </w:r>
          </w:p>
        </w:tc>
        <w:tc>
          <w:tcPr>
            <w:tcW w:w="1824" w:type="pct"/>
            <w:tcBorders>
              <w:top w:val="single" w:sz="6" w:space="0" w:color="auto"/>
              <w:left w:val="single" w:sz="6" w:space="0" w:color="auto"/>
              <w:bottom w:val="single" w:sz="6" w:space="0" w:color="auto"/>
              <w:right w:val="single" w:sz="6" w:space="0" w:color="auto"/>
            </w:tcBorders>
          </w:tcPr>
          <w:p w:rsidR="0004261C" w:rsidRPr="00AA1EAE" w:rsidRDefault="0004261C" w:rsidP="00E6138C">
            <w:pPr>
              <w:pStyle w:val="Text"/>
              <w:spacing w:before="120" w:after="0"/>
              <w:jc w:val="left"/>
              <w:rPr>
                <w:rFonts w:ascii="Calibri" w:hAnsi="Calibri" w:cs="Calibri"/>
                <w:sz w:val="20"/>
                <w:szCs w:val="20"/>
              </w:rPr>
            </w:pPr>
            <w:r w:rsidRPr="00AA1EAE">
              <w:rPr>
                <w:rFonts w:ascii="Calibri" w:hAnsi="Calibri" w:cs="Calibri"/>
                <w:sz w:val="20"/>
                <w:szCs w:val="20"/>
              </w:rPr>
              <w:t>Escalation documents</w:t>
            </w:r>
          </w:p>
        </w:tc>
      </w:tr>
      <w:tr w:rsidR="007D2256" w:rsidRPr="00BF7CAB" w:rsidTr="00E6138C">
        <w:trPr>
          <w:trHeight w:val="206"/>
        </w:trPr>
        <w:tc>
          <w:tcPr>
            <w:tcW w:w="633" w:type="pct"/>
            <w:tcBorders>
              <w:top w:val="single" w:sz="6" w:space="0" w:color="auto"/>
              <w:left w:val="single" w:sz="6" w:space="0" w:color="auto"/>
              <w:bottom w:val="single" w:sz="6" w:space="0" w:color="auto"/>
              <w:right w:val="single" w:sz="6" w:space="0" w:color="auto"/>
            </w:tcBorders>
          </w:tcPr>
          <w:p w:rsidR="007D2256" w:rsidRPr="00AA1EAE" w:rsidRDefault="007D2256" w:rsidP="00E6138C">
            <w:pPr>
              <w:pStyle w:val="Text"/>
              <w:spacing w:before="120" w:after="0"/>
              <w:jc w:val="left"/>
              <w:rPr>
                <w:rFonts w:ascii="Calibri" w:hAnsi="Calibri" w:cs="Calibri"/>
                <w:sz w:val="20"/>
                <w:szCs w:val="20"/>
              </w:rPr>
            </w:pPr>
            <w:r w:rsidRPr="00AA1EAE">
              <w:rPr>
                <w:rFonts w:ascii="Calibri" w:hAnsi="Calibri" w:cs="Calibri"/>
                <w:sz w:val="20"/>
                <w:szCs w:val="20"/>
              </w:rPr>
              <w:t>3.0</w:t>
            </w:r>
          </w:p>
        </w:tc>
        <w:tc>
          <w:tcPr>
            <w:tcW w:w="763" w:type="pct"/>
            <w:tcBorders>
              <w:top w:val="single" w:sz="6" w:space="0" w:color="auto"/>
              <w:left w:val="single" w:sz="6" w:space="0" w:color="auto"/>
              <w:bottom w:val="single" w:sz="6" w:space="0" w:color="auto"/>
              <w:right w:val="single" w:sz="6" w:space="0" w:color="auto"/>
            </w:tcBorders>
          </w:tcPr>
          <w:p w:rsidR="007D2256" w:rsidRPr="00AA1EAE" w:rsidRDefault="007D2256" w:rsidP="00E6138C">
            <w:pPr>
              <w:pStyle w:val="Text"/>
              <w:spacing w:before="120" w:after="0"/>
              <w:jc w:val="left"/>
              <w:rPr>
                <w:rFonts w:ascii="Calibri" w:hAnsi="Calibri" w:cs="Calibri"/>
                <w:sz w:val="20"/>
                <w:szCs w:val="20"/>
              </w:rPr>
            </w:pPr>
            <w:r w:rsidRPr="00AA1EAE">
              <w:rPr>
                <w:rFonts w:ascii="Calibri" w:hAnsi="Calibri" w:cs="Calibri"/>
                <w:sz w:val="20"/>
                <w:szCs w:val="20"/>
              </w:rPr>
              <w:t>Jan 2015</w:t>
            </w:r>
          </w:p>
        </w:tc>
        <w:tc>
          <w:tcPr>
            <w:tcW w:w="739" w:type="pct"/>
            <w:tcBorders>
              <w:top w:val="single" w:sz="6" w:space="0" w:color="auto"/>
              <w:left w:val="single" w:sz="6" w:space="0" w:color="auto"/>
              <w:bottom w:val="single" w:sz="6" w:space="0" w:color="auto"/>
              <w:right w:val="single" w:sz="6" w:space="0" w:color="auto"/>
            </w:tcBorders>
          </w:tcPr>
          <w:p w:rsidR="007D2256" w:rsidRPr="00AA1EAE" w:rsidRDefault="007D2256" w:rsidP="00E6138C">
            <w:pPr>
              <w:pStyle w:val="Text"/>
              <w:spacing w:before="120" w:after="0"/>
              <w:jc w:val="left"/>
              <w:rPr>
                <w:rFonts w:ascii="Calibri" w:hAnsi="Calibri" w:cs="Calibri"/>
                <w:sz w:val="20"/>
                <w:szCs w:val="20"/>
              </w:rPr>
            </w:pPr>
            <w:r w:rsidRPr="00AA1EAE">
              <w:rPr>
                <w:rFonts w:ascii="Calibri" w:hAnsi="Calibri" w:cs="Calibri"/>
                <w:sz w:val="20"/>
                <w:szCs w:val="20"/>
              </w:rPr>
              <w:t>Risk Appetite Function</w:t>
            </w:r>
          </w:p>
        </w:tc>
        <w:tc>
          <w:tcPr>
            <w:tcW w:w="1041" w:type="pct"/>
            <w:tcBorders>
              <w:top w:val="single" w:sz="6" w:space="0" w:color="auto"/>
              <w:left w:val="single" w:sz="6" w:space="0" w:color="auto"/>
              <w:bottom w:val="single" w:sz="6" w:space="0" w:color="auto"/>
              <w:right w:val="single" w:sz="6" w:space="0" w:color="auto"/>
            </w:tcBorders>
          </w:tcPr>
          <w:p w:rsidR="007D2256" w:rsidRPr="00AA1EAE" w:rsidRDefault="007D2256" w:rsidP="00E6138C">
            <w:pPr>
              <w:pStyle w:val="Text"/>
              <w:spacing w:before="120" w:after="0"/>
              <w:jc w:val="left"/>
              <w:rPr>
                <w:rFonts w:ascii="Calibri" w:hAnsi="Calibri" w:cs="Calibri"/>
                <w:sz w:val="20"/>
                <w:szCs w:val="20"/>
              </w:rPr>
            </w:pPr>
            <w:r w:rsidRPr="00AA1EAE">
              <w:rPr>
                <w:rFonts w:ascii="Calibri" w:hAnsi="Calibri" w:cs="Calibri"/>
                <w:sz w:val="20"/>
                <w:szCs w:val="20"/>
              </w:rPr>
              <w:t>Risk appetite team</w:t>
            </w:r>
          </w:p>
        </w:tc>
        <w:tc>
          <w:tcPr>
            <w:tcW w:w="1824" w:type="pct"/>
            <w:tcBorders>
              <w:top w:val="single" w:sz="6" w:space="0" w:color="auto"/>
              <w:left w:val="single" w:sz="6" w:space="0" w:color="auto"/>
              <w:bottom w:val="single" w:sz="6" w:space="0" w:color="auto"/>
              <w:right w:val="single" w:sz="6" w:space="0" w:color="auto"/>
            </w:tcBorders>
          </w:tcPr>
          <w:p w:rsidR="007D2256" w:rsidRDefault="007D2256" w:rsidP="00E6138C">
            <w:pPr>
              <w:pStyle w:val="Text"/>
              <w:spacing w:before="120" w:after="0"/>
              <w:jc w:val="left"/>
              <w:rPr>
                <w:rFonts w:ascii="Calibri" w:hAnsi="Calibri" w:cs="Calibri"/>
                <w:sz w:val="20"/>
                <w:szCs w:val="20"/>
              </w:rPr>
            </w:pPr>
            <w:r w:rsidRPr="00AA1EAE">
              <w:rPr>
                <w:rFonts w:ascii="Calibri" w:hAnsi="Calibri" w:cs="Calibri"/>
                <w:sz w:val="20"/>
                <w:szCs w:val="20"/>
              </w:rPr>
              <w:t>(Beatriz correction) Explanations of each section</w:t>
            </w:r>
          </w:p>
        </w:tc>
      </w:tr>
      <w:tr w:rsidR="00AA400A" w:rsidRPr="00BF7CAB" w:rsidTr="00E6138C">
        <w:trPr>
          <w:trHeight w:val="206"/>
        </w:trPr>
        <w:tc>
          <w:tcPr>
            <w:tcW w:w="633" w:type="pct"/>
            <w:tcBorders>
              <w:top w:val="single" w:sz="6" w:space="0" w:color="auto"/>
              <w:left w:val="single" w:sz="6" w:space="0" w:color="auto"/>
              <w:bottom w:val="single" w:sz="6" w:space="0" w:color="auto"/>
              <w:right w:val="single" w:sz="6" w:space="0" w:color="auto"/>
            </w:tcBorders>
          </w:tcPr>
          <w:p w:rsidR="00AA400A" w:rsidRPr="00AA1EAE" w:rsidRDefault="00AA400A" w:rsidP="00E6138C">
            <w:pPr>
              <w:pStyle w:val="Text"/>
              <w:spacing w:before="120" w:after="0"/>
              <w:jc w:val="left"/>
              <w:rPr>
                <w:rFonts w:ascii="Calibri" w:hAnsi="Calibri" w:cs="Calibri"/>
                <w:sz w:val="20"/>
                <w:szCs w:val="20"/>
              </w:rPr>
            </w:pPr>
            <w:r>
              <w:rPr>
                <w:rFonts w:ascii="Calibri" w:hAnsi="Calibri" w:cs="Calibri"/>
                <w:sz w:val="20"/>
                <w:szCs w:val="20"/>
              </w:rPr>
              <w:t>4.0</w:t>
            </w:r>
          </w:p>
        </w:tc>
        <w:tc>
          <w:tcPr>
            <w:tcW w:w="763" w:type="pct"/>
            <w:tcBorders>
              <w:top w:val="single" w:sz="6" w:space="0" w:color="auto"/>
              <w:left w:val="single" w:sz="6" w:space="0" w:color="auto"/>
              <w:bottom w:val="single" w:sz="6" w:space="0" w:color="auto"/>
              <w:right w:val="single" w:sz="6" w:space="0" w:color="auto"/>
            </w:tcBorders>
          </w:tcPr>
          <w:p w:rsidR="00AA400A" w:rsidRPr="00AA1EAE" w:rsidRDefault="00AA400A" w:rsidP="00E6138C">
            <w:pPr>
              <w:pStyle w:val="Text"/>
              <w:spacing w:before="120" w:after="0"/>
              <w:jc w:val="left"/>
              <w:rPr>
                <w:rFonts w:ascii="Calibri" w:hAnsi="Calibri" w:cs="Calibri"/>
                <w:sz w:val="20"/>
                <w:szCs w:val="20"/>
              </w:rPr>
            </w:pPr>
            <w:r>
              <w:rPr>
                <w:rFonts w:ascii="Calibri" w:hAnsi="Calibri" w:cs="Calibri"/>
                <w:sz w:val="20"/>
                <w:szCs w:val="20"/>
              </w:rPr>
              <w:t>Feb 2015</w:t>
            </w:r>
          </w:p>
        </w:tc>
        <w:tc>
          <w:tcPr>
            <w:tcW w:w="739" w:type="pct"/>
            <w:tcBorders>
              <w:top w:val="single" w:sz="6" w:space="0" w:color="auto"/>
              <w:left w:val="single" w:sz="6" w:space="0" w:color="auto"/>
              <w:bottom w:val="single" w:sz="6" w:space="0" w:color="auto"/>
              <w:right w:val="single" w:sz="6" w:space="0" w:color="auto"/>
            </w:tcBorders>
          </w:tcPr>
          <w:p w:rsidR="00AA400A" w:rsidRPr="00AA1EAE" w:rsidRDefault="00AA400A" w:rsidP="008F1C6E">
            <w:pPr>
              <w:pStyle w:val="Text"/>
              <w:spacing w:before="120" w:after="0"/>
              <w:jc w:val="left"/>
              <w:rPr>
                <w:rFonts w:ascii="Calibri" w:hAnsi="Calibri" w:cs="Calibri"/>
                <w:sz w:val="20"/>
                <w:szCs w:val="20"/>
              </w:rPr>
            </w:pPr>
            <w:r w:rsidRPr="00AA1EAE">
              <w:rPr>
                <w:rFonts w:ascii="Calibri" w:hAnsi="Calibri" w:cs="Calibri"/>
                <w:sz w:val="20"/>
                <w:szCs w:val="20"/>
              </w:rPr>
              <w:t>Risk Appetite Function</w:t>
            </w:r>
          </w:p>
        </w:tc>
        <w:tc>
          <w:tcPr>
            <w:tcW w:w="1041" w:type="pct"/>
            <w:tcBorders>
              <w:top w:val="single" w:sz="6" w:space="0" w:color="auto"/>
              <w:left w:val="single" w:sz="6" w:space="0" w:color="auto"/>
              <w:bottom w:val="single" w:sz="6" w:space="0" w:color="auto"/>
              <w:right w:val="single" w:sz="6" w:space="0" w:color="auto"/>
            </w:tcBorders>
          </w:tcPr>
          <w:p w:rsidR="00AA400A" w:rsidRPr="00AA1EAE" w:rsidRDefault="00AA400A" w:rsidP="008F1C6E">
            <w:pPr>
              <w:pStyle w:val="Text"/>
              <w:spacing w:before="120" w:after="0"/>
              <w:jc w:val="left"/>
              <w:rPr>
                <w:rFonts w:ascii="Calibri" w:hAnsi="Calibri" w:cs="Calibri"/>
                <w:sz w:val="20"/>
                <w:szCs w:val="20"/>
              </w:rPr>
            </w:pPr>
            <w:r w:rsidRPr="00AA1EAE">
              <w:rPr>
                <w:rFonts w:ascii="Calibri" w:hAnsi="Calibri" w:cs="Calibri"/>
                <w:sz w:val="20"/>
                <w:szCs w:val="20"/>
              </w:rPr>
              <w:t>Risk appetite team</w:t>
            </w:r>
          </w:p>
        </w:tc>
        <w:tc>
          <w:tcPr>
            <w:tcW w:w="1824" w:type="pct"/>
            <w:tcBorders>
              <w:top w:val="single" w:sz="6" w:space="0" w:color="auto"/>
              <w:left w:val="single" w:sz="6" w:space="0" w:color="auto"/>
              <w:bottom w:val="single" w:sz="6" w:space="0" w:color="auto"/>
              <w:right w:val="single" w:sz="6" w:space="0" w:color="auto"/>
            </w:tcBorders>
          </w:tcPr>
          <w:p w:rsidR="00AA400A" w:rsidRPr="00AA1EAE" w:rsidRDefault="00AA400A" w:rsidP="00E6138C">
            <w:pPr>
              <w:pStyle w:val="Text"/>
              <w:spacing w:before="120" w:after="0"/>
              <w:jc w:val="left"/>
              <w:rPr>
                <w:rFonts w:ascii="Calibri" w:hAnsi="Calibri" w:cs="Calibri"/>
                <w:sz w:val="20"/>
                <w:szCs w:val="20"/>
              </w:rPr>
            </w:pPr>
            <w:r>
              <w:rPr>
                <w:rFonts w:ascii="Calibri" w:hAnsi="Calibri" w:cs="Calibri"/>
                <w:sz w:val="20"/>
                <w:szCs w:val="20"/>
              </w:rPr>
              <w:t>RECAST</w:t>
            </w:r>
          </w:p>
        </w:tc>
      </w:tr>
      <w:tr w:rsidR="00CF4FF9" w:rsidRPr="00BF7CAB" w:rsidTr="00E6138C">
        <w:trPr>
          <w:trHeight w:val="206"/>
        </w:trPr>
        <w:tc>
          <w:tcPr>
            <w:tcW w:w="633" w:type="pct"/>
            <w:tcBorders>
              <w:top w:val="single" w:sz="6" w:space="0" w:color="auto"/>
              <w:left w:val="single" w:sz="6" w:space="0" w:color="auto"/>
              <w:bottom w:val="single" w:sz="6" w:space="0" w:color="auto"/>
              <w:right w:val="single" w:sz="6" w:space="0" w:color="auto"/>
            </w:tcBorders>
          </w:tcPr>
          <w:p w:rsidR="00CF4FF9" w:rsidRDefault="00CF4FF9" w:rsidP="00E6138C">
            <w:pPr>
              <w:pStyle w:val="Text"/>
              <w:spacing w:before="120" w:after="0"/>
              <w:jc w:val="left"/>
              <w:rPr>
                <w:rFonts w:ascii="Calibri" w:hAnsi="Calibri" w:cs="Calibri"/>
                <w:sz w:val="20"/>
                <w:szCs w:val="20"/>
              </w:rPr>
            </w:pPr>
            <w:r>
              <w:rPr>
                <w:rFonts w:ascii="Calibri" w:hAnsi="Calibri" w:cs="Calibri"/>
                <w:sz w:val="20"/>
                <w:szCs w:val="20"/>
              </w:rPr>
              <w:t>5.0</w:t>
            </w:r>
          </w:p>
        </w:tc>
        <w:tc>
          <w:tcPr>
            <w:tcW w:w="763" w:type="pct"/>
            <w:tcBorders>
              <w:top w:val="single" w:sz="6" w:space="0" w:color="auto"/>
              <w:left w:val="single" w:sz="6" w:space="0" w:color="auto"/>
              <w:bottom w:val="single" w:sz="6" w:space="0" w:color="auto"/>
              <w:right w:val="single" w:sz="6" w:space="0" w:color="auto"/>
            </w:tcBorders>
          </w:tcPr>
          <w:p w:rsidR="00CF4FF9" w:rsidRPr="00AA1EAE" w:rsidRDefault="00CF4FF9" w:rsidP="008415BD">
            <w:pPr>
              <w:pStyle w:val="Text"/>
              <w:spacing w:before="120" w:after="0"/>
              <w:jc w:val="left"/>
              <w:rPr>
                <w:rFonts w:ascii="Calibri" w:hAnsi="Calibri" w:cs="Calibri"/>
                <w:sz w:val="20"/>
                <w:szCs w:val="20"/>
              </w:rPr>
            </w:pPr>
            <w:r>
              <w:rPr>
                <w:rFonts w:ascii="Calibri" w:hAnsi="Calibri" w:cs="Calibri"/>
                <w:sz w:val="20"/>
                <w:szCs w:val="20"/>
              </w:rPr>
              <w:t>Feb 2015</w:t>
            </w:r>
          </w:p>
        </w:tc>
        <w:tc>
          <w:tcPr>
            <w:tcW w:w="739" w:type="pct"/>
            <w:tcBorders>
              <w:top w:val="single" w:sz="6" w:space="0" w:color="auto"/>
              <w:left w:val="single" w:sz="6" w:space="0" w:color="auto"/>
              <w:bottom w:val="single" w:sz="6" w:space="0" w:color="auto"/>
              <w:right w:val="single" w:sz="6" w:space="0" w:color="auto"/>
            </w:tcBorders>
          </w:tcPr>
          <w:p w:rsidR="00CF4FF9" w:rsidRPr="00AA1EAE" w:rsidRDefault="00CF4FF9" w:rsidP="008415BD">
            <w:pPr>
              <w:pStyle w:val="Text"/>
              <w:spacing w:before="120" w:after="0"/>
              <w:jc w:val="left"/>
              <w:rPr>
                <w:rFonts w:ascii="Calibri" w:hAnsi="Calibri" w:cs="Calibri"/>
                <w:sz w:val="20"/>
                <w:szCs w:val="20"/>
              </w:rPr>
            </w:pPr>
            <w:r w:rsidRPr="00AA1EAE">
              <w:rPr>
                <w:rFonts w:ascii="Calibri" w:hAnsi="Calibri" w:cs="Calibri"/>
                <w:sz w:val="20"/>
                <w:szCs w:val="20"/>
              </w:rPr>
              <w:t>Risk Appetite Function</w:t>
            </w:r>
          </w:p>
        </w:tc>
        <w:tc>
          <w:tcPr>
            <w:tcW w:w="1041" w:type="pct"/>
            <w:tcBorders>
              <w:top w:val="single" w:sz="6" w:space="0" w:color="auto"/>
              <w:left w:val="single" w:sz="6" w:space="0" w:color="auto"/>
              <w:bottom w:val="single" w:sz="6" w:space="0" w:color="auto"/>
              <w:right w:val="single" w:sz="6" w:space="0" w:color="auto"/>
            </w:tcBorders>
          </w:tcPr>
          <w:p w:rsidR="00CF4FF9" w:rsidRPr="00AA1EAE" w:rsidRDefault="00CF4FF9" w:rsidP="008415BD">
            <w:pPr>
              <w:pStyle w:val="Text"/>
              <w:spacing w:before="120" w:after="0"/>
              <w:jc w:val="left"/>
              <w:rPr>
                <w:rFonts w:ascii="Calibri" w:hAnsi="Calibri" w:cs="Calibri"/>
                <w:sz w:val="20"/>
                <w:szCs w:val="20"/>
              </w:rPr>
            </w:pPr>
            <w:r w:rsidRPr="00AA1EAE">
              <w:rPr>
                <w:rFonts w:ascii="Calibri" w:hAnsi="Calibri" w:cs="Calibri"/>
                <w:sz w:val="20"/>
                <w:szCs w:val="20"/>
              </w:rPr>
              <w:t>Risk appetite team</w:t>
            </w:r>
          </w:p>
        </w:tc>
        <w:tc>
          <w:tcPr>
            <w:tcW w:w="1824" w:type="pct"/>
            <w:tcBorders>
              <w:top w:val="single" w:sz="6" w:space="0" w:color="auto"/>
              <w:left w:val="single" w:sz="6" w:space="0" w:color="auto"/>
              <w:bottom w:val="single" w:sz="6" w:space="0" w:color="auto"/>
              <w:right w:val="single" w:sz="6" w:space="0" w:color="auto"/>
            </w:tcBorders>
          </w:tcPr>
          <w:p w:rsidR="00CF4FF9" w:rsidRDefault="00CF4FF9" w:rsidP="00E6138C">
            <w:pPr>
              <w:pStyle w:val="Text"/>
              <w:spacing w:before="120" w:after="0"/>
              <w:jc w:val="left"/>
              <w:rPr>
                <w:rFonts w:ascii="Calibri" w:hAnsi="Calibri" w:cs="Calibri"/>
                <w:sz w:val="20"/>
                <w:szCs w:val="20"/>
              </w:rPr>
            </w:pPr>
            <w:r>
              <w:rPr>
                <w:rFonts w:ascii="Calibri" w:hAnsi="Calibri" w:cs="Calibri"/>
                <w:sz w:val="20"/>
                <w:szCs w:val="20"/>
              </w:rPr>
              <w:t>Specify monthly breaches for group metrics</w:t>
            </w:r>
          </w:p>
        </w:tc>
      </w:tr>
    </w:tbl>
    <w:p w:rsidR="007D245F" w:rsidRPr="001241C3" w:rsidRDefault="007D245F" w:rsidP="000A2CDD"/>
    <w:sectPr w:rsidR="007D245F" w:rsidRPr="001241C3" w:rsidSect="00BE3B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A67" w:rsidRDefault="00230A67" w:rsidP="009B3BBC">
      <w:pPr>
        <w:spacing w:after="0" w:line="240" w:lineRule="auto"/>
      </w:pPr>
      <w:r>
        <w:separator/>
      </w:r>
    </w:p>
  </w:endnote>
  <w:endnote w:type="continuationSeparator" w:id="0">
    <w:p w:rsidR="00230A67" w:rsidRDefault="00230A67" w:rsidP="009B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012156"/>
      <w:docPartObj>
        <w:docPartGallery w:val="Page Numbers (Bottom of Page)"/>
        <w:docPartUnique/>
      </w:docPartObj>
    </w:sdtPr>
    <w:sdtEndPr>
      <w:rPr>
        <w:noProof/>
      </w:rPr>
    </w:sdtEndPr>
    <w:sdtContent>
      <w:p w:rsidR="00E6138C" w:rsidRDefault="00E6138C">
        <w:pPr>
          <w:pStyle w:val="Footer"/>
          <w:jc w:val="right"/>
        </w:pPr>
        <w:r>
          <w:fldChar w:fldCharType="begin"/>
        </w:r>
        <w:r>
          <w:instrText xml:space="preserve"> PAGE   \* MERGEFORMAT </w:instrText>
        </w:r>
        <w:r>
          <w:fldChar w:fldCharType="separate"/>
        </w:r>
        <w:r w:rsidR="001558B8">
          <w:rPr>
            <w:noProof/>
          </w:rPr>
          <w:t>7</w:t>
        </w:r>
        <w:r>
          <w:rPr>
            <w:noProof/>
          </w:rPr>
          <w:fldChar w:fldCharType="end"/>
        </w:r>
      </w:p>
    </w:sdtContent>
  </w:sdt>
  <w:p w:rsidR="00E6138C" w:rsidRDefault="00E613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A67" w:rsidRDefault="00230A67" w:rsidP="009B3BBC">
      <w:pPr>
        <w:spacing w:after="0" w:line="240" w:lineRule="auto"/>
      </w:pPr>
      <w:r>
        <w:separator/>
      </w:r>
    </w:p>
  </w:footnote>
  <w:footnote w:type="continuationSeparator" w:id="0">
    <w:p w:rsidR="00230A67" w:rsidRDefault="00230A67" w:rsidP="009B3BBC">
      <w:pPr>
        <w:spacing w:after="0" w:line="240" w:lineRule="auto"/>
      </w:pPr>
      <w:r>
        <w:continuationSeparator/>
      </w:r>
    </w:p>
  </w:footnote>
  <w:footnote w:id="1">
    <w:p w:rsidR="008228C0" w:rsidRDefault="008228C0">
      <w:pPr>
        <w:pStyle w:val="FootnoteText"/>
      </w:pPr>
      <w:r>
        <w:rPr>
          <w:rStyle w:val="FootnoteReference"/>
        </w:rPr>
        <w:footnoteRef/>
      </w:r>
      <w:r>
        <w:t xml:space="preserve"> </w:t>
      </w:r>
      <w:hyperlink r:id="rId1" w:history="1">
        <w:r w:rsidR="000C6B03" w:rsidRPr="004C4C63">
          <w:rPr>
            <w:rStyle w:val="Hyperlink"/>
          </w:rPr>
          <w:t>http://webmossrfs.mx.sov.corp/Policies%20Procedures%20and%20Templates/Forms/AllItems.aspx?RootFolder=%2FPolicies%20Procedures%20and%20Templates%2FRegulatory%20Capital%2FCapital%20Trend%20Summary&amp;FolderCTID=0x012000661B38C92AD17A448762D999E5E49578&amp;View=%7b61C30055-D3FE-40BE-89E7-B855B2FB3005%7d</w:t>
        </w:r>
      </w:hyperlink>
      <w:r w:rsidR="000C6B03">
        <w:t xml:space="preserve"> (access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74" w:type="pct"/>
      <w:tblInd w:w="-590" w:type="dxa"/>
      <w:tblCellMar>
        <w:left w:w="0" w:type="dxa"/>
        <w:right w:w="43" w:type="dxa"/>
      </w:tblCellMar>
      <w:tblLook w:val="01E0" w:firstRow="1" w:lastRow="1" w:firstColumn="1" w:lastColumn="1" w:noHBand="0" w:noVBand="0"/>
    </w:tblPr>
    <w:tblGrid>
      <w:gridCol w:w="1849"/>
      <w:gridCol w:w="1851"/>
      <w:gridCol w:w="2845"/>
      <w:gridCol w:w="1293"/>
      <w:gridCol w:w="2644"/>
    </w:tblGrid>
    <w:tr w:rsidR="00E6138C" w:rsidRPr="002806B9" w:rsidTr="00E6138C">
      <w:trPr>
        <w:trHeight w:val="467"/>
      </w:trPr>
      <w:tc>
        <w:tcPr>
          <w:tcW w:w="882" w:type="pct"/>
        </w:tcPr>
        <w:p w:rsidR="00E6138C" w:rsidRPr="002806B9" w:rsidRDefault="00E6138C" w:rsidP="00E6138C">
          <w:pPr>
            <w:spacing w:after="120" w:line="240" w:lineRule="auto"/>
            <w:rPr>
              <w:sz w:val="15"/>
              <w:szCs w:val="24"/>
              <w:lang w:val="es-ES_tradnl"/>
            </w:rPr>
          </w:pPr>
          <w:r>
            <w:rPr>
              <w:noProof/>
              <w:sz w:val="15"/>
              <w:szCs w:val="24"/>
            </w:rPr>
            <w:drawing>
              <wp:inline distT="0" distB="0" distL="0" distR="0" wp14:anchorId="0C0E5FDD" wp14:editId="1E806134">
                <wp:extent cx="997585" cy="34417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49277"/>
                        <a:stretch>
                          <a:fillRect/>
                        </a:stretch>
                      </pic:blipFill>
                      <pic:spPr bwMode="auto">
                        <a:xfrm>
                          <a:off x="0" y="0"/>
                          <a:ext cx="997585" cy="344170"/>
                        </a:xfrm>
                        <a:prstGeom prst="rect">
                          <a:avLst/>
                        </a:prstGeom>
                        <a:noFill/>
                        <a:ln>
                          <a:noFill/>
                        </a:ln>
                      </pic:spPr>
                    </pic:pic>
                  </a:graphicData>
                </a:graphic>
              </wp:inline>
            </w:drawing>
          </w:r>
        </w:p>
      </w:tc>
      <w:tc>
        <w:tcPr>
          <w:tcW w:w="4118" w:type="pct"/>
          <w:gridSpan w:val="4"/>
        </w:tcPr>
        <w:p w:rsidR="00E6138C" w:rsidRPr="002806B9" w:rsidRDefault="00E6138C" w:rsidP="00E6138C">
          <w:pPr>
            <w:spacing w:after="120" w:line="240" w:lineRule="auto"/>
            <w:rPr>
              <w:sz w:val="14"/>
              <w:szCs w:val="14"/>
            </w:rPr>
          </w:pPr>
          <w:bookmarkStart w:id="0" w:name="OLE_LINK7"/>
          <w:bookmarkStart w:id="1" w:name="OLE_LINK8"/>
          <w:r>
            <w:rPr>
              <w:sz w:val="32"/>
              <w:szCs w:val="36"/>
            </w:rPr>
            <w:t>GROUP</w:t>
          </w:r>
          <w:r w:rsidRPr="002806B9">
            <w:rPr>
              <w:sz w:val="32"/>
              <w:szCs w:val="36"/>
            </w:rPr>
            <w:t xml:space="preserve"> </w:t>
          </w:r>
          <w:bookmarkEnd w:id="0"/>
          <w:bookmarkEnd w:id="1"/>
          <w:r>
            <w:rPr>
              <w:sz w:val="32"/>
              <w:szCs w:val="36"/>
            </w:rPr>
            <w:t>Risk Appetite Metrics Collection &amp; Reporting Process</w:t>
          </w:r>
        </w:p>
      </w:tc>
    </w:tr>
    <w:tr w:rsidR="00E6138C" w:rsidRPr="002806B9" w:rsidTr="00E6138C">
      <w:trPr>
        <w:trHeight w:val="148"/>
      </w:trPr>
      <w:tc>
        <w:tcPr>
          <w:tcW w:w="5000" w:type="pct"/>
          <w:gridSpan w:val="5"/>
          <w:shd w:val="clear" w:color="auto" w:fill="FF0000"/>
          <w:noWrap/>
          <w:tcMar>
            <w:left w:w="85" w:type="dxa"/>
          </w:tcMar>
          <w:vAlign w:val="center"/>
        </w:tcPr>
        <w:p w:rsidR="00E6138C" w:rsidRPr="002806B9" w:rsidRDefault="00E6138C" w:rsidP="00E6138C">
          <w:pPr>
            <w:spacing w:after="0" w:line="240" w:lineRule="auto"/>
            <w:ind w:right="153"/>
            <w:jc w:val="right"/>
            <w:rPr>
              <w:b/>
              <w:sz w:val="8"/>
              <w:szCs w:val="8"/>
            </w:rPr>
          </w:pPr>
        </w:p>
      </w:tc>
    </w:tr>
    <w:tr w:rsidR="00E6138C" w:rsidRPr="001C67DF" w:rsidTr="00E6138C">
      <w:trPr>
        <w:trHeight w:val="92"/>
      </w:trPr>
      <w:tc>
        <w:tcPr>
          <w:tcW w:w="1765" w:type="pct"/>
          <w:gridSpan w:val="2"/>
          <w:vAlign w:val="bottom"/>
        </w:tcPr>
        <w:p w:rsidR="00E6138C" w:rsidRPr="00AA1EAE" w:rsidRDefault="00E6138C" w:rsidP="003F66F6">
          <w:pPr>
            <w:pStyle w:val="Formatofecha"/>
            <w:rPr>
              <w:lang w:val="en-US"/>
            </w:rPr>
          </w:pPr>
          <w:r w:rsidRPr="00AA1EAE">
            <w:rPr>
              <w:lang w:val="en-US"/>
            </w:rPr>
            <w:t>Approved by Director Risk Appetite SHUSA</w:t>
          </w:r>
        </w:p>
      </w:tc>
      <w:tc>
        <w:tcPr>
          <w:tcW w:w="1357" w:type="pct"/>
        </w:tcPr>
        <w:p w:rsidR="00E6138C" w:rsidRPr="00B964D3" w:rsidRDefault="00E6138C" w:rsidP="00BE3B39">
          <w:pPr>
            <w:pStyle w:val="Formatofecha"/>
            <w:rPr>
              <w:lang w:val="en-GB"/>
            </w:rPr>
          </w:pPr>
          <w:r w:rsidRPr="00AA1EAE">
            <w:rPr>
              <w:lang w:val="en-US"/>
            </w:rPr>
            <w:t xml:space="preserve">  </w:t>
          </w:r>
        </w:p>
      </w:tc>
      <w:tc>
        <w:tcPr>
          <w:tcW w:w="617" w:type="pct"/>
        </w:tcPr>
        <w:p w:rsidR="00E6138C" w:rsidRPr="00AA1EAE" w:rsidRDefault="00E6138C" w:rsidP="00BE3B39">
          <w:pPr>
            <w:pStyle w:val="Formatofecha"/>
            <w:rPr>
              <w:lang w:val="en-US"/>
            </w:rPr>
          </w:pPr>
          <w:r>
            <w:rPr>
              <w:lang w:val="en-US"/>
            </w:rPr>
            <w:t xml:space="preserve">     </w:t>
          </w:r>
        </w:p>
      </w:tc>
      <w:tc>
        <w:tcPr>
          <w:tcW w:w="1261" w:type="pct"/>
        </w:tcPr>
        <w:p w:rsidR="00E6138C" w:rsidRPr="001C67DF" w:rsidRDefault="00E6138C" w:rsidP="00BE3B39">
          <w:pPr>
            <w:pStyle w:val="Formatofecha"/>
          </w:pPr>
          <w:proofErr w:type="spellStart"/>
          <w:r>
            <w:t>January</w:t>
          </w:r>
          <w:proofErr w:type="spellEnd"/>
          <w:r>
            <w:t xml:space="preserve"> 2016 – </w:t>
          </w:r>
          <w:proofErr w:type="spellStart"/>
          <w:r>
            <w:t>Version</w:t>
          </w:r>
          <w:proofErr w:type="spellEnd"/>
          <w:r>
            <w:t xml:space="preserve"> 1.0</w:t>
          </w:r>
        </w:p>
      </w:tc>
    </w:tr>
  </w:tbl>
  <w:p w:rsidR="00E6138C" w:rsidRPr="00E457A7" w:rsidRDefault="00E613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640B6"/>
    <w:multiLevelType w:val="hybridMultilevel"/>
    <w:tmpl w:val="0C4C3100"/>
    <w:lvl w:ilvl="0" w:tplc="F25A1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5783B"/>
    <w:multiLevelType w:val="hybridMultilevel"/>
    <w:tmpl w:val="78802ED4"/>
    <w:lvl w:ilvl="0" w:tplc="3AE4956A">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A2A51"/>
    <w:multiLevelType w:val="hybridMultilevel"/>
    <w:tmpl w:val="F3B071DE"/>
    <w:lvl w:ilvl="0" w:tplc="0E4E4CC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A572E7F"/>
    <w:multiLevelType w:val="hybridMultilevel"/>
    <w:tmpl w:val="79F89D96"/>
    <w:lvl w:ilvl="0" w:tplc="4FCA7E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5B71B3"/>
    <w:multiLevelType w:val="hybridMultilevel"/>
    <w:tmpl w:val="96E2F1CC"/>
    <w:lvl w:ilvl="0" w:tplc="2C504CE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2AF5"/>
    <w:multiLevelType w:val="multilevel"/>
    <w:tmpl w:val="67D83364"/>
    <w:lvl w:ilvl="0">
      <w:start w:val="1"/>
      <w:numFmt w:val="decimal"/>
      <w:lvlText w:val="%1."/>
      <w:lvlJc w:val="left"/>
      <w:pPr>
        <w:tabs>
          <w:tab w:val="num" w:pos="567"/>
        </w:tabs>
        <w:ind w:left="680" w:hanging="680"/>
      </w:pPr>
      <w:rPr>
        <w:rFonts w:hint="default"/>
      </w:rPr>
    </w:lvl>
    <w:lvl w:ilvl="1">
      <w:start w:val="1"/>
      <w:numFmt w:val="decimal"/>
      <w:lvlText w:val="%1.%2"/>
      <w:lvlJc w:val="left"/>
      <w:pPr>
        <w:tabs>
          <w:tab w:val="num" w:pos="567"/>
        </w:tabs>
        <w:ind w:left="680" w:hanging="680"/>
      </w:pPr>
      <w:rPr>
        <w:rFonts w:ascii="Calibri" w:hAnsi="Calibri" w:cs="Calibri" w:hint="default"/>
        <w:b/>
        <w:bCs w:val="0"/>
        <w:i w:val="0"/>
        <w:iCs w:val="0"/>
        <w:caps w:val="0"/>
        <w:smallCaps w:val="0"/>
        <w:strike w:val="0"/>
        <w:dstrike w:val="0"/>
        <w:noProof w:val="0"/>
        <w:snapToGrid w:val="0"/>
        <w:vanish w:val="0"/>
        <w:color w:val="000000"/>
        <w:spacing w:val="0"/>
        <w:kern w:val="0"/>
        <w:position w:val="0"/>
        <w:sz w:val="24"/>
        <w:szCs w:val="22"/>
        <w:u w:val="none"/>
        <w:effect w:val="none"/>
        <w:vertAlign w:val="baseline"/>
        <w:em w:val="none"/>
        <w:specVanish w:val="0"/>
      </w:rPr>
    </w:lvl>
    <w:lvl w:ilvl="2">
      <w:start w:val="1"/>
      <w:numFmt w:val="decimal"/>
      <w:lvlText w:val="%1.%2.%3"/>
      <w:lvlJc w:val="left"/>
      <w:pPr>
        <w:tabs>
          <w:tab w:val="num" w:pos="1917"/>
        </w:tabs>
        <w:ind w:left="2030" w:hanging="680"/>
      </w:pPr>
      <w:rPr>
        <w:rFonts w:hint="default"/>
      </w:rPr>
    </w:lvl>
    <w:lvl w:ilvl="3">
      <w:start w:val="1"/>
      <w:numFmt w:val="decimal"/>
      <w:lvlText w:val="%1.%2.%3.%4"/>
      <w:lvlJc w:val="left"/>
      <w:pPr>
        <w:tabs>
          <w:tab w:val="num" w:pos="837"/>
        </w:tabs>
        <w:ind w:left="950" w:hanging="680"/>
      </w:pPr>
      <w:rPr>
        <w:rFonts w:hint="default"/>
      </w:rPr>
    </w:lvl>
    <w:lvl w:ilvl="4">
      <w:numFmt w:val="none"/>
      <w:lvlText w:val=""/>
      <w:lvlJc w:val="left"/>
      <w:pPr>
        <w:tabs>
          <w:tab w:val="num" w:pos="360"/>
        </w:tabs>
        <w:ind w:left="0" w:firstLine="0"/>
      </w:pPr>
      <w:rPr>
        <w:rFonts w:hint="default"/>
      </w:rPr>
    </w:lvl>
    <w:lvl w:ilvl="5">
      <w:numFmt w:val="none"/>
      <w:lvlText w:val=""/>
      <w:lvlJc w:val="left"/>
      <w:pPr>
        <w:tabs>
          <w:tab w:val="num" w:pos="360"/>
        </w:tabs>
        <w:ind w:left="0" w:firstLine="0"/>
      </w:pPr>
      <w:rPr>
        <w:rFonts w:hint="default"/>
      </w:rPr>
    </w:lvl>
    <w:lvl w:ilvl="6">
      <w:numFmt w:val="none"/>
      <w:lvlText w:val=""/>
      <w:lvlJc w:val="left"/>
      <w:pPr>
        <w:tabs>
          <w:tab w:val="num" w:pos="360"/>
        </w:tabs>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6">
    <w:nsid w:val="66435CB3"/>
    <w:multiLevelType w:val="multilevel"/>
    <w:tmpl w:val="C45CADE4"/>
    <w:lvl w:ilvl="0">
      <w:start w:val="2"/>
      <w:numFmt w:val="decimal"/>
      <w:lvlText w:val="%1."/>
      <w:lvlJc w:val="left"/>
      <w:pPr>
        <w:tabs>
          <w:tab w:val="num" w:pos="567"/>
        </w:tabs>
        <w:ind w:left="680" w:hanging="680"/>
      </w:pPr>
      <w:rPr>
        <w:rFonts w:hint="default"/>
      </w:rPr>
    </w:lvl>
    <w:lvl w:ilvl="1">
      <w:start w:val="1"/>
      <w:numFmt w:val="decimal"/>
      <w:lvlText w:val="%1.%2"/>
      <w:lvlJc w:val="left"/>
      <w:pPr>
        <w:tabs>
          <w:tab w:val="num" w:pos="657"/>
        </w:tabs>
        <w:ind w:left="770" w:hanging="680"/>
      </w:pPr>
      <w:rPr>
        <w:rFonts w:ascii="Calibri" w:hAnsi="Calibri" w:cs="Calibri" w:hint="default"/>
        <w:b/>
        <w:bCs w:val="0"/>
        <w:i w:val="0"/>
        <w:iCs w:val="0"/>
        <w:caps w:val="0"/>
        <w:smallCaps w:val="0"/>
        <w:strike w:val="0"/>
        <w:dstrike w:val="0"/>
        <w:noProof w:val="0"/>
        <w:snapToGrid w:val="0"/>
        <w:vanish w:val="0"/>
        <w:color w:val="000000"/>
        <w:spacing w:val="0"/>
        <w:kern w:val="0"/>
        <w:position w:val="0"/>
        <w:sz w:val="24"/>
        <w:szCs w:val="22"/>
        <w:u w:val="none"/>
        <w:effect w:val="none"/>
        <w:vertAlign w:val="baseline"/>
        <w:em w:val="none"/>
        <w:specVanish w:val="0"/>
      </w:rPr>
    </w:lvl>
    <w:lvl w:ilvl="2">
      <w:start w:val="1"/>
      <w:numFmt w:val="decimal"/>
      <w:lvlText w:val="%1.%2.%3"/>
      <w:lvlJc w:val="left"/>
      <w:pPr>
        <w:tabs>
          <w:tab w:val="num" w:pos="2977"/>
        </w:tabs>
        <w:ind w:left="3090" w:hanging="680"/>
      </w:pPr>
      <w:rPr>
        <w:rFonts w:hint="default"/>
      </w:rPr>
    </w:lvl>
    <w:lvl w:ilvl="3">
      <w:start w:val="1"/>
      <w:numFmt w:val="decimal"/>
      <w:lvlText w:val="%1.%2.%3.%4"/>
      <w:lvlJc w:val="left"/>
      <w:pPr>
        <w:tabs>
          <w:tab w:val="num" w:pos="837"/>
        </w:tabs>
        <w:ind w:left="950" w:hanging="680"/>
      </w:pPr>
      <w:rPr>
        <w:rFonts w:hint="default"/>
      </w:rPr>
    </w:lvl>
    <w:lvl w:ilvl="4">
      <w:numFmt w:val="none"/>
      <w:lvlText w:val=""/>
      <w:lvlJc w:val="left"/>
      <w:pPr>
        <w:tabs>
          <w:tab w:val="num" w:pos="360"/>
        </w:tabs>
        <w:ind w:left="0" w:firstLine="0"/>
      </w:pPr>
      <w:rPr>
        <w:rFonts w:hint="default"/>
      </w:rPr>
    </w:lvl>
    <w:lvl w:ilvl="5">
      <w:numFmt w:val="none"/>
      <w:lvlText w:val=""/>
      <w:lvlJc w:val="left"/>
      <w:pPr>
        <w:tabs>
          <w:tab w:val="num" w:pos="360"/>
        </w:tabs>
        <w:ind w:left="0" w:firstLine="0"/>
      </w:pPr>
      <w:rPr>
        <w:rFonts w:hint="default"/>
      </w:rPr>
    </w:lvl>
    <w:lvl w:ilvl="6">
      <w:numFmt w:val="none"/>
      <w:lvlText w:val=""/>
      <w:lvlJc w:val="left"/>
      <w:pPr>
        <w:tabs>
          <w:tab w:val="num" w:pos="360"/>
        </w:tabs>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
    <w:nsid w:val="6CAA7293"/>
    <w:multiLevelType w:val="hybridMultilevel"/>
    <w:tmpl w:val="837E07A6"/>
    <w:lvl w:ilvl="0" w:tplc="FEA6F0D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C022B3"/>
    <w:multiLevelType w:val="hybridMultilevel"/>
    <w:tmpl w:val="2876A746"/>
    <w:lvl w:ilvl="0" w:tplc="8140E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6"/>
  </w:num>
  <w:num w:numId="6">
    <w:abstractNumId w:val="4"/>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009"/>
    <w:rsid w:val="0001382C"/>
    <w:rsid w:val="0002244E"/>
    <w:rsid w:val="00036F84"/>
    <w:rsid w:val="0004261C"/>
    <w:rsid w:val="00056C7F"/>
    <w:rsid w:val="0009208A"/>
    <w:rsid w:val="000A2CDD"/>
    <w:rsid w:val="000B1B59"/>
    <w:rsid w:val="000C6B03"/>
    <w:rsid w:val="000F5A0B"/>
    <w:rsid w:val="00115A41"/>
    <w:rsid w:val="001241C3"/>
    <w:rsid w:val="001558B8"/>
    <w:rsid w:val="001602E8"/>
    <w:rsid w:val="0018537D"/>
    <w:rsid w:val="00191830"/>
    <w:rsid w:val="00210A33"/>
    <w:rsid w:val="00230A67"/>
    <w:rsid w:val="00257887"/>
    <w:rsid w:val="002C600D"/>
    <w:rsid w:val="00353F08"/>
    <w:rsid w:val="00360DB2"/>
    <w:rsid w:val="00364A6F"/>
    <w:rsid w:val="00366D76"/>
    <w:rsid w:val="003953B6"/>
    <w:rsid w:val="003F66F6"/>
    <w:rsid w:val="00414267"/>
    <w:rsid w:val="004248EA"/>
    <w:rsid w:val="0042621F"/>
    <w:rsid w:val="00464BDE"/>
    <w:rsid w:val="004A29E5"/>
    <w:rsid w:val="004E076D"/>
    <w:rsid w:val="004F5D0A"/>
    <w:rsid w:val="004F7AE2"/>
    <w:rsid w:val="00522315"/>
    <w:rsid w:val="00595D48"/>
    <w:rsid w:val="005B0172"/>
    <w:rsid w:val="005F6A42"/>
    <w:rsid w:val="00635341"/>
    <w:rsid w:val="00665F0F"/>
    <w:rsid w:val="006B24B5"/>
    <w:rsid w:val="006E29AD"/>
    <w:rsid w:val="00705AEC"/>
    <w:rsid w:val="00747B4C"/>
    <w:rsid w:val="007572D4"/>
    <w:rsid w:val="00786DF2"/>
    <w:rsid w:val="007C472C"/>
    <w:rsid w:val="007D2256"/>
    <w:rsid w:val="007D245F"/>
    <w:rsid w:val="007E563D"/>
    <w:rsid w:val="007F0E8D"/>
    <w:rsid w:val="007F1689"/>
    <w:rsid w:val="00801FE0"/>
    <w:rsid w:val="0081228A"/>
    <w:rsid w:val="00816EF2"/>
    <w:rsid w:val="008228C0"/>
    <w:rsid w:val="0082402E"/>
    <w:rsid w:val="0083165B"/>
    <w:rsid w:val="00832ABF"/>
    <w:rsid w:val="00876A43"/>
    <w:rsid w:val="00880B50"/>
    <w:rsid w:val="00887851"/>
    <w:rsid w:val="00895B4C"/>
    <w:rsid w:val="008A2BCB"/>
    <w:rsid w:val="008A2D57"/>
    <w:rsid w:val="008C2FD0"/>
    <w:rsid w:val="0097580F"/>
    <w:rsid w:val="009A23F3"/>
    <w:rsid w:val="009B2644"/>
    <w:rsid w:val="009B3BBC"/>
    <w:rsid w:val="00A44914"/>
    <w:rsid w:val="00A83B12"/>
    <w:rsid w:val="00A96502"/>
    <w:rsid w:val="00AA1EAE"/>
    <w:rsid w:val="00AA400A"/>
    <w:rsid w:val="00AE7394"/>
    <w:rsid w:val="00B06ACA"/>
    <w:rsid w:val="00B24E54"/>
    <w:rsid w:val="00B330B5"/>
    <w:rsid w:val="00B33A24"/>
    <w:rsid w:val="00B40FF1"/>
    <w:rsid w:val="00B5454A"/>
    <w:rsid w:val="00B92001"/>
    <w:rsid w:val="00BD1E6E"/>
    <w:rsid w:val="00BE3B39"/>
    <w:rsid w:val="00C33EB2"/>
    <w:rsid w:val="00C640A4"/>
    <w:rsid w:val="00C71009"/>
    <w:rsid w:val="00CE3684"/>
    <w:rsid w:val="00CE50C7"/>
    <w:rsid w:val="00CF4FF9"/>
    <w:rsid w:val="00D27907"/>
    <w:rsid w:val="00D46383"/>
    <w:rsid w:val="00D70FCF"/>
    <w:rsid w:val="00D76974"/>
    <w:rsid w:val="00D830C1"/>
    <w:rsid w:val="00D90CEA"/>
    <w:rsid w:val="00E457A7"/>
    <w:rsid w:val="00E6138C"/>
    <w:rsid w:val="00E76EE0"/>
    <w:rsid w:val="00E965D6"/>
    <w:rsid w:val="00F06468"/>
    <w:rsid w:val="00F07733"/>
    <w:rsid w:val="00F30085"/>
    <w:rsid w:val="00F635A1"/>
    <w:rsid w:val="00FB6912"/>
    <w:rsid w:val="00FF7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B12"/>
    <w:rPr>
      <w:rFonts w:ascii="Calibri" w:eastAsia="Calibri" w:hAnsi="Calibri" w:cs="Times New Roman"/>
    </w:rPr>
  </w:style>
  <w:style w:type="paragraph" w:styleId="Heading1">
    <w:name w:val="heading 1"/>
    <w:basedOn w:val="Normal"/>
    <w:next w:val="Normal"/>
    <w:link w:val="Heading1Char"/>
    <w:uiPriority w:val="9"/>
    <w:qFormat/>
    <w:rsid w:val="00C710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10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009"/>
    <w:rPr>
      <w:rFonts w:ascii="Tahoma" w:eastAsia="Calibri" w:hAnsi="Tahoma" w:cs="Tahoma"/>
      <w:sz w:val="16"/>
      <w:szCs w:val="16"/>
    </w:rPr>
  </w:style>
  <w:style w:type="paragraph" w:styleId="TOC1">
    <w:name w:val="toc 1"/>
    <w:basedOn w:val="Normal"/>
    <w:next w:val="Normal"/>
    <w:autoRedefine/>
    <w:uiPriority w:val="39"/>
    <w:unhideWhenUsed/>
    <w:qFormat/>
    <w:rsid w:val="00C71009"/>
    <w:pPr>
      <w:spacing w:before="120" w:after="120"/>
    </w:pPr>
    <w:rPr>
      <w:b/>
      <w:caps/>
      <w:color w:val="FF0000"/>
      <w:sz w:val="20"/>
    </w:rPr>
  </w:style>
  <w:style w:type="paragraph" w:styleId="TOC2">
    <w:name w:val="toc 2"/>
    <w:basedOn w:val="Normal"/>
    <w:next w:val="Normal"/>
    <w:autoRedefine/>
    <w:uiPriority w:val="39"/>
    <w:unhideWhenUsed/>
    <w:qFormat/>
    <w:rsid w:val="00C71009"/>
    <w:pPr>
      <w:tabs>
        <w:tab w:val="left" w:pos="880"/>
        <w:tab w:val="right" w:leader="dot" w:pos="9350"/>
      </w:tabs>
      <w:spacing w:after="0"/>
      <w:ind w:left="216"/>
    </w:pPr>
    <w:rPr>
      <w:b/>
      <w:smallCaps/>
      <w:sz w:val="20"/>
      <w:szCs w:val="20"/>
    </w:rPr>
  </w:style>
  <w:style w:type="character" w:styleId="Hyperlink">
    <w:name w:val="Hyperlink"/>
    <w:aliases w:val="Indice 1º nivel"/>
    <w:basedOn w:val="DefaultParagraphFont"/>
    <w:uiPriority w:val="99"/>
    <w:unhideWhenUsed/>
    <w:rsid w:val="00C71009"/>
    <w:rPr>
      <w:color w:val="0000FF" w:themeColor="hyperlink"/>
      <w:u w:val="single"/>
    </w:rPr>
  </w:style>
  <w:style w:type="paragraph" w:customStyle="1" w:styleId="SANUS1">
    <w:name w:val="SANUS 1"/>
    <w:basedOn w:val="Heading1"/>
    <w:link w:val="SANUS1Char"/>
    <w:qFormat/>
    <w:rsid w:val="00C71009"/>
    <w:pPr>
      <w:keepNext w:val="0"/>
      <w:keepLines w:val="0"/>
      <w:pBdr>
        <w:bottom w:val="single" w:sz="4" w:space="1" w:color="FF0000"/>
      </w:pBdr>
      <w:spacing w:before="120" w:after="120"/>
      <w:contextualSpacing/>
    </w:pPr>
    <w:rPr>
      <w:rFonts w:ascii="Calibri" w:eastAsia="Calibri" w:hAnsi="Calibri" w:cs="Times New Roman"/>
      <w:color w:val="FF0000"/>
      <w:lang w:bidi="en-US"/>
    </w:rPr>
  </w:style>
  <w:style w:type="character" w:customStyle="1" w:styleId="SANUS1Char">
    <w:name w:val="SANUS 1 Char"/>
    <w:link w:val="SANUS1"/>
    <w:rsid w:val="00C71009"/>
    <w:rPr>
      <w:rFonts w:ascii="Calibri" w:eastAsia="Calibri" w:hAnsi="Calibri" w:cs="Times New Roman"/>
      <w:b/>
      <w:bCs/>
      <w:color w:val="FF0000"/>
      <w:sz w:val="28"/>
      <w:szCs w:val="28"/>
      <w:lang w:bidi="en-US"/>
    </w:rPr>
  </w:style>
  <w:style w:type="paragraph" w:customStyle="1" w:styleId="SANUS2">
    <w:name w:val="SAN US 2"/>
    <w:basedOn w:val="Heading2"/>
    <w:link w:val="SANUS2Char"/>
    <w:qFormat/>
    <w:rsid w:val="00C71009"/>
    <w:pPr>
      <w:keepNext w:val="0"/>
      <w:keepLines w:val="0"/>
      <w:spacing w:before="120" w:after="120"/>
    </w:pPr>
    <w:rPr>
      <w:rFonts w:ascii="Calibri" w:eastAsia="Calibri" w:hAnsi="Calibri" w:cs="Times New Roman"/>
      <w:color w:val="auto"/>
      <w:sz w:val="24"/>
      <w:szCs w:val="24"/>
      <w:lang w:bidi="en-US"/>
    </w:rPr>
  </w:style>
  <w:style w:type="character" w:customStyle="1" w:styleId="SANUS2Char">
    <w:name w:val="SAN US 2 Char"/>
    <w:link w:val="SANUS2"/>
    <w:rsid w:val="00C71009"/>
    <w:rPr>
      <w:rFonts w:ascii="Calibri" w:eastAsia="Calibri" w:hAnsi="Calibri" w:cs="Times New Roman"/>
      <w:b/>
      <w:bCs/>
      <w:sz w:val="24"/>
      <w:szCs w:val="24"/>
      <w:lang w:bidi="en-US"/>
    </w:rPr>
  </w:style>
  <w:style w:type="paragraph" w:customStyle="1" w:styleId="Normal1">
    <w:name w:val="Normal1"/>
    <w:basedOn w:val="Normal"/>
    <w:link w:val="Normal1Char"/>
    <w:qFormat/>
    <w:rsid w:val="00C71009"/>
    <w:pPr>
      <w:spacing w:before="120"/>
    </w:pPr>
    <w:rPr>
      <w:rFonts w:eastAsia="Times New Roman"/>
    </w:rPr>
  </w:style>
  <w:style w:type="character" w:customStyle="1" w:styleId="Normal1Char">
    <w:name w:val="Normal1 Char"/>
    <w:link w:val="Normal1"/>
    <w:rsid w:val="00C71009"/>
    <w:rPr>
      <w:rFonts w:ascii="Calibri" w:eastAsia="Times New Roman" w:hAnsi="Calibri" w:cs="Times New Roman"/>
    </w:rPr>
  </w:style>
  <w:style w:type="character" w:customStyle="1" w:styleId="Heading1Char">
    <w:name w:val="Heading 1 Char"/>
    <w:basedOn w:val="DefaultParagraphFont"/>
    <w:link w:val="Heading1"/>
    <w:uiPriority w:val="9"/>
    <w:rsid w:val="00C710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100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85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0FF1"/>
    <w:pPr>
      <w:ind w:left="720"/>
      <w:contextualSpacing/>
    </w:pPr>
  </w:style>
  <w:style w:type="paragraph" w:customStyle="1" w:styleId="Text">
    <w:name w:val="Text"/>
    <w:basedOn w:val="Normal"/>
    <w:rsid w:val="007D245F"/>
    <w:pPr>
      <w:overflowPunct w:val="0"/>
      <w:autoSpaceDE w:val="0"/>
      <w:autoSpaceDN w:val="0"/>
      <w:adjustRightInd w:val="0"/>
      <w:spacing w:after="220"/>
      <w:jc w:val="both"/>
      <w:textAlignment w:val="baseline"/>
    </w:pPr>
    <w:rPr>
      <w:rFonts w:ascii="Times New Roman" w:eastAsia="Times New Roman" w:hAnsi="Times New Roman"/>
      <w:snapToGrid w:val="0"/>
    </w:rPr>
  </w:style>
  <w:style w:type="paragraph" w:styleId="FootnoteText">
    <w:name w:val="footnote text"/>
    <w:basedOn w:val="Normal"/>
    <w:link w:val="FootnoteTextChar"/>
    <w:uiPriority w:val="99"/>
    <w:semiHidden/>
    <w:unhideWhenUsed/>
    <w:rsid w:val="009B3B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BBC"/>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9B3BBC"/>
    <w:rPr>
      <w:vertAlign w:val="superscript"/>
    </w:rPr>
  </w:style>
  <w:style w:type="paragraph" w:styleId="Header">
    <w:name w:val="header"/>
    <w:basedOn w:val="Normal"/>
    <w:link w:val="HeaderChar"/>
    <w:uiPriority w:val="99"/>
    <w:unhideWhenUsed/>
    <w:rsid w:val="00B92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001"/>
    <w:rPr>
      <w:rFonts w:ascii="Calibri" w:eastAsia="Calibri" w:hAnsi="Calibri" w:cs="Times New Roman"/>
    </w:rPr>
  </w:style>
  <w:style w:type="paragraph" w:styleId="Footer">
    <w:name w:val="footer"/>
    <w:basedOn w:val="Normal"/>
    <w:link w:val="FooterChar"/>
    <w:uiPriority w:val="99"/>
    <w:unhideWhenUsed/>
    <w:rsid w:val="00B92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001"/>
    <w:rPr>
      <w:rFonts w:ascii="Calibri" w:eastAsia="Calibri" w:hAnsi="Calibri" w:cs="Times New Roman"/>
    </w:rPr>
  </w:style>
  <w:style w:type="paragraph" w:customStyle="1" w:styleId="Formatofecha">
    <w:name w:val="Formato fecha"/>
    <w:basedOn w:val="Normal"/>
    <w:autoRedefine/>
    <w:rsid w:val="003F66F6"/>
    <w:pPr>
      <w:tabs>
        <w:tab w:val="left" w:pos="4891"/>
      </w:tabs>
      <w:spacing w:after="0" w:line="240" w:lineRule="auto"/>
    </w:pPr>
    <w:rPr>
      <w:rFonts w:eastAsia="Times New Roman"/>
      <w:sz w:val="16"/>
      <w:szCs w:val="16"/>
      <w:lang w:val="es-ES_tradnl"/>
    </w:rPr>
  </w:style>
  <w:style w:type="paragraph" w:styleId="EndnoteText">
    <w:name w:val="endnote text"/>
    <w:basedOn w:val="Normal"/>
    <w:link w:val="EndnoteTextChar"/>
    <w:uiPriority w:val="99"/>
    <w:semiHidden/>
    <w:unhideWhenUsed/>
    <w:rsid w:val="00822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8C0"/>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8228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B12"/>
    <w:rPr>
      <w:rFonts w:ascii="Calibri" w:eastAsia="Calibri" w:hAnsi="Calibri" w:cs="Times New Roman"/>
    </w:rPr>
  </w:style>
  <w:style w:type="paragraph" w:styleId="Heading1">
    <w:name w:val="heading 1"/>
    <w:basedOn w:val="Normal"/>
    <w:next w:val="Normal"/>
    <w:link w:val="Heading1Char"/>
    <w:uiPriority w:val="9"/>
    <w:qFormat/>
    <w:rsid w:val="00C710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10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009"/>
    <w:rPr>
      <w:rFonts w:ascii="Tahoma" w:eastAsia="Calibri" w:hAnsi="Tahoma" w:cs="Tahoma"/>
      <w:sz w:val="16"/>
      <w:szCs w:val="16"/>
    </w:rPr>
  </w:style>
  <w:style w:type="paragraph" w:styleId="TOC1">
    <w:name w:val="toc 1"/>
    <w:basedOn w:val="Normal"/>
    <w:next w:val="Normal"/>
    <w:autoRedefine/>
    <w:uiPriority w:val="39"/>
    <w:unhideWhenUsed/>
    <w:qFormat/>
    <w:rsid w:val="00C71009"/>
    <w:pPr>
      <w:spacing w:before="120" w:after="120"/>
    </w:pPr>
    <w:rPr>
      <w:b/>
      <w:caps/>
      <w:color w:val="FF0000"/>
      <w:sz w:val="20"/>
    </w:rPr>
  </w:style>
  <w:style w:type="paragraph" w:styleId="TOC2">
    <w:name w:val="toc 2"/>
    <w:basedOn w:val="Normal"/>
    <w:next w:val="Normal"/>
    <w:autoRedefine/>
    <w:uiPriority w:val="39"/>
    <w:unhideWhenUsed/>
    <w:qFormat/>
    <w:rsid w:val="00C71009"/>
    <w:pPr>
      <w:tabs>
        <w:tab w:val="left" w:pos="880"/>
        <w:tab w:val="right" w:leader="dot" w:pos="9350"/>
      </w:tabs>
      <w:spacing w:after="0"/>
      <w:ind w:left="216"/>
    </w:pPr>
    <w:rPr>
      <w:b/>
      <w:smallCaps/>
      <w:sz w:val="20"/>
      <w:szCs w:val="20"/>
    </w:rPr>
  </w:style>
  <w:style w:type="character" w:styleId="Hyperlink">
    <w:name w:val="Hyperlink"/>
    <w:aliases w:val="Indice 1º nivel"/>
    <w:basedOn w:val="DefaultParagraphFont"/>
    <w:uiPriority w:val="99"/>
    <w:unhideWhenUsed/>
    <w:rsid w:val="00C71009"/>
    <w:rPr>
      <w:color w:val="0000FF" w:themeColor="hyperlink"/>
      <w:u w:val="single"/>
    </w:rPr>
  </w:style>
  <w:style w:type="paragraph" w:customStyle="1" w:styleId="SANUS1">
    <w:name w:val="SANUS 1"/>
    <w:basedOn w:val="Heading1"/>
    <w:link w:val="SANUS1Char"/>
    <w:qFormat/>
    <w:rsid w:val="00C71009"/>
    <w:pPr>
      <w:keepNext w:val="0"/>
      <w:keepLines w:val="0"/>
      <w:pBdr>
        <w:bottom w:val="single" w:sz="4" w:space="1" w:color="FF0000"/>
      </w:pBdr>
      <w:spacing w:before="120" w:after="120"/>
      <w:contextualSpacing/>
    </w:pPr>
    <w:rPr>
      <w:rFonts w:ascii="Calibri" w:eastAsia="Calibri" w:hAnsi="Calibri" w:cs="Times New Roman"/>
      <w:color w:val="FF0000"/>
      <w:lang w:bidi="en-US"/>
    </w:rPr>
  </w:style>
  <w:style w:type="character" w:customStyle="1" w:styleId="SANUS1Char">
    <w:name w:val="SANUS 1 Char"/>
    <w:link w:val="SANUS1"/>
    <w:rsid w:val="00C71009"/>
    <w:rPr>
      <w:rFonts w:ascii="Calibri" w:eastAsia="Calibri" w:hAnsi="Calibri" w:cs="Times New Roman"/>
      <w:b/>
      <w:bCs/>
      <w:color w:val="FF0000"/>
      <w:sz w:val="28"/>
      <w:szCs w:val="28"/>
      <w:lang w:bidi="en-US"/>
    </w:rPr>
  </w:style>
  <w:style w:type="paragraph" w:customStyle="1" w:styleId="SANUS2">
    <w:name w:val="SAN US 2"/>
    <w:basedOn w:val="Heading2"/>
    <w:link w:val="SANUS2Char"/>
    <w:qFormat/>
    <w:rsid w:val="00C71009"/>
    <w:pPr>
      <w:keepNext w:val="0"/>
      <w:keepLines w:val="0"/>
      <w:spacing w:before="120" w:after="120"/>
    </w:pPr>
    <w:rPr>
      <w:rFonts w:ascii="Calibri" w:eastAsia="Calibri" w:hAnsi="Calibri" w:cs="Times New Roman"/>
      <w:color w:val="auto"/>
      <w:sz w:val="24"/>
      <w:szCs w:val="24"/>
      <w:lang w:bidi="en-US"/>
    </w:rPr>
  </w:style>
  <w:style w:type="character" w:customStyle="1" w:styleId="SANUS2Char">
    <w:name w:val="SAN US 2 Char"/>
    <w:link w:val="SANUS2"/>
    <w:rsid w:val="00C71009"/>
    <w:rPr>
      <w:rFonts w:ascii="Calibri" w:eastAsia="Calibri" w:hAnsi="Calibri" w:cs="Times New Roman"/>
      <w:b/>
      <w:bCs/>
      <w:sz w:val="24"/>
      <w:szCs w:val="24"/>
      <w:lang w:bidi="en-US"/>
    </w:rPr>
  </w:style>
  <w:style w:type="paragraph" w:customStyle="1" w:styleId="Normal1">
    <w:name w:val="Normal1"/>
    <w:basedOn w:val="Normal"/>
    <w:link w:val="Normal1Char"/>
    <w:qFormat/>
    <w:rsid w:val="00C71009"/>
    <w:pPr>
      <w:spacing w:before="120"/>
    </w:pPr>
    <w:rPr>
      <w:rFonts w:eastAsia="Times New Roman"/>
    </w:rPr>
  </w:style>
  <w:style w:type="character" w:customStyle="1" w:styleId="Normal1Char">
    <w:name w:val="Normal1 Char"/>
    <w:link w:val="Normal1"/>
    <w:rsid w:val="00C71009"/>
    <w:rPr>
      <w:rFonts w:ascii="Calibri" w:eastAsia="Times New Roman" w:hAnsi="Calibri" w:cs="Times New Roman"/>
    </w:rPr>
  </w:style>
  <w:style w:type="character" w:customStyle="1" w:styleId="Heading1Char">
    <w:name w:val="Heading 1 Char"/>
    <w:basedOn w:val="DefaultParagraphFont"/>
    <w:link w:val="Heading1"/>
    <w:uiPriority w:val="9"/>
    <w:rsid w:val="00C710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100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85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0FF1"/>
    <w:pPr>
      <w:ind w:left="720"/>
      <w:contextualSpacing/>
    </w:pPr>
  </w:style>
  <w:style w:type="paragraph" w:customStyle="1" w:styleId="Text">
    <w:name w:val="Text"/>
    <w:basedOn w:val="Normal"/>
    <w:rsid w:val="007D245F"/>
    <w:pPr>
      <w:overflowPunct w:val="0"/>
      <w:autoSpaceDE w:val="0"/>
      <w:autoSpaceDN w:val="0"/>
      <w:adjustRightInd w:val="0"/>
      <w:spacing w:after="220"/>
      <w:jc w:val="both"/>
      <w:textAlignment w:val="baseline"/>
    </w:pPr>
    <w:rPr>
      <w:rFonts w:ascii="Times New Roman" w:eastAsia="Times New Roman" w:hAnsi="Times New Roman"/>
      <w:snapToGrid w:val="0"/>
    </w:rPr>
  </w:style>
  <w:style w:type="paragraph" w:styleId="FootnoteText">
    <w:name w:val="footnote text"/>
    <w:basedOn w:val="Normal"/>
    <w:link w:val="FootnoteTextChar"/>
    <w:uiPriority w:val="99"/>
    <w:semiHidden/>
    <w:unhideWhenUsed/>
    <w:rsid w:val="009B3B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BBC"/>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9B3BBC"/>
    <w:rPr>
      <w:vertAlign w:val="superscript"/>
    </w:rPr>
  </w:style>
  <w:style w:type="paragraph" w:styleId="Header">
    <w:name w:val="header"/>
    <w:basedOn w:val="Normal"/>
    <w:link w:val="HeaderChar"/>
    <w:uiPriority w:val="99"/>
    <w:unhideWhenUsed/>
    <w:rsid w:val="00B92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001"/>
    <w:rPr>
      <w:rFonts w:ascii="Calibri" w:eastAsia="Calibri" w:hAnsi="Calibri" w:cs="Times New Roman"/>
    </w:rPr>
  </w:style>
  <w:style w:type="paragraph" w:styleId="Footer">
    <w:name w:val="footer"/>
    <w:basedOn w:val="Normal"/>
    <w:link w:val="FooterChar"/>
    <w:uiPriority w:val="99"/>
    <w:unhideWhenUsed/>
    <w:rsid w:val="00B92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001"/>
    <w:rPr>
      <w:rFonts w:ascii="Calibri" w:eastAsia="Calibri" w:hAnsi="Calibri" w:cs="Times New Roman"/>
    </w:rPr>
  </w:style>
  <w:style w:type="paragraph" w:customStyle="1" w:styleId="Formatofecha">
    <w:name w:val="Formato fecha"/>
    <w:basedOn w:val="Normal"/>
    <w:autoRedefine/>
    <w:rsid w:val="003F66F6"/>
    <w:pPr>
      <w:tabs>
        <w:tab w:val="left" w:pos="4891"/>
      </w:tabs>
      <w:spacing w:after="0" w:line="240" w:lineRule="auto"/>
    </w:pPr>
    <w:rPr>
      <w:rFonts w:eastAsia="Times New Roman"/>
      <w:sz w:val="16"/>
      <w:szCs w:val="16"/>
      <w:lang w:val="es-ES_tradnl"/>
    </w:rPr>
  </w:style>
  <w:style w:type="paragraph" w:styleId="EndnoteText">
    <w:name w:val="endnote text"/>
    <w:basedOn w:val="Normal"/>
    <w:link w:val="EndnoteTextChar"/>
    <w:uiPriority w:val="99"/>
    <w:semiHidden/>
    <w:unhideWhenUsed/>
    <w:rsid w:val="00822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8C0"/>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8228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53861">
      <w:bodyDiv w:val="1"/>
      <w:marLeft w:val="0"/>
      <w:marRight w:val="0"/>
      <w:marTop w:val="0"/>
      <w:marBottom w:val="0"/>
      <w:divBdr>
        <w:top w:val="none" w:sz="0" w:space="0" w:color="auto"/>
        <w:left w:val="none" w:sz="0" w:space="0" w:color="auto"/>
        <w:bottom w:val="none" w:sz="0" w:space="0" w:color="auto"/>
        <w:right w:val="none" w:sz="0" w:space="0" w:color="auto"/>
      </w:divBdr>
    </w:div>
    <w:div w:id="113715595">
      <w:bodyDiv w:val="1"/>
      <w:marLeft w:val="0"/>
      <w:marRight w:val="0"/>
      <w:marTop w:val="0"/>
      <w:marBottom w:val="0"/>
      <w:divBdr>
        <w:top w:val="none" w:sz="0" w:space="0" w:color="auto"/>
        <w:left w:val="none" w:sz="0" w:space="0" w:color="auto"/>
        <w:bottom w:val="none" w:sz="0" w:space="0" w:color="auto"/>
        <w:right w:val="none" w:sz="0" w:space="0" w:color="auto"/>
      </w:divBdr>
    </w:div>
    <w:div w:id="217673733">
      <w:bodyDiv w:val="1"/>
      <w:marLeft w:val="0"/>
      <w:marRight w:val="0"/>
      <w:marTop w:val="0"/>
      <w:marBottom w:val="0"/>
      <w:divBdr>
        <w:top w:val="none" w:sz="0" w:space="0" w:color="auto"/>
        <w:left w:val="none" w:sz="0" w:space="0" w:color="auto"/>
        <w:bottom w:val="none" w:sz="0" w:space="0" w:color="auto"/>
        <w:right w:val="none" w:sz="0" w:space="0" w:color="auto"/>
      </w:divBdr>
    </w:div>
    <w:div w:id="250087750">
      <w:bodyDiv w:val="1"/>
      <w:marLeft w:val="0"/>
      <w:marRight w:val="0"/>
      <w:marTop w:val="0"/>
      <w:marBottom w:val="0"/>
      <w:divBdr>
        <w:top w:val="none" w:sz="0" w:space="0" w:color="auto"/>
        <w:left w:val="none" w:sz="0" w:space="0" w:color="auto"/>
        <w:bottom w:val="none" w:sz="0" w:space="0" w:color="auto"/>
        <w:right w:val="none" w:sz="0" w:space="0" w:color="auto"/>
      </w:divBdr>
    </w:div>
    <w:div w:id="362438470">
      <w:bodyDiv w:val="1"/>
      <w:marLeft w:val="0"/>
      <w:marRight w:val="0"/>
      <w:marTop w:val="0"/>
      <w:marBottom w:val="0"/>
      <w:divBdr>
        <w:top w:val="none" w:sz="0" w:space="0" w:color="auto"/>
        <w:left w:val="none" w:sz="0" w:space="0" w:color="auto"/>
        <w:bottom w:val="none" w:sz="0" w:space="0" w:color="auto"/>
        <w:right w:val="none" w:sz="0" w:space="0" w:color="auto"/>
      </w:divBdr>
    </w:div>
    <w:div w:id="750352318">
      <w:bodyDiv w:val="1"/>
      <w:marLeft w:val="0"/>
      <w:marRight w:val="0"/>
      <w:marTop w:val="0"/>
      <w:marBottom w:val="0"/>
      <w:divBdr>
        <w:top w:val="none" w:sz="0" w:space="0" w:color="auto"/>
        <w:left w:val="none" w:sz="0" w:space="0" w:color="auto"/>
        <w:bottom w:val="none" w:sz="0" w:space="0" w:color="auto"/>
        <w:right w:val="none" w:sz="0" w:space="0" w:color="auto"/>
      </w:divBdr>
    </w:div>
    <w:div w:id="892354037">
      <w:bodyDiv w:val="1"/>
      <w:marLeft w:val="0"/>
      <w:marRight w:val="0"/>
      <w:marTop w:val="0"/>
      <w:marBottom w:val="0"/>
      <w:divBdr>
        <w:top w:val="none" w:sz="0" w:space="0" w:color="auto"/>
        <w:left w:val="none" w:sz="0" w:space="0" w:color="auto"/>
        <w:bottom w:val="none" w:sz="0" w:space="0" w:color="auto"/>
        <w:right w:val="none" w:sz="0" w:space="0" w:color="auto"/>
      </w:divBdr>
    </w:div>
    <w:div w:id="956183865">
      <w:bodyDiv w:val="1"/>
      <w:marLeft w:val="0"/>
      <w:marRight w:val="0"/>
      <w:marTop w:val="0"/>
      <w:marBottom w:val="0"/>
      <w:divBdr>
        <w:top w:val="none" w:sz="0" w:space="0" w:color="auto"/>
        <w:left w:val="none" w:sz="0" w:space="0" w:color="auto"/>
        <w:bottom w:val="none" w:sz="0" w:space="0" w:color="auto"/>
        <w:right w:val="none" w:sz="0" w:space="0" w:color="auto"/>
      </w:divBdr>
    </w:div>
    <w:div w:id="1663193255">
      <w:bodyDiv w:val="1"/>
      <w:marLeft w:val="0"/>
      <w:marRight w:val="0"/>
      <w:marTop w:val="0"/>
      <w:marBottom w:val="0"/>
      <w:divBdr>
        <w:top w:val="none" w:sz="0" w:space="0" w:color="auto"/>
        <w:left w:val="none" w:sz="0" w:space="0" w:color="auto"/>
        <w:bottom w:val="none" w:sz="0" w:space="0" w:color="auto"/>
        <w:right w:val="none" w:sz="0" w:space="0" w:color="auto"/>
      </w:divBdr>
    </w:div>
    <w:div w:id="202933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Excel_Worksheet1.xls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mailto:lsanzextremera@gruposantander.com"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mailto:fjmoro@gruposantand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Excel_Worksheet2.xlsx"/><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PowerPoint_Presentation4.ppt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ebmossrfs.mx.sov.corp/Policies%20Procedures%20and%20Templates/Forms/AllItems.aspx?RootFolder=%2FPolicies%20Procedures%20and%20Templates%2FRegulatory%20Capital%2FCapital%20Trend%20Summary&amp;FolderCTID=0x012000661B38C92AD17A448762D999E5E49578&amp;View=%7b61C30055-D3FE-40BE-89E7-B855B2FB3005%7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8B8B15A-7304-4971-8B08-23CC0C73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9</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Sovereign Bank</Company>
  <LinksUpToDate>false</LinksUpToDate>
  <CharactersWithSpaces>10254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Jaume Martorell</dc:creator>
  <cp:lastModifiedBy>Jaume Martorell</cp:lastModifiedBy>
  <cp:revision>11</cp:revision>
  <cp:lastPrinted>2015-12-11T16:12:00Z</cp:lastPrinted>
  <dcterms:created xsi:type="dcterms:W3CDTF">2016-01-21T14:25:00Z</dcterms:created>
  <dcterms:modified xsi:type="dcterms:W3CDTF">2016-02-18T16:12:00Z</dcterms:modified>
</cp:coreProperties>
</file>