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4825" w:rsidRPr="00254F62" w:rsidRDefault="00554825" w:rsidP="00554825">
      <w:pPr>
        <w:rPr>
          <w:b/>
          <w:u w:val="single"/>
        </w:rPr>
      </w:pPr>
      <w:r w:rsidRPr="00254F62">
        <w:rPr>
          <w:b/>
          <w:u w:val="single"/>
        </w:rPr>
        <w:t xml:space="preserve"> “Enhance top of the house risk policies” </w:t>
      </w:r>
    </w:p>
    <w:p w:rsidR="00554825" w:rsidRDefault="00554825" w:rsidP="00554825"/>
    <w:p w:rsidR="00554825" w:rsidRDefault="00554825" w:rsidP="00554825">
      <w:r>
        <w:t>Dates: align dates with new TOM</w:t>
      </w:r>
      <w:r w:rsidR="009A5A28">
        <w:t xml:space="preserve"> dates</w:t>
      </w:r>
      <w:r w:rsidR="00F94624">
        <w:t xml:space="preserve"> </w:t>
      </w:r>
      <w:r w:rsidR="000215B9">
        <w:t>(7/13-11/30)</w:t>
      </w:r>
    </w:p>
    <w:p w:rsidR="00554825" w:rsidRDefault="00554825" w:rsidP="00554825">
      <w:r>
        <w:t>I would expect that these dates</w:t>
      </w:r>
      <w:r w:rsidR="00F94624">
        <w:t xml:space="preserve"> </w:t>
      </w:r>
      <w:r>
        <w:t xml:space="preserve">(highlighted in yellow) would </w:t>
      </w:r>
      <w:r w:rsidRPr="006909A6">
        <w:rPr>
          <w:highlight w:val="yellow"/>
        </w:rPr>
        <w:t>change to be more aligned with the new operating model design</w:t>
      </w:r>
      <w:r>
        <w:t xml:space="preserve"> / implementation planning approach and timeline. It wouldn’t make sense to be defining the operating model for a given risk type and planning implementation if the corresponding top of the house policy for that risk type was not finalized (the policy is critical to set the roles and responsibilities across the 3 </w:t>
      </w:r>
      <w:proofErr w:type="spellStart"/>
      <w:r>
        <w:t>LoD</w:t>
      </w:r>
      <w:proofErr w:type="spellEnd"/>
      <w:r>
        <w:t xml:space="preserve">, SHUSA vs. subsidiary). </w:t>
      </w:r>
    </w:p>
    <w:p w:rsidR="00F0639B" w:rsidRDefault="00F0639B" w:rsidP="00554825"/>
    <w:p w:rsidR="00F0639B" w:rsidRDefault="00F0639B" w:rsidP="00554825"/>
    <w:p w:rsidR="00554825" w:rsidRDefault="00554825" w:rsidP="00554825">
      <w:r>
        <w:t xml:space="preserve">Further details under this item: </w:t>
      </w:r>
    </w:p>
    <w:p w:rsidR="00554825" w:rsidRDefault="00554825" w:rsidP="00554825">
      <w:r>
        <w:t xml:space="preserve">Besides the overall dates, I believe we should </w:t>
      </w:r>
      <w:r w:rsidRPr="009A5A28">
        <w:rPr>
          <w:highlight w:val="yellow"/>
        </w:rPr>
        <w:t>target some further details</w:t>
      </w:r>
      <w:r>
        <w:t xml:space="preserve"> under this deliverable so we can track each and every top of the house risk policy we plan to enhance separately.</w:t>
      </w:r>
    </w:p>
    <w:p w:rsidR="00F94624" w:rsidRDefault="00F94624" w:rsidP="00554825"/>
    <w:p w:rsidR="00967D50" w:rsidRPr="00967D50" w:rsidRDefault="00967D50" w:rsidP="00554825">
      <w:pPr>
        <w:rPr>
          <w:b/>
          <w:u w:val="single"/>
        </w:rPr>
      </w:pPr>
      <w:r w:rsidRPr="00967D50">
        <w:rPr>
          <w:b/>
          <w:u w:val="single"/>
        </w:rPr>
        <w:t>0821 Team Meeting @ Matt’s office</w:t>
      </w:r>
    </w:p>
    <w:p w:rsidR="00967D50" w:rsidRDefault="00967D50" w:rsidP="00554825"/>
    <w:p w:rsidR="00F94624" w:rsidRPr="00967D50" w:rsidRDefault="00F94624" w:rsidP="00554825">
      <w:r w:rsidRPr="00967D50">
        <w:t>SCUSA risky and concern, but comfortable with the progress, downgrade red risk</w:t>
      </w:r>
    </w:p>
    <w:p w:rsidR="00F94624" w:rsidRPr="00967D50" w:rsidRDefault="00F94624" w:rsidP="00554825"/>
    <w:p w:rsidR="00F94624" w:rsidRPr="00967D50" w:rsidRDefault="00F94624" w:rsidP="00554825">
      <w:r w:rsidRPr="00967D50">
        <w:t>Scott-1</w:t>
      </w:r>
      <w:r w:rsidRPr="00967D50">
        <w:rPr>
          <w:vertAlign w:val="superscript"/>
        </w:rPr>
        <w:t>st</w:t>
      </w:r>
      <w:r w:rsidRPr="00967D50">
        <w:t xml:space="preserve"> wave reports cover all types from risks, feedback to OW</w:t>
      </w:r>
    </w:p>
    <w:p w:rsidR="00F94624" w:rsidRPr="00967D50" w:rsidRDefault="00F94624" w:rsidP="00554825"/>
    <w:p w:rsidR="005467A2" w:rsidRDefault="00F94624" w:rsidP="00554825">
      <w:r w:rsidRPr="00967D50">
        <w:t xml:space="preserve">Tell story </w:t>
      </w:r>
      <w:r w:rsidR="006A72CD" w:rsidRPr="00967D50">
        <w:t>to Fed in the face to face meeting, supporting materials, introduction/overview/focus on a few items to elaborate</w:t>
      </w:r>
    </w:p>
    <w:p w:rsidR="00E806FF" w:rsidRPr="00967D50" w:rsidRDefault="00E806FF" w:rsidP="00554825"/>
    <w:p w:rsidR="005467A2" w:rsidRDefault="005467A2" w:rsidP="00554825">
      <w:pPr>
        <w:rPr>
          <w:b/>
        </w:rPr>
      </w:pPr>
    </w:p>
    <w:p w:rsidR="00D67EE2" w:rsidRPr="001872D5" w:rsidRDefault="00F94624" w:rsidP="00554825">
      <w:pPr>
        <w:rPr>
          <w:b/>
          <w:u w:val="single"/>
        </w:rPr>
      </w:pPr>
      <w:r w:rsidRPr="001872D5">
        <w:rPr>
          <w:b/>
          <w:u w:val="single"/>
        </w:rPr>
        <w:t xml:space="preserve"> </w:t>
      </w:r>
      <w:r w:rsidR="00D67EE2" w:rsidRPr="001872D5">
        <w:rPr>
          <w:b/>
          <w:u w:val="single"/>
        </w:rPr>
        <w:t>0824 Weekly PMO meeting</w:t>
      </w:r>
    </w:p>
    <w:p w:rsidR="00D67EE2" w:rsidRPr="00F94624" w:rsidRDefault="00D67EE2" w:rsidP="00554825">
      <w:pPr>
        <w:rPr>
          <w:b/>
        </w:rPr>
      </w:pPr>
    </w:p>
    <w:p w:rsidR="00173045" w:rsidRDefault="001872D5">
      <w:r>
        <w:t>Track progress to documentation, current on documentation, date received/approval by whom, past due task</w:t>
      </w:r>
    </w:p>
    <w:p w:rsidR="001872D5" w:rsidRDefault="005F7D46">
      <w:r>
        <w:t xml:space="preserve"> Open MRA/MRIA work on traceability </w:t>
      </w:r>
    </w:p>
    <w:p w:rsidR="005F7D46" w:rsidRDefault="005F7D46"/>
    <w:p w:rsidR="005F7D46" w:rsidRPr="00967D50" w:rsidRDefault="005F7D46">
      <w:pPr>
        <w:rPr>
          <w:b/>
        </w:rPr>
      </w:pPr>
      <w:r w:rsidRPr="00967D50">
        <w:rPr>
          <w:b/>
        </w:rPr>
        <w:t>Roles/</w:t>
      </w:r>
      <w:r w:rsidR="00F860E2" w:rsidRPr="00967D50">
        <w:rPr>
          <w:b/>
        </w:rPr>
        <w:t>Responsibilities</w:t>
      </w:r>
    </w:p>
    <w:p w:rsidR="005F7D46" w:rsidRDefault="005F7D46">
      <w:r>
        <w:t xml:space="preserve">Risk MI stakeholder </w:t>
      </w:r>
      <w:proofErr w:type="spellStart"/>
      <w:r>
        <w:t>Arief</w:t>
      </w:r>
      <w:proofErr w:type="spellEnd"/>
      <w:r w:rsidR="006359EA">
        <w:t xml:space="preserve"> and more stakeholder were added to the stakeholder group, track the new stakeholder down</w:t>
      </w:r>
    </w:p>
    <w:p w:rsidR="00A75D32" w:rsidRDefault="00A75D32"/>
    <w:p w:rsidR="00A75D32" w:rsidRPr="00A75D32" w:rsidRDefault="00A75D32">
      <w:pPr>
        <w:rPr>
          <w:b/>
          <w:u w:val="single"/>
        </w:rPr>
      </w:pPr>
      <w:bookmarkStart w:id="0" w:name="_GoBack"/>
      <w:r w:rsidRPr="00A75D32">
        <w:rPr>
          <w:b/>
          <w:u w:val="single"/>
        </w:rPr>
        <w:t>Fed Q&amp;A</w:t>
      </w:r>
    </w:p>
    <w:bookmarkEnd w:id="0"/>
    <w:p w:rsidR="006359EA" w:rsidRDefault="006359EA"/>
    <w:p w:rsidR="00A75D32" w:rsidRDefault="00A75D32" w:rsidP="00A75D32">
      <w:pPr>
        <w:pStyle w:val="ListParagraph"/>
        <w:numPr>
          <w:ilvl w:val="0"/>
          <w:numId w:val="1"/>
        </w:numPr>
      </w:pPr>
      <w:r>
        <w:t>Interaction between Risk Appetite calibration and material risk identification and aggregation</w:t>
      </w:r>
    </w:p>
    <w:p w:rsidR="00A75D32" w:rsidRDefault="00A75D32" w:rsidP="00A75D32">
      <w:pPr>
        <w:pStyle w:val="ListParagraph"/>
        <w:numPr>
          <w:ilvl w:val="0"/>
          <w:numId w:val="1"/>
        </w:numPr>
      </w:pPr>
      <w:r>
        <w:t xml:space="preserve">Foundational risk vs. material risk </w:t>
      </w:r>
    </w:p>
    <w:p w:rsidR="006359EA" w:rsidRDefault="006359EA"/>
    <w:sectPr w:rsidR="006359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9476C4"/>
    <w:multiLevelType w:val="hybridMultilevel"/>
    <w:tmpl w:val="0448961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7684"/>
    <w:rsid w:val="000215B9"/>
    <w:rsid w:val="00173045"/>
    <w:rsid w:val="001872D5"/>
    <w:rsid w:val="001B7684"/>
    <w:rsid w:val="00254F62"/>
    <w:rsid w:val="005467A2"/>
    <w:rsid w:val="00554825"/>
    <w:rsid w:val="005F7D46"/>
    <w:rsid w:val="006359EA"/>
    <w:rsid w:val="006909A6"/>
    <w:rsid w:val="006A72CD"/>
    <w:rsid w:val="00700B1D"/>
    <w:rsid w:val="00967D50"/>
    <w:rsid w:val="009A5A28"/>
    <w:rsid w:val="00A75D32"/>
    <w:rsid w:val="00D67EE2"/>
    <w:rsid w:val="00E806FF"/>
    <w:rsid w:val="00F0639B"/>
    <w:rsid w:val="00F860E2"/>
    <w:rsid w:val="00F946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4825"/>
    <w:pPr>
      <w:spacing w:after="0" w:line="240" w:lineRule="auto"/>
    </w:pPr>
    <w:rPr>
      <w:rFonts w:ascii="Calibri" w:eastAsia="SimSu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359EA"/>
    <w:pPr>
      <w:spacing w:before="100" w:beforeAutospacing="1" w:after="100" w:afterAutospacing="1"/>
    </w:pPr>
    <w:rPr>
      <w:rFonts w:ascii="Times New Roman" w:eastAsia="Times New Roman" w:hAnsi="Times New Roman"/>
      <w:sz w:val="24"/>
      <w:szCs w:val="24"/>
    </w:rPr>
  </w:style>
  <w:style w:type="paragraph" w:styleId="ListParagraph">
    <w:name w:val="List Paragraph"/>
    <w:basedOn w:val="Normal"/>
    <w:uiPriority w:val="34"/>
    <w:qFormat/>
    <w:rsid w:val="00A75D32"/>
    <w:pPr>
      <w:spacing w:after="200" w:line="276" w:lineRule="auto"/>
      <w:ind w:left="720"/>
      <w:contextualSpacing/>
    </w:pPr>
    <w:rPr>
      <w:rFonts w:asciiTheme="minorHAnsi" w:eastAsiaTheme="minorEastAsia" w:hAnsiTheme="minorHAnsi" w:cstheme="minorBid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4825"/>
    <w:pPr>
      <w:spacing w:after="0" w:line="240" w:lineRule="auto"/>
    </w:pPr>
    <w:rPr>
      <w:rFonts w:ascii="Calibri" w:eastAsia="SimSu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359EA"/>
    <w:pPr>
      <w:spacing w:before="100" w:beforeAutospacing="1" w:after="100" w:afterAutospacing="1"/>
    </w:pPr>
    <w:rPr>
      <w:rFonts w:ascii="Times New Roman" w:eastAsia="Times New Roman" w:hAnsi="Times New Roman"/>
      <w:sz w:val="24"/>
      <w:szCs w:val="24"/>
    </w:rPr>
  </w:style>
  <w:style w:type="paragraph" w:styleId="ListParagraph">
    <w:name w:val="List Paragraph"/>
    <w:basedOn w:val="Normal"/>
    <w:uiPriority w:val="34"/>
    <w:qFormat/>
    <w:rsid w:val="00A75D32"/>
    <w:pPr>
      <w:spacing w:after="200" w:line="276" w:lineRule="auto"/>
      <w:ind w:left="720"/>
      <w:contextualSpacing/>
    </w:pPr>
    <w:rPr>
      <w:rFonts w:asciiTheme="minorHAnsi" w:eastAsiaTheme="minorEastAsia"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2964719">
      <w:bodyDiv w:val="1"/>
      <w:marLeft w:val="0"/>
      <w:marRight w:val="0"/>
      <w:marTop w:val="0"/>
      <w:marBottom w:val="0"/>
      <w:divBdr>
        <w:top w:val="none" w:sz="0" w:space="0" w:color="auto"/>
        <w:left w:val="none" w:sz="0" w:space="0" w:color="auto"/>
        <w:bottom w:val="none" w:sz="0" w:space="0" w:color="auto"/>
        <w:right w:val="none" w:sz="0" w:space="0" w:color="auto"/>
      </w:divBdr>
    </w:div>
    <w:div w:id="1199972935">
      <w:bodyDiv w:val="1"/>
      <w:marLeft w:val="0"/>
      <w:marRight w:val="0"/>
      <w:marTop w:val="0"/>
      <w:marBottom w:val="0"/>
      <w:divBdr>
        <w:top w:val="none" w:sz="0" w:space="0" w:color="auto"/>
        <w:left w:val="none" w:sz="0" w:space="0" w:color="auto"/>
        <w:bottom w:val="none" w:sz="0" w:space="0" w:color="auto"/>
        <w:right w:val="none" w:sz="0" w:space="0" w:color="auto"/>
      </w:divBdr>
    </w:div>
    <w:div w:id="1728602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00184117-9A94-4F5A-827E-31AD476093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345</TotalTime>
  <Pages>1</Pages>
  <Words>230</Words>
  <Characters>1317</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Sovereign Bank</Company>
  <LinksUpToDate>false</LinksUpToDate>
  <CharactersWithSpaces>1544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Zhiyi</dc:creator>
  <cp:keywords/>
  <dc:description/>
  <cp:lastModifiedBy>Zhang, Zhiyi</cp:lastModifiedBy>
  <cp:revision>15</cp:revision>
  <dcterms:created xsi:type="dcterms:W3CDTF">2015-08-21T16:57:00Z</dcterms:created>
  <dcterms:modified xsi:type="dcterms:W3CDTF">2015-08-31T20:56:00Z</dcterms:modified>
</cp:coreProperties>
</file>