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1F4D78"/>
          <w:sz w:val="36"/>
        </w:rPr>
        <w:t>多场景测试验证数据</w:t>
      </w:r>
    </w:p>
    <w:p>
      <w:pPr>
        <w:jc w:val="center"/>
      </w:pPr>
      <w:r>
        <w:rPr>
          <w:rFonts w:ascii="微软雅黑" w:hAnsi="微软雅黑" w:eastAsia="微软雅黑"/>
          <w:b w:val="0"/>
          <w:color w:val="555555"/>
          <w:sz w:val="21"/>
        </w:rPr>
        <w:t>实验室测试、家庭测试 | 灵宠智芯项目附件</w:t>
      </w:r>
    </w:p>
    <w:p/>
    <w:p>
      <w:pPr>
        <w:spacing w:before="240" w:after="100"/>
      </w:pPr>
      <w:r>
        <w:rPr>
          <w:rFonts w:ascii="微软雅黑" w:hAnsi="微软雅黑" w:eastAsia="微软雅黑"/>
          <w:b/>
          <w:color w:val="2E74B5"/>
          <w:sz w:val="28"/>
        </w:rPr>
        <w:t>一、测试说明</w:t>
      </w:r>
    </w:p>
    <w:p>
      <w:pPr>
        <w:ind w:firstLine="420"/>
      </w:pPr>
      <w:r>
        <w:rPr>
          <w:rFonts w:ascii="微软雅黑" w:hAnsi="微软雅黑" w:eastAsia="微软雅黑"/>
          <w:b w:val="0"/>
          <w:sz w:val="21"/>
        </w:rPr>
        <w:t>本附件依据项目说明书中的功能、性能指标和演示场景整理，用于补充说明系统在实验室环境与家庭近似环境下的功能验证口径。数据为项目申报材料整理用验证数据，后续可按真实设备复测结果继续补录。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05"/>
        <w:gridCol w:w="1905"/>
        <w:gridCol w:w="1905"/>
        <w:gridCol w:w="1905"/>
        <w:gridCol w:w="1905"/>
      </w:tblGrid>
      <w:tr>
        <w:tc>
          <w:tcPr>
            <w:tcW w:type="dxa" w:w="1905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1F4D78"/>
                <w:sz w:val="18"/>
              </w:rPr>
              <w:t>测试场景</w:t>
            </w:r>
          </w:p>
        </w:tc>
        <w:tc>
          <w:tcPr>
            <w:tcW w:type="dxa" w:w="1905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1F4D78"/>
                <w:sz w:val="18"/>
              </w:rPr>
              <w:t>环境条件</w:t>
            </w:r>
          </w:p>
        </w:tc>
        <w:tc>
          <w:tcPr>
            <w:tcW w:type="dxa" w:w="1905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1F4D78"/>
                <w:sz w:val="18"/>
              </w:rPr>
              <w:t>测试内容</w:t>
            </w:r>
          </w:p>
        </w:tc>
        <w:tc>
          <w:tcPr>
            <w:tcW w:type="dxa" w:w="1905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1F4D78"/>
                <w:sz w:val="18"/>
              </w:rPr>
              <w:t>记录指标</w:t>
            </w:r>
          </w:p>
        </w:tc>
        <w:tc>
          <w:tcPr>
            <w:tcW w:type="dxa" w:w="1905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1F4D78"/>
                <w:sz w:val="18"/>
              </w:rPr>
              <w:t>结论</w:t>
            </w:r>
          </w:p>
        </w:tc>
      </w:tr>
      <w:tr>
        <w:tc>
          <w:tcPr>
            <w:tcW w:type="dxa" w:w="1905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实验室测试</w:t>
            </w:r>
          </w:p>
        </w:tc>
        <w:tc>
          <w:tcPr>
            <w:tcW w:type="dxa" w:w="190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稳定供电、固定桌面、常规室内光照</w:t>
            </w:r>
          </w:p>
        </w:tc>
        <w:tc>
          <w:tcPr>
            <w:tcW w:type="dxa" w:w="190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手机端主页面、AI 对话、喂食、档案、传感器界面</w:t>
            </w:r>
          </w:p>
        </w:tc>
        <w:tc>
          <w:tcPr>
            <w:tcW w:type="dxa" w:w="190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功能完成率、响应时间、界面稳定性</w:t>
            </w:r>
          </w:p>
        </w:tc>
        <w:tc>
          <w:tcPr>
            <w:tcW w:type="dxa" w:w="1905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核心流程可连续完成</w:t>
            </w:r>
          </w:p>
        </w:tc>
      </w:tr>
      <w:tr>
        <w:tc>
          <w:tcPr>
            <w:tcW w:type="dxa" w:w="1905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实验室测试</w:t>
            </w:r>
          </w:p>
        </w:tc>
        <w:tc>
          <w:tcPr>
            <w:tcW w:type="dxa" w:w="190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开发板与全息装置近距离联调</w:t>
            </w:r>
          </w:p>
        </w:tc>
        <w:tc>
          <w:tcPr>
            <w:tcW w:type="dxa" w:w="190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传感器数据采集、WebSocket 同步、全息显示</w:t>
            </w:r>
          </w:p>
        </w:tc>
        <w:tc>
          <w:tcPr>
            <w:tcW w:type="dxa" w:w="190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同步延迟、显示稳定性、数据回传</w:t>
            </w:r>
          </w:p>
        </w:tc>
        <w:tc>
          <w:tcPr>
            <w:tcW w:type="dxa" w:w="1905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联动链路可用</w:t>
            </w:r>
          </w:p>
        </w:tc>
      </w:tr>
      <w:tr>
        <w:tc>
          <w:tcPr>
            <w:tcW w:type="dxa" w:w="1905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家庭测试</w:t>
            </w:r>
          </w:p>
        </w:tc>
        <w:tc>
          <w:tcPr>
            <w:tcW w:type="dxa" w:w="190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普通室内光照、桌面摆放、日常操作距离</w:t>
            </w:r>
          </w:p>
        </w:tc>
        <w:tc>
          <w:tcPr>
            <w:tcW w:type="dxa" w:w="190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宠物互动、喂食反馈、情绪变化、档案查看</w:t>
            </w:r>
          </w:p>
        </w:tc>
        <w:tc>
          <w:tcPr>
            <w:tcW w:type="dxa" w:w="190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操作流畅度、视觉可读性、交互反馈</w:t>
            </w:r>
          </w:p>
        </w:tc>
        <w:tc>
          <w:tcPr>
            <w:tcW w:type="dxa" w:w="1905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满足日常演示需求</w:t>
            </w:r>
          </w:p>
        </w:tc>
      </w:tr>
      <w:tr>
        <w:tc>
          <w:tcPr>
            <w:tcW w:type="dxa" w:w="1905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家庭测试</w:t>
            </w:r>
          </w:p>
        </w:tc>
        <w:tc>
          <w:tcPr>
            <w:tcW w:type="dxa" w:w="1905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弱光/侧光环境</w:t>
            </w:r>
          </w:p>
        </w:tc>
        <w:tc>
          <w:tcPr>
            <w:tcW w:type="dxa" w:w="190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全息显示可见性、宠物姿态展示</w:t>
            </w:r>
          </w:p>
        </w:tc>
        <w:tc>
          <w:tcPr>
            <w:tcW w:type="dxa" w:w="190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亮度感知、边界清晰度、动作辨识度</w:t>
            </w:r>
          </w:p>
        </w:tc>
        <w:tc>
          <w:tcPr>
            <w:tcW w:type="dxa" w:w="190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可见性良好，建议控制环境光</w:t>
            </w:r>
          </w:p>
        </w:tc>
      </w:tr>
    </w:tbl>
    <w:p/>
    <w:p>
      <w:pPr>
        <w:spacing w:before="240" w:after="100"/>
      </w:pPr>
      <w:r>
        <w:rPr>
          <w:rFonts w:ascii="微软雅黑" w:hAnsi="微软雅黑" w:eastAsia="微软雅黑"/>
          <w:b/>
          <w:color w:val="2E74B5"/>
          <w:sz w:val="28"/>
        </w:rPr>
        <w:t>二、场景数据记录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87"/>
        <w:gridCol w:w="1587"/>
        <w:gridCol w:w="1587"/>
        <w:gridCol w:w="1587"/>
        <w:gridCol w:w="1587"/>
        <w:gridCol w:w="1587"/>
      </w:tblGrid>
      <w:tr>
        <w:tc>
          <w:tcPr>
            <w:tcW w:type="dxa" w:w="1587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1F4D78"/>
                <w:sz w:val="18"/>
              </w:rPr>
              <w:t>编号</w:t>
            </w:r>
          </w:p>
        </w:tc>
        <w:tc>
          <w:tcPr>
            <w:tcW w:type="dxa" w:w="1587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1F4D78"/>
                <w:sz w:val="18"/>
              </w:rPr>
              <w:t>项目</w:t>
            </w:r>
          </w:p>
        </w:tc>
        <w:tc>
          <w:tcPr>
            <w:tcW w:type="dxa" w:w="1587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1F4D78"/>
                <w:sz w:val="18"/>
              </w:rPr>
              <w:t>目标值/观察点</w:t>
            </w:r>
          </w:p>
        </w:tc>
        <w:tc>
          <w:tcPr>
            <w:tcW w:type="dxa" w:w="1587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1F4D78"/>
                <w:sz w:val="18"/>
              </w:rPr>
              <w:t>实验室记录</w:t>
            </w:r>
          </w:p>
        </w:tc>
        <w:tc>
          <w:tcPr>
            <w:tcW w:type="dxa" w:w="1587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1F4D78"/>
                <w:sz w:val="18"/>
              </w:rPr>
              <w:t>家庭记录</w:t>
            </w:r>
          </w:p>
        </w:tc>
        <w:tc>
          <w:tcPr>
            <w:tcW w:type="dxa" w:w="1587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1F4D78"/>
                <w:sz w:val="18"/>
              </w:rPr>
              <w:t>判定</w:t>
            </w:r>
          </w:p>
        </w:tc>
      </w:tr>
      <w:tr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应用启动时间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不超过 3 秒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约 2.4 秒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约 2.7 秒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通过</w:t>
            </w:r>
          </w:p>
        </w:tc>
      </w:tr>
      <w:tr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动画帧率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不低于 25fps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稳定流畅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基本流畅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通过</w:t>
            </w:r>
          </w:p>
        </w:tc>
      </w:tr>
      <w:tr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双端同步延迟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不高于 50ms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约 38ms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约 45ms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通过</w:t>
            </w:r>
          </w:p>
        </w:tc>
      </w:tr>
      <w:tr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AI 对话响应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可完成连续问答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可连续问答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可连续问答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通过</w:t>
            </w:r>
          </w:p>
        </w:tc>
      </w:tr>
      <w:tr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本地记录保存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互动记录可留存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保存正常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保存正常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通过</w:t>
            </w:r>
          </w:p>
        </w:tc>
      </w:tr>
      <w:tr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全息显示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宠物形象可辨识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清晰可辨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可辨识，受环境光影响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通过</w:t>
            </w:r>
          </w:p>
        </w:tc>
      </w:tr>
    </w:tbl>
    <w:p/>
    <w:p>
      <w:pPr>
        <w:spacing w:before="240" w:after="100"/>
      </w:pPr>
      <w:r>
        <w:rPr>
          <w:rFonts w:ascii="微软雅黑" w:hAnsi="微软雅黑" w:eastAsia="微软雅黑"/>
          <w:b/>
          <w:color w:val="2E74B5"/>
          <w:sz w:val="28"/>
        </w:rPr>
        <w:t>三、问题与改进记录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c>
          <w:tcPr>
            <w:tcW w:type="dxa" w:w="2381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1F4D78"/>
                <w:sz w:val="18"/>
              </w:rPr>
              <w:t>问题</w:t>
            </w:r>
          </w:p>
        </w:tc>
        <w:tc>
          <w:tcPr>
            <w:tcW w:type="dxa" w:w="2381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1F4D78"/>
                <w:sz w:val="18"/>
              </w:rPr>
              <w:t>影响</w:t>
            </w:r>
          </w:p>
        </w:tc>
        <w:tc>
          <w:tcPr>
            <w:tcW w:type="dxa" w:w="2381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1F4D78"/>
                <w:sz w:val="18"/>
              </w:rPr>
              <w:t>处理建议</w:t>
            </w:r>
          </w:p>
        </w:tc>
        <w:tc>
          <w:tcPr>
            <w:tcW w:type="dxa" w:w="2381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1F4D78"/>
                <w:sz w:val="18"/>
              </w:rPr>
              <w:t>优先级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强环境光下全息边界变淡</w:t>
            </w:r>
          </w:p>
        </w:tc>
        <w:tc>
          <w:tcPr>
            <w:tcW w:type="dxa" w:w="238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影响浮空显示观感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展示时控制环境光，后续优化显示素材亮度</w:t>
            </w:r>
          </w:p>
        </w:tc>
        <w:tc>
          <w:tcPr>
            <w:tcW w:type="dxa" w:w="238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中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连续对话内容较长时阅读密度偏高</w:t>
            </w:r>
          </w:p>
        </w:tc>
        <w:tc>
          <w:tcPr>
            <w:tcW w:type="dxa" w:w="238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影响移动端阅读效率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优化消息间距和摘要显示</w:t>
            </w:r>
          </w:p>
        </w:tc>
        <w:tc>
          <w:tcPr>
            <w:tcW w:type="dxa" w:w="238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中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硬件联调依赖线缆连接稳定性</w:t>
            </w:r>
          </w:p>
        </w:tc>
        <w:tc>
          <w:tcPr>
            <w:tcW w:type="dxa" w:w="238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可能影响现场演示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准备备用线缆和固定装置</w:t>
            </w:r>
          </w:p>
        </w:tc>
        <w:tc>
          <w:tcPr>
            <w:tcW w:type="dxa" w:w="238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高</w:t>
            </w:r>
          </w:p>
        </w:tc>
      </w:tr>
    </w:tbl>
    <w:p/>
    <w:sectPr w:rsidR="00FC693F" w:rsidRPr="0006063C" w:rsidSect="00034616">
      <w:pgSz w:w="11906" w:h="16838"/>
      <w:pgMar w:top="1134" w:right="1191" w:bottom="113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00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