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4D78"/>
          <w:sz w:val="36"/>
        </w:rPr>
        <w:t>系统测试报告</w:t>
      </w:r>
    </w:p>
    <w:p>
      <w:pPr>
        <w:jc w:val="center"/>
      </w:pPr>
      <w:r>
        <w:rPr>
          <w:rFonts w:ascii="微软雅黑" w:hAnsi="微软雅黑" w:eastAsia="微软雅黑"/>
          <w:b w:val="0"/>
          <w:color w:val="555555"/>
          <w:sz w:val="21"/>
        </w:rPr>
        <w:t>功能测试与性能测试结果 | 基于OpenHarmony与人工智能记忆增强的多模态全息数字虚拟宠物项目附件</w:t>
      </w:r>
    </w:p>
    <w:p/>
    <w:p>
      <w:pPr>
        <w:spacing w:before="240" w:after="100"/>
      </w:pPr>
      <w:r>
        <w:rPr>
          <w:rFonts w:ascii="微软雅黑" w:hAnsi="微软雅黑" w:eastAsia="微软雅黑"/>
          <w:b/>
          <w:color w:val="2E74B5"/>
          <w:sz w:val="28"/>
        </w:rPr>
        <w:t>一、测试范围</w:t>
      </w:r>
    </w:p>
    <w:p>
      <w:pPr>
        <w:ind w:firstLine="420"/>
      </w:pPr>
      <w:r>
        <w:rPr>
          <w:rFonts w:ascii="微软雅黑" w:hAnsi="微软雅黑" w:eastAsia="微软雅黑"/>
          <w:b w:val="0"/>
          <w:sz w:val="21"/>
        </w:rPr>
        <w:t>本报告覆盖移动端功能、AI 交互、宠物状态成长、本地存储、双端同步、传感器反馈、全息显示和基础性能指标。测试结论用于补充项目申报材料中的系统实现与验证说明。</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shd w:fill="F2F4F7"/>
            <w:vAlign w:val="center"/>
          </w:tcPr>
          <w:p>
            <w:pPr>
              <w:jc w:val="center"/>
            </w:pPr>
            <w:r/>
            <w:r>
              <w:rPr>
                <w:rFonts w:ascii="微软雅黑" w:hAnsi="微软雅黑" w:eastAsia="微软雅黑"/>
                <w:b/>
                <w:color w:val="1F4D78"/>
                <w:sz w:val="18"/>
              </w:rPr>
              <w:t>模块</w:t>
            </w:r>
          </w:p>
        </w:tc>
        <w:tc>
          <w:tcPr>
            <w:tcW w:type="dxa" w:w="1905"/>
            <w:shd w:fill="F2F4F7"/>
            <w:vAlign w:val="center"/>
          </w:tcPr>
          <w:p>
            <w:pPr>
              <w:jc w:val="center"/>
            </w:pPr>
            <w:r/>
            <w:r>
              <w:rPr>
                <w:rFonts w:ascii="微软雅黑" w:hAnsi="微软雅黑" w:eastAsia="微软雅黑"/>
                <w:b/>
                <w:color w:val="1F4D78"/>
                <w:sz w:val="18"/>
              </w:rPr>
              <w:t>测试项</w:t>
            </w:r>
          </w:p>
        </w:tc>
        <w:tc>
          <w:tcPr>
            <w:tcW w:type="dxa" w:w="1905"/>
            <w:shd w:fill="F2F4F7"/>
            <w:vAlign w:val="center"/>
          </w:tcPr>
          <w:p>
            <w:pPr>
              <w:jc w:val="center"/>
            </w:pPr>
            <w:r/>
            <w:r>
              <w:rPr>
                <w:rFonts w:ascii="微软雅黑" w:hAnsi="微软雅黑" w:eastAsia="微软雅黑"/>
                <w:b/>
                <w:color w:val="1F4D78"/>
                <w:sz w:val="18"/>
              </w:rPr>
              <w:t>预期结果</w:t>
            </w:r>
          </w:p>
        </w:tc>
        <w:tc>
          <w:tcPr>
            <w:tcW w:type="dxa" w:w="1905"/>
            <w:shd w:fill="F2F4F7"/>
            <w:vAlign w:val="center"/>
          </w:tcPr>
          <w:p>
            <w:pPr>
              <w:jc w:val="center"/>
            </w:pPr>
            <w:r/>
            <w:r>
              <w:rPr>
                <w:rFonts w:ascii="微软雅黑" w:hAnsi="微软雅黑" w:eastAsia="微软雅黑"/>
                <w:b/>
                <w:color w:val="1F4D78"/>
                <w:sz w:val="18"/>
              </w:rPr>
              <w:t>测试结果</w:t>
            </w:r>
          </w:p>
        </w:tc>
        <w:tc>
          <w:tcPr>
            <w:tcW w:type="dxa" w:w="1905"/>
            <w:shd w:fill="F2F4F7"/>
            <w:vAlign w:val="center"/>
          </w:tcPr>
          <w:p>
            <w:pPr>
              <w:jc w:val="center"/>
            </w:pPr>
            <w:r/>
            <w:r>
              <w:rPr>
                <w:rFonts w:ascii="微软雅黑" w:hAnsi="微软雅黑" w:eastAsia="微软雅黑"/>
                <w:b/>
                <w:color w:val="1F4D78"/>
                <w:sz w:val="18"/>
              </w:rPr>
              <w:t>结论</w:t>
            </w:r>
          </w:p>
        </w:tc>
      </w:tr>
      <w:tr>
        <w:tc>
          <w:tcPr>
            <w:tcW w:type="dxa" w:w="1905"/>
            <w:vAlign w:val="center"/>
          </w:tcPr>
          <w:p>
            <w:pPr>
              <w:jc w:val="center"/>
            </w:pPr>
            <w:r/>
            <w:r>
              <w:rPr>
                <w:rFonts w:ascii="微软雅黑" w:hAnsi="微软雅黑" w:eastAsia="微软雅黑"/>
                <w:b w:val="0"/>
                <w:sz w:val="18"/>
              </w:rPr>
              <w:t>移动端首页</w:t>
            </w:r>
          </w:p>
        </w:tc>
        <w:tc>
          <w:tcPr>
            <w:tcW w:type="dxa" w:w="1905"/>
            <w:vAlign w:val="center"/>
          </w:tcPr>
          <w:p>
            <w:pPr>
              <w:jc w:val="left"/>
            </w:pPr>
            <w:r/>
            <w:r>
              <w:rPr>
                <w:rFonts w:ascii="微软雅黑" w:hAnsi="微软雅黑" w:eastAsia="微软雅黑"/>
                <w:b w:val="0"/>
                <w:sz w:val="18"/>
              </w:rPr>
              <w:t>宠物状态展示与入口跳转</w:t>
            </w:r>
          </w:p>
        </w:tc>
        <w:tc>
          <w:tcPr>
            <w:tcW w:type="dxa" w:w="1905"/>
            <w:vAlign w:val="center"/>
          </w:tcPr>
          <w:p>
            <w:pPr>
              <w:jc w:val="left"/>
            </w:pPr>
            <w:r/>
            <w:r>
              <w:rPr>
                <w:rFonts w:ascii="微软雅黑" w:hAnsi="微软雅黑" w:eastAsia="微软雅黑"/>
                <w:b w:val="0"/>
                <w:sz w:val="18"/>
              </w:rPr>
              <w:t>状态信息完整、入口可点击</w:t>
            </w:r>
          </w:p>
        </w:tc>
        <w:tc>
          <w:tcPr>
            <w:tcW w:type="dxa" w:w="1905"/>
            <w:vAlign w:val="center"/>
          </w:tcPr>
          <w:p>
            <w:pPr>
              <w:jc w:val="center"/>
            </w:pPr>
            <w:r/>
            <w:r>
              <w:rPr>
                <w:rFonts w:ascii="微软雅黑" w:hAnsi="微软雅黑" w:eastAsia="微软雅黑"/>
                <w:b w:val="0"/>
                <w:sz w:val="18"/>
              </w:rPr>
              <w:t>显示正常，跳转正常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宠物选择</w:t>
            </w:r>
          </w:p>
        </w:tc>
        <w:tc>
          <w:tcPr>
            <w:tcW w:type="dxa" w:w="1905"/>
            <w:vAlign w:val="center"/>
          </w:tcPr>
          <w:p>
            <w:pPr>
              <w:jc w:val="center"/>
            </w:pPr>
            <w:r/>
            <w:r>
              <w:rPr>
                <w:rFonts w:ascii="微软雅黑" w:hAnsi="微软雅黑" w:eastAsia="微软雅黑"/>
                <w:b w:val="0"/>
                <w:sz w:val="18"/>
              </w:rPr>
              <w:t>选择宠物并命名</w:t>
            </w:r>
          </w:p>
        </w:tc>
        <w:tc>
          <w:tcPr>
            <w:tcW w:type="dxa" w:w="1905"/>
            <w:vAlign w:val="center"/>
          </w:tcPr>
          <w:p>
            <w:pPr>
              <w:jc w:val="center"/>
            </w:pPr>
            <w:r/>
            <w:r>
              <w:rPr>
                <w:rFonts w:ascii="微软雅黑" w:hAnsi="微软雅黑" w:eastAsia="微软雅黑"/>
                <w:b w:val="0"/>
                <w:sz w:val="18"/>
              </w:rPr>
              <w:t>可保存宠物名称和形象</w:t>
            </w:r>
          </w:p>
        </w:tc>
        <w:tc>
          <w:tcPr>
            <w:tcW w:type="dxa" w:w="1905"/>
            <w:vAlign w:val="center"/>
          </w:tcPr>
          <w:p>
            <w:pPr>
              <w:jc w:val="center"/>
            </w:pPr>
            <w:r/>
            <w:r>
              <w:rPr>
                <w:rFonts w:ascii="微软雅黑" w:hAnsi="微软雅黑" w:eastAsia="微软雅黑"/>
                <w:b w:val="0"/>
                <w:sz w:val="18"/>
              </w:rPr>
              <w:t>保存正常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宠物档案</w:t>
            </w:r>
          </w:p>
        </w:tc>
        <w:tc>
          <w:tcPr>
            <w:tcW w:type="dxa" w:w="1905"/>
            <w:vAlign w:val="center"/>
          </w:tcPr>
          <w:p>
            <w:pPr>
              <w:jc w:val="center"/>
            </w:pPr>
            <w:r/>
            <w:r>
              <w:rPr>
                <w:rFonts w:ascii="微软雅黑" w:hAnsi="微软雅黑" w:eastAsia="微软雅黑"/>
                <w:b w:val="0"/>
                <w:sz w:val="18"/>
              </w:rPr>
              <w:t>查看成长与互动记录</w:t>
            </w:r>
          </w:p>
        </w:tc>
        <w:tc>
          <w:tcPr>
            <w:tcW w:type="dxa" w:w="1905"/>
            <w:vAlign w:val="center"/>
          </w:tcPr>
          <w:p>
            <w:pPr>
              <w:jc w:val="center"/>
            </w:pPr>
            <w:r/>
            <w:r>
              <w:rPr>
                <w:rFonts w:ascii="微软雅黑" w:hAnsi="微软雅黑" w:eastAsia="微软雅黑"/>
                <w:b w:val="0"/>
                <w:sz w:val="18"/>
              </w:rPr>
              <w:t>档案信息可展示</w:t>
            </w:r>
          </w:p>
        </w:tc>
        <w:tc>
          <w:tcPr>
            <w:tcW w:type="dxa" w:w="1905"/>
            <w:vAlign w:val="center"/>
          </w:tcPr>
          <w:p>
            <w:pPr>
              <w:jc w:val="center"/>
            </w:pPr>
            <w:r/>
            <w:r>
              <w:rPr>
                <w:rFonts w:ascii="微软雅黑" w:hAnsi="微软雅黑" w:eastAsia="微软雅黑"/>
                <w:b w:val="0"/>
                <w:sz w:val="18"/>
              </w:rPr>
              <w:t>展示正常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AI 对话</w:t>
            </w:r>
          </w:p>
        </w:tc>
        <w:tc>
          <w:tcPr>
            <w:tcW w:type="dxa" w:w="1905"/>
            <w:vAlign w:val="center"/>
          </w:tcPr>
          <w:p>
            <w:pPr>
              <w:jc w:val="center"/>
            </w:pPr>
            <w:r/>
            <w:r>
              <w:rPr>
                <w:rFonts w:ascii="微软雅黑" w:hAnsi="微软雅黑" w:eastAsia="微软雅黑"/>
                <w:b w:val="0"/>
                <w:sz w:val="18"/>
              </w:rPr>
              <w:t>连续文本问答</w:t>
            </w:r>
          </w:p>
        </w:tc>
        <w:tc>
          <w:tcPr>
            <w:tcW w:type="dxa" w:w="1905"/>
            <w:vAlign w:val="center"/>
          </w:tcPr>
          <w:p>
            <w:pPr>
              <w:jc w:val="center"/>
            </w:pPr>
            <w:r/>
            <w:r>
              <w:rPr>
                <w:rFonts w:ascii="微软雅黑" w:hAnsi="微软雅黑" w:eastAsia="微软雅黑"/>
                <w:b w:val="0"/>
                <w:sz w:val="18"/>
              </w:rPr>
              <w:t>可生成合理回复</w:t>
            </w:r>
          </w:p>
        </w:tc>
        <w:tc>
          <w:tcPr>
            <w:tcW w:type="dxa" w:w="1905"/>
            <w:vAlign w:val="center"/>
          </w:tcPr>
          <w:p>
            <w:pPr>
              <w:jc w:val="center"/>
            </w:pPr>
            <w:r/>
            <w:r>
              <w:rPr>
                <w:rFonts w:ascii="微软雅黑" w:hAnsi="微软雅黑" w:eastAsia="微软雅黑"/>
                <w:b w:val="0"/>
                <w:sz w:val="18"/>
              </w:rPr>
              <w:t>回复正常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喂食互动</w:t>
            </w:r>
          </w:p>
        </w:tc>
        <w:tc>
          <w:tcPr>
            <w:tcW w:type="dxa" w:w="1905"/>
            <w:vAlign w:val="center"/>
          </w:tcPr>
          <w:p>
            <w:pPr>
              <w:jc w:val="center"/>
            </w:pPr>
            <w:r/>
            <w:r>
              <w:rPr>
                <w:rFonts w:ascii="微软雅黑" w:hAnsi="微软雅黑" w:eastAsia="微软雅黑"/>
                <w:b w:val="0"/>
                <w:sz w:val="18"/>
              </w:rPr>
              <w:t>喂食后状态变化</w:t>
            </w:r>
          </w:p>
        </w:tc>
        <w:tc>
          <w:tcPr>
            <w:tcW w:type="dxa" w:w="1905"/>
            <w:vAlign w:val="center"/>
          </w:tcPr>
          <w:p>
            <w:pPr>
              <w:jc w:val="center"/>
            </w:pPr>
            <w:r/>
            <w:r>
              <w:rPr>
                <w:rFonts w:ascii="微软雅黑" w:hAnsi="微软雅黑" w:eastAsia="微软雅黑"/>
                <w:b w:val="0"/>
                <w:sz w:val="18"/>
              </w:rPr>
              <w:t>宠物状态更新</w:t>
            </w:r>
          </w:p>
        </w:tc>
        <w:tc>
          <w:tcPr>
            <w:tcW w:type="dxa" w:w="1905"/>
            <w:vAlign w:val="center"/>
          </w:tcPr>
          <w:p>
            <w:pPr>
              <w:jc w:val="center"/>
            </w:pPr>
            <w:r/>
            <w:r>
              <w:rPr>
                <w:rFonts w:ascii="微软雅黑" w:hAnsi="微软雅黑" w:eastAsia="微软雅黑"/>
                <w:b w:val="0"/>
                <w:sz w:val="18"/>
              </w:rPr>
              <w:t>更新正常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传感器界面</w:t>
            </w:r>
          </w:p>
        </w:tc>
        <w:tc>
          <w:tcPr>
            <w:tcW w:type="dxa" w:w="1905"/>
            <w:vAlign w:val="center"/>
          </w:tcPr>
          <w:p>
            <w:pPr>
              <w:jc w:val="center"/>
            </w:pPr>
            <w:r/>
            <w:r>
              <w:rPr>
                <w:rFonts w:ascii="微软雅黑" w:hAnsi="微软雅黑" w:eastAsia="微软雅黑"/>
                <w:b w:val="0"/>
                <w:sz w:val="18"/>
              </w:rPr>
              <w:t>温湿度数据展示</w:t>
            </w:r>
          </w:p>
        </w:tc>
        <w:tc>
          <w:tcPr>
            <w:tcW w:type="dxa" w:w="1905"/>
            <w:vAlign w:val="center"/>
          </w:tcPr>
          <w:p>
            <w:pPr>
              <w:jc w:val="center"/>
            </w:pPr>
            <w:r/>
            <w:r>
              <w:rPr>
                <w:rFonts w:ascii="微软雅黑" w:hAnsi="微软雅黑" w:eastAsia="微软雅黑"/>
                <w:b w:val="0"/>
                <w:sz w:val="18"/>
              </w:rPr>
              <w:t>数据字段可展示</w:t>
            </w:r>
          </w:p>
        </w:tc>
        <w:tc>
          <w:tcPr>
            <w:tcW w:type="dxa" w:w="1905"/>
            <w:vAlign w:val="center"/>
          </w:tcPr>
          <w:p>
            <w:pPr>
              <w:jc w:val="center"/>
            </w:pPr>
            <w:r/>
            <w:r>
              <w:rPr>
                <w:rFonts w:ascii="微软雅黑" w:hAnsi="微软雅黑" w:eastAsia="微软雅黑"/>
                <w:b w:val="0"/>
                <w:sz w:val="18"/>
              </w:rPr>
              <w:t>展示正常</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全息显示</w:t>
            </w:r>
          </w:p>
        </w:tc>
        <w:tc>
          <w:tcPr>
            <w:tcW w:type="dxa" w:w="1905"/>
            <w:vAlign w:val="center"/>
          </w:tcPr>
          <w:p>
            <w:pPr>
              <w:jc w:val="center"/>
            </w:pPr>
            <w:r/>
            <w:r>
              <w:rPr>
                <w:rFonts w:ascii="微软雅黑" w:hAnsi="微软雅黑" w:eastAsia="微软雅黑"/>
                <w:b w:val="0"/>
                <w:sz w:val="18"/>
              </w:rPr>
              <w:t>宠物投影展示</w:t>
            </w:r>
          </w:p>
        </w:tc>
        <w:tc>
          <w:tcPr>
            <w:tcW w:type="dxa" w:w="1905"/>
            <w:vAlign w:val="center"/>
          </w:tcPr>
          <w:p>
            <w:pPr>
              <w:jc w:val="center"/>
            </w:pPr>
            <w:r/>
            <w:r>
              <w:rPr>
                <w:rFonts w:ascii="微软雅黑" w:hAnsi="微软雅黑" w:eastAsia="微软雅黑"/>
                <w:b w:val="0"/>
                <w:sz w:val="18"/>
              </w:rPr>
              <w:t>形象可辨识</w:t>
            </w:r>
          </w:p>
        </w:tc>
        <w:tc>
          <w:tcPr>
            <w:tcW w:type="dxa" w:w="1905"/>
            <w:vAlign w:val="center"/>
          </w:tcPr>
          <w:p>
            <w:pPr>
              <w:jc w:val="center"/>
            </w:pPr>
            <w:r/>
            <w:r>
              <w:rPr>
                <w:rFonts w:ascii="微软雅黑" w:hAnsi="微软雅黑" w:eastAsia="微软雅黑"/>
                <w:b w:val="0"/>
                <w:sz w:val="18"/>
              </w:rPr>
              <w:t>显示正常</w:t>
            </w:r>
          </w:p>
        </w:tc>
        <w:tc>
          <w:tcPr>
            <w:tcW w:type="dxa" w:w="1905"/>
            <w:vAlign w:val="center"/>
          </w:tcPr>
          <w:p>
            <w:pPr>
              <w:jc w:val="center"/>
            </w:pPr>
            <w:r/>
            <w:r>
              <w:rPr>
                <w:rFonts w:ascii="微软雅黑" w:hAnsi="微软雅黑" w:eastAsia="微软雅黑"/>
                <w:b w:val="0"/>
                <w:sz w:val="18"/>
              </w:rPr>
              <w:t>通过</w:t>
            </w:r>
          </w:p>
        </w:tc>
      </w:tr>
    </w:tbl>
    <w:p/>
    <w:p>
      <w:pPr>
        <w:spacing w:before="240" w:after="100"/>
      </w:pPr>
      <w:r>
        <w:rPr>
          <w:rFonts w:ascii="微软雅黑" w:hAnsi="微软雅黑" w:eastAsia="微软雅黑"/>
          <w:b/>
          <w:color w:val="2E74B5"/>
          <w:sz w:val="28"/>
        </w:rPr>
        <w:t>二、性能测试结果</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shd w:fill="F2F4F7"/>
            <w:vAlign w:val="center"/>
          </w:tcPr>
          <w:p>
            <w:pPr>
              <w:jc w:val="center"/>
            </w:pPr>
            <w:r/>
            <w:r>
              <w:rPr>
                <w:rFonts w:ascii="微软雅黑" w:hAnsi="微软雅黑" w:eastAsia="微软雅黑"/>
                <w:b/>
                <w:color w:val="1F4D78"/>
                <w:sz w:val="18"/>
              </w:rPr>
              <w:t>指标</w:t>
            </w:r>
          </w:p>
        </w:tc>
        <w:tc>
          <w:tcPr>
            <w:tcW w:type="dxa" w:w="1905"/>
            <w:shd w:fill="F2F4F7"/>
            <w:vAlign w:val="center"/>
          </w:tcPr>
          <w:p>
            <w:pPr>
              <w:jc w:val="center"/>
            </w:pPr>
            <w:r/>
            <w:r>
              <w:rPr>
                <w:rFonts w:ascii="微软雅黑" w:hAnsi="微软雅黑" w:eastAsia="微软雅黑"/>
                <w:b/>
                <w:color w:val="1F4D78"/>
                <w:sz w:val="18"/>
              </w:rPr>
              <w:t>目标值</w:t>
            </w:r>
          </w:p>
        </w:tc>
        <w:tc>
          <w:tcPr>
            <w:tcW w:type="dxa" w:w="1905"/>
            <w:shd w:fill="F2F4F7"/>
            <w:vAlign w:val="center"/>
          </w:tcPr>
          <w:p>
            <w:pPr>
              <w:jc w:val="center"/>
            </w:pPr>
            <w:r/>
            <w:r>
              <w:rPr>
                <w:rFonts w:ascii="微软雅黑" w:hAnsi="微软雅黑" w:eastAsia="微软雅黑"/>
                <w:b/>
                <w:color w:val="1F4D78"/>
                <w:sz w:val="18"/>
              </w:rPr>
              <w:t>测试方法</w:t>
            </w:r>
          </w:p>
        </w:tc>
        <w:tc>
          <w:tcPr>
            <w:tcW w:type="dxa" w:w="1905"/>
            <w:shd w:fill="F2F4F7"/>
            <w:vAlign w:val="center"/>
          </w:tcPr>
          <w:p>
            <w:pPr>
              <w:jc w:val="center"/>
            </w:pPr>
            <w:r/>
            <w:r>
              <w:rPr>
                <w:rFonts w:ascii="微软雅黑" w:hAnsi="微软雅黑" w:eastAsia="微软雅黑"/>
                <w:b/>
                <w:color w:val="1F4D78"/>
                <w:sz w:val="18"/>
              </w:rPr>
              <w:t>测试结果</w:t>
            </w:r>
          </w:p>
        </w:tc>
        <w:tc>
          <w:tcPr>
            <w:tcW w:type="dxa" w:w="1905"/>
            <w:shd w:fill="F2F4F7"/>
            <w:vAlign w:val="center"/>
          </w:tcPr>
          <w:p>
            <w:pPr>
              <w:jc w:val="center"/>
            </w:pPr>
            <w:r/>
            <w:r>
              <w:rPr>
                <w:rFonts w:ascii="微软雅黑" w:hAnsi="微软雅黑" w:eastAsia="微软雅黑"/>
                <w:b/>
                <w:color w:val="1F4D78"/>
                <w:sz w:val="18"/>
              </w:rPr>
              <w:t>判定</w:t>
            </w:r>
          </w:p>
        </w:tc>
      </w:tr>
      <w:tr>
        <w:tc>
          <w:tcPr>
            <w:tcW w:type="dxa" w:w="1905"/>
            <w:vAlign w:val="center"/>
          </w:tcPr>
          <w:p>
            <w:pPr>
              <w:jc w:val="center"/>
            </w:pPr>
            <w:r/>
            <w:r>
              <w:rPr>
                <w:rFonts w:ascii="微软雅黑" w:hAnsi="微软雅黑" w:eastAsia="微软雅黑"/>
                <w:b w:val="0"/>
                <w:sz w:val="18"/>
              </w:rPr>
              <w:t>动画帧率</w:t>
            </w:r>
          </w:p>
        </w:tc>
        <w:tc>
          <w:tcPr>
            <w:tcW w:type="dxa" w:w="1905"/>
            <w:vAlign w:val="center"/>
          </w:tcPr>
          <w:p>
            <w:pPr>
              <w:jc w:val="center"/>
            </w:pPr>
            <w:r/>
            <w:r>
              <w:rPr>
                <w:rFonts w:ascii="微软雅黑" w:hAnsi="微软雅黑" w:eastAsia="微软雅黑"/>
                <w:b w:val="0"/>
                <w:sz w:val="18"/>
              </w:rPr>
              <w:t>≥25fps</w:t>
            </w:r>
          </w:p>
        </w:tc>
        <w:tc>
          <w:tcPr>
            <w:tcW w:type="dxa" w:w="1905"/>
            <w:vAlign w:val="center"/>
          </w:tcPr>
          <w:p>
            <w:pPr>
              <w:jc w:val="left"/>
            </w:pPr>
            <w:r/>
            <w:r>
              <w:rPr>
                <w:rFonts w:ascii="微软雅黑" w:hAnsi="微软雅黑" w:eastAsia="微软雅黑"/>
                <w:b w:val="0"/>
                <w:sz w:val="18"/>
              </w:rPr>
              <w:t>连续观察宠物动作和页面动画</w:t>
            </w:r>
          </w:p>
        </w:tc>
        <w:tc>
          <w:tcPr>
            <w:tcW w:type="dxa" w:w="1905"/>
            <w:vAlign w:val="center"/>
          </w:tcPr>
          <w:p>
            <w:pPr>
              <w:jc w:val="center"/>
            </w:pPr>
            <w:r/>
            <w:r>
              <w:rPr>
                <w:rFonts w:ascii="微软雅黑" w:hAnsi="微软雅黑" w:eastAsia="微软雅黑"/>
                <w:b w:val="0"/>
                <w:sz w:val="18"/>
              </w:rPr>
              <w:t>达标</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双端同步延迟</w:t>
            </w:r>
          </w:p>
        </w:tc>
        <w:tc>
          <w:tcPr>
            <w:tcW w:type="dxa" w:w="1905"/>
            <w:vAlign w:val="center"/>
          </w:tcPr>
          <w:p>
            <w:pPr>
              <w:jc w:val="center"/>
            </w:pPr>
            <w:r/>
            <w:r>
              <w:rPr>
                <w:rFonts w:ascii="微软雅黑" w:hAnsi="微软雅黑" w:eastAsia="微软雅黑"/>
                <w:b w:val="0"/>
                <w:sz w:val="18"/>
              </w:rPr>
              <w:t>≤50ms</w:t>
            </w:r>
          </w:p>
        </w:tc>
        <w:tc>
          <w:tcPr>
            <w:tcW w:type="dxa" w:w="1905"/>
            <w:vAlign w:val="center"/>
          </w:tcPr>
          <w:p>
            <w:pPr>
              <w:jc w:val="left"/>
            </w:pPr>
            <w:r/>
            <w:r>
              <w:rPr>
                <w:rFonts w:ascii="微软雅黑" w:hAnsi="微软雅黑" w:eastAsia="微软雅黑"/>
                <w:b w:val="0"/>
                <w:sz w:val="18"/>
              </w:rPr>
              <w:t>记录手机端操作到显示端反馈时间</w:t>
            </w:r>
          </w:p>
        </w:tc>
        <w:tc>
          <w:tcPr>
            <w:tcW w:type="dxa" w:w="1905"/>
            <w:vAlign w:val="center"/>
          </w:tcPr>
          <w:p>
            <w:pPr>
              <w:jc w:val="center"/>
            </w:pPr>
            <w:r/>
            <w:r>
              <w:rPr>
                <w:rFonts w:ascii="微软雅黑" w:hAnsi="微软雅黑" w:eastAsia="微软雅黑"/>
                <w:b w:val="0"/>
                <w:sz w:val="18"/>
              </w:rPr>
              <w:t>约 38-45ms</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应用启动时间</w:t>
            </w:r>
          </w:p>
        </w:tc>
        <w:tc>
          <w:tcPr>
            <w:tcW w:type="dxa" w:w="1905"/>
            <w:vAlign w:val="center"/>
          </w:tcPr>
          <w:p>
            <w:pPr>
              <w:jc w:val="center"/>
            </w:pPr>
            <w:r/>
            <w:r>
              <w:rPr>
                <w:rFonts w:ascii="微软雅黑" w:hAnsi="微软雅黑" w:eastAsia="微软雅黑"/>
                <w:b w:val="0"/>
                <w:sz w:val="18"/>
              </w:rPr>
              <w:t>≤3s</w:t>
            </w:r>
          </w:p>
        </w:tc>
        <w:tc>
          <w:tcPr>
            <w:tcW w:type="dxa" w:w="1905"/>
            <w:vAlign w:val="center"/>
          </w:tcPr>
          <w:p>
            <w:pPr>
              <w:jc w:val="center"/>
            </w:pPr>
            <w:r/>
            <w:r>
              <w:rPr>
                <w:rFonts w:ascii="微软雅黑" w:hAnsi="微软雅黑" w:eastAsia="微软雅黑"/>
                <w:b w:val="0"/>
                <w:sz w:val="18"/>
              </w:rPr>
              <w:t>冷启动计时</w:t>
            </w:r>
          </w:p>
        </w:tc>
        <w:tc>
          <w:tcPr>
            <w:tcW w:type="dxa" w:w="1905"/>
            <w:vAlign w:val="center"/>
          </w:tcPr>
          <w:p>
            <w:pPr>
              <w:jc w:val="center"/>
            </w:pPr>
            <w:r/>
            <w:r>
              <w:rPr>
                <w:rFonts w:ascii="微软雅黑" w:hAnsi="微软雅黑" w:eastAsia="微软雅黑"/>
                <w:b w:val="0"/>
                <w:sz w:val="18"/>
              </w:rPr>
              <w:t>约 2.4-2.7s</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本地存储占用</w:t>
            </w:r>
          </w:p>
        </w:tc>
        <w:tc>
          <w:tcPr>
            <w:tcW w:type="dxa" w:w="1905"/>
            <w:vAlign w:val="center"/>
          </w:tcPr>
          <w:p>
            <w:pPr>
              <w:jc w:val="center"/>
            </w:pPr>
            <w:r/>
            <w:r>
              <w:rPr>
                <w:rFonts w:ascii="微软雅黑" w:hAnsi="微软雅黑" w:eastAsia="微软雅黑"/>
                <w:b w:val="0"/>
                <w:sz w:val="18"/>
              </w:rPr>
              <w:t>≤100MB</w:t>
            </w:r>
          </w:p>
        </w:tc>
        <w:tc>
          <w:tcPr>
            <w:tcW w:type="dxa" w:w="1905"/>
            <w:vAlign w:val="center"/>
          </w:tcPr>
          <w:p>
            <w:pPr>
              <w:jc w:val="center"/>
            </w:pPr>
            <w:r/>
            <w:r>
              <w:rPr>
                <w:rFonts w:ascii="微软雅黑" w:hAnsi="微软雅黑" w:eastAsia="微软雅黑"/>
                <w:b w:val="0"/>
                <w:sz w:val="18"/>
              </w:rPr>
              <w:t>检查应用记录数据占用</w:t>
            </w:r>
          </w:p>
        </w:tc>
        <w:tc>
          <w:tcPr>
            <w:tcW w:type="dxa" w:w="1905"/>
            <w:vAlign w:val="center"/>
          </w:tcPr>
          <w:p>
            <w:pPr>
              <w:jc w:val="center"/>
            </w:pPr>
            <w:r/>
            <w:r>
              <w:rPr>
                <w:rFonts w:ascii="微软雅黑" w:hAnsi="微软雅黑" w:eastAsia="微软雅黑"/>
                <w:b w:val="0"/>
                <w:sz w:val="18"/>
              </w:rPr>
              <w:t>低于目标值</w:t>
            </w:r>
          </w:p>
        </w:tc>
        <w:tc>
          <w:tcPr>
            <w:tcW w:type="dxa" w:w="1905"/>
            <w:vAlign w:val="center"/>
          </w:tcPr>
          <w:p>
            <w:pPr>
              <w:jc w:val="center"/>
            </w:pPr>
            <w:r/>
            <w:r>
              <w:rPr>
                <w:rFonts w:ascii="微软雅黑" w:hAnsi="微软雅黑" w:eastAsia="微软雅黑"/>
                <w:b w:val="0"/>
                <w:sz w:val="18"/>
              </w:rPr>
              <w:t>通过</w:t>
            </w:r>
          </w:p>
        </w:tc>
      </w:tr>
      <w:tr>
        <w:tc>
          <w:tcPr>
            <w:tcW w:type="dxa" w:w="1905"/>
            <w:vAlign w:val="center"/>
          </w:tcPr>
          <w:p>
            <w:pPr>
              <w:jc w:val="center"/>
            </w:pPr>
            <w:r/>
            <w:r>
              <w:rPr>
                <w:rFonts w:ascii="微软雅黑" w:hAnsi="微软雅黑" w:eastAsia="微软雅黑"/>
                <w:b w:val="0"/>
                <w:sz w:val="18"/>
              </w:rPr>
              <w:t>连续演示稳定性</w:t>
            </w:r>
          </w:p>
        </w:tc>
        <w:tc>
          <w:tcPr>
            <w:tcW w:type="dxa" w:w="1905"/>
            <w:vAlign w:val="center"/>
          </w:tcPr>
          <w:p>
            <w:pPr>
              <w:jc w:val="center"/>
            </w:pPr>
            <w:r/>
            <w:r>
              <w:rPr>
                <w:rFonts w:ascii="微软雅黑" w:hAnsi="微软雅黑" w:eastAsia="微软雅黑"/>
                <w:b w:val="0"/>
                <w:sz w:val="18"/>
              </w:rPr>
              <w:t>≥15分钟</w:t>
            </w:r>
          </w:p>
        </w:tc>
        <w:tc>
          <w:tcPr>
            <w:tcW w:type="dxa" w:w="1905"/>
            <w:vAlign w:val="center"/>
          </w:tcPr>
          <w:p>
            <w:pPr>
              <w:jc w:val="left"/>
            </w:pPr>
            <w:r/>
            <w:r>
              <w:rPr>
                <w:rFonts w:ascii="微软雅黑" w:hAnsi="微软雅黑" w:eastAsia="微软雅黑"/>
                <w:b w:val="0"/>
                <w:sz w:val="18"/>
              </w:rPr>
              <w:t>连续操作喂食、对话、档案和显示</w:t>
            </w:r>
          </w:p>
        </w:tc>
        <w:tc>
          <w:tcPr>
            <w:tcW w:type="dxa" w:w="1905"/>
            <w:vAlign w:val="center"/>
          </w:tcPr>
          <w:p>
            <w:pPr>
              <w:jc w:val="center"/>
            </w:pPr>
            <w:r/>
            <w:r>
              <w:rPr>
                <w:rFonts w:ascii="微软雅黑" w:hAnsi="微软雅黑" w:eastAsia="微软雅黑"/>
                <w:b w:val="0"/>
                <w:sz w:val="18"/>
              </w:rPr>
              <w:t>无明显异常</w:t>
            </w:r>
          </w:p>
        </w:tc>
        <w:tc>
          <w:tcPr>
            <w:tcW w:type="dxa" w:w="1905"/>
            <w:vAlign w:val="center"/>
          </w:tcPr>
          <w:p>
            <w:pPr>
              <w:jc w:val="center"/>
            </w:pPr>
            <w:r/>
            <w:r>
              <w:rPr>
                <w:rFonts w:ascii="微软雅黑" w:hAnsi="微软雅黑" w:eastAsia="微软雅黑"/>
                <w:b w:val="0"/>
                <w:sz w:val="18"/>
              </w:rPr>
              <w:t>通过</w:t>
            </w:r>
          </w:p>
        </w:tc>
      </w:tr>
    </w:tbl>
    <w:p/>
    <w:p>
      <w:pPr>
        <w:spacing w:before="240" w:after="100"/>
      </w:pPr>
      <w:r>
        <w:rPr>
          <w:rFonts w:ascii="微软雅黑" w:hAnsi="微软雅黑" w:eastAsia="微软雅黑"/>
          <w:b/>
          <w:color w:val="2E74B5"/>
          <w:sz w:val="28"/>
        </w:rPr>
        <w:t>三、测试结论</w:t>
      </w:r>
    </w:p>
    <w:p>
      <w:pPr>
        <w:ind w:firstLine="420"/>
      </w:pPr>
      <w:r>
        <w:rPr>
          <w:rFonts w:ascii="微软雅黑" w:hAnsi="微软雅黑" w:eastAsia="微软雅黑"/>
          <w:b w:val="0"/>
          <w:sz w:val="21"/>
        </w:rPr>
        <w:t>系统核心功能已覆盖作品说明书中的主要设计目标：移动端交互、AI 对话、长期记录、传感器反馈、双端同步与全息展示均具备可演示能力。测试过程中发现的环境光影响和现场连接稳定性问题已列入后续优化项，不影响项目核心功能展示。</w:t>
      </w:r>
    </w:p>
    <w:sectPr w:rsidR="00FC693F" w:rsidRPr="0006063C" w:rsidSect="00034616">
      <w:headerReference w:type="default" r:id="rId9"/>
      <w:footerReference w:type="default" r:id="rId10"/>
      <w:pgSz w:w="11906" w:h="16838"/>
      <w:pgMar w:top="1134" w:right="1191" w:bottom="1134" w:left="1191"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