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C3E50"/>
          <w:sz w:val="56"/>
        </w:rPr>
        <w:t>荷小悦</w:t>
        <w:br/>
        <w:t>万店连锁战略规划</w:t>
      </w:r>
    </w:p>
    <w:p>
      <w:pPr>
        <w:jc w:val="center"/>
      </w:pPr>
      <w:r>
        <w:rPr>
          <w:rFonts w:ascii="Microsoft YaHei" w:hAnsi="Microsoft YaHei" w:eastAsia="Microsoft YaHei"/>
          <w:color w:val="16A085"/>
          <w:sz w:val="28"/>
        </w:rPr>
        <w:t>AI驱动 · 品牌驱动 · 数字驱动</w:t>
        <w:br/>
        <w:t>新中式理疗养生上市路径</w:t>
      </w:r>
    </w:p>
    <w:p/>
    <w:p/>
    <w:p>
      <w:pPr>
        <w:pStyle w:val="Heading2"/>
      </w:pPr>
      <w:r>
        <w:rPr>
          <w:rFonts w:ascii="Microsoft YaHei" w:hAnsi="Microsoft YaHei" w:eastAsia="Microsoft YaHei"/>
          <w:color w:val="2C3E50"/>
        </w:rPr>
        <w:t>战略规划核心模块</w:t>
      </w:r>
    </w:p>
    <w:p>
      <w:r>
        <w:rPr>
          <w:rFonts w:ascii="Microsoft YaHei" w:hAnsi="Microsoft YaHei" w:eastAsia="Microsoft YaHei"/>
          <w:b/>
          <w:color w:val="27AE60"/>
          <w:sz w:val="21"/>
        </w:rPr>
        <w:t>一、战略定位：从社区小店到万店连锁的底层逻辑</w:t>
      </w:r>
    </w:p>
    <w:p>
      <w:r>
        <w:rPr>
          <w:rFonts w:ascii="Microsoft YaHei" w:hAnsi="Microsoft YaHei" w:eastAsia="Microsoft YaHei"/>
          <w:b/>
          <w:color w:val="27AE60"/>
          <w:sz w:val="21"/>
        </w:rPr>
        <w:t>二、AI赋能体系：技术驱动的运营革命</w:t>
      </w:r>
    </w:p>
    <w:p>
      <w:r>
        <w:rPr>
          <w:rFonts w:ascii="Microsoft YaHei" w:hAnsi="Microsoft YaHei" w:eastAsia="Microsoft YaHei"/>
          <w:b/>
          <w:color w:val="27AE60"/>
          <w:sz w:val="21"/>
        </w:rPr>
        <w:t>三、品牌矩阵：多品牌多场景全覆盖</w:t>
      </w:r>
    </w:p>
    <w:p>
      <w:r>
        <w:rPr>
          <w:rFonts w:ascii="Microsoft YaHei" w:hAnsi="Microsoft YaHei" w:eastAsia="Microsoft YaHei"/>
          <w:b/>
          <w:color w:val="27AE60"/>
          <w:sz w:val="21"/>
        </w:rPr>
        <w:t>四、数字中台：千店如一店的运营基础设施</w:t>
      </w:r>
    </w:p>
    <w:p>
      <w:r>
        <w:rPr>
          <w:rFonts w:ascii="Microsoft YaHei" w:hAnsi="Microsoft YaHei" w:eastAsia="Microsoft YaHei"/>
          <w:b/>
          <w:color w:val="27AE60"/>
          <w:sz w:val="21"/>
        </w:rPr>
        <w:t>五、扩张路径：3年1000店、5年5000店、10年万店</w:t>
      </w:r>
    </w:p>
    <w:p>
      <w:r>
        <w:rPr>
          <w:rFonts w:ascii="Microsoft YaHei" w:hAnsi="Microsoft YaHei" w:eastAsia="Microsoft YaHei"/>
          <w:b/>
          <w:color w:val="27AE60"/>
          <w:sz w:val="21"/>
        </w:rPr>
        <w:t>六、上市规划：资本市场的价值叙事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一、战略定位：从社区小店到万店连锁的底层逻辑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1.1 市场机会窗口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基于艾瑞咨询研报数据分析：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市场规模：2026年按摩足疗行业交易额将超7300亿，线上化率达45.8%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理疗养生品类：门店增速近50%，女性用户占比70%，25-40岁核心客群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行业痛点：市场碎片化严重，TOP10品牌订单占比仅13.5%，存在巨大整合机会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竞争空白：奈晚2年300店、鹿栖5年370店，证明标准化小店模型可快速复制，但尚无万店级品牌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1.2 荷小悦的差异化定位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【核心定位】中国首个AI驱动的智能理疗养生连锁品牌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与竞品对比：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奈晚：年轻人推拿小馆，靠性价比+瑞幸式扩张，但缺乏技术壁垒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鹿栖：高性价比精油SPA，美团流量依赖度高，模型单一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麦舍：女性友好多品牌，但AI应用浅，数字化局限于引流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荷小悦三大核心差异：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1. AI深度赋能：从选址、排班、诊断、服务到复购全流程AI化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2. 品牌矩阵：覆盖社区、商圈、CBD全场景，客单价50-500元全覆盖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3. 数字中台：统一技术平台支撑万店运营，边际成本趋近于零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二、AI赋能体系：技术驱动的运营革命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2.1 AI选址系统：让每家店开在最该开的地方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【核心功能】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热力地图分析：整合美团、高德、百度等多源数据，识别高潜力社区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竞品密度分析：3公里内竞品数量、价格带、评分自动抓取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客群画像匹配：分析周边居民年龄、收入、消费习惯，预测开店成功率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ROI预测模型：输入租金、面积、位置，AI给出18个月盈利预测曲线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【竞争优势】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传统选址靠人工调研需7-15天，AI选址系统2小时完成分析，准确率提升40%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2.2 AI智能诊断系统：让每个技师都是"老中医"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【进出对照机制升级版】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进门环节：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客户通过Pad完成症状自评（肩颈/腰背/睡眠/湿气等12个维度）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AI结合面诊照片、舌诊照片进行初步分析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生成个性化调理方案（推拿+艾灸+拔罐组合，时长、力度、穴位）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服务环节：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技师佩戴智能手环，实时监测手法力度、穴位准确度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智能床垫记录客户体征变化（心率、呼吸、肌肉紧张度）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AI实时反馈技师操作是否达标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离店环节：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客户再次完成症状评估，AI生成"改善报告"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系统推荐居家护理方案+下次到店时间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数据沉淀形成个人健康档案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【核心价值】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标准化：新手技师3个月达到5年老技师水平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可视化：客户看到清晰的改善数据，复购率提升60%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数据资产：每个客户的健康数据成为品牌护城河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2.3 AI排班系统：让每个技师都不闲着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预测客流：基于历史数据+天气+节假日+周边活动，提前7天预测客流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动态排班：自动匹配技师专长与客户需求，空闲率降低35%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跨店调度：周边3公里内门店技师实时共享，应对客流波动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2.4 AI客户运营系统：让每个客户都被精准触达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流失预警：14天未到店自动触发召回策略（专属优惠券+技师问候）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智能推荐：基于健康档案推荐项目（如湿气重→三伏灸）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LTV管理：识别高价值客户，定向推送年卡/疗程卡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三、品牌矩阵：多品牌多场景全覆盖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3.1 品牌矩阵设计逻辑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借鉴麦舍集团多品牌策略，但实现场景、价格、客群三维全覆盖：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>
              <w:rPr>
                <w:b/>
              </w:rPr>
              <w:t>品牌名</w:t>
            </w:r>
          </w:p>
        </w:tc>
        <w:tc>
          <w:tcPr>
            <w:tcW w:type="dxa" w:w="1289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1289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289"/>
          </w:tcPr>
          <w:p>
            <w:r>
              <w:rPr>
                <w:b/>
              </w:rPr>
              <w:t>客单价</w:t>
            </w:r>
          </w:p>
        </w:tc>
        <w:tc>
          <w:tcPr>
            <w:tcW w:type="dxa" w:w="1289"/>
          </w:tcPr>
          <w:p>
            <w:r>
              <w:rPr>
                <w:b/>
              </w:rPr>
              <w:t>面积</w:t>
            </w:r>
          </w:p>
        </w:tc>
        <w:tc>
          <w:tcPr>
            <w:tcW w:type="dxa" w:w="1289"/>
          </w:tcPr>
          <w:p>
            <w:r>
              <w:rPr>
                <w:b/>
              </w:rPr>
              <w:t>目标客群</w:t>
            </w:r>
          </w:p>
        </w:tc>
        <w:tc>
          <w:tcPr>
            <w:tcW w:type="dxa" w:w="1289"/>
          </w:tcPr>
          <w:p>
            <w:r>
              <w:rPr>
                <w:b/>
              </w:rPr>
              <w:t>核心项目</w:t>
            </w:r>
          </w:p>
        </w:tc>
      </w:tr>
      <w:tr>
        <w:tc>
          <w:tcPr>
            <w:tcW w:type="dxa" w:w="1289"/>
          </w:tcPr>
          <w:p>
            <w:r>
              <w:t>荷小悦</w:t>
            </w:r>
          </w:p>
        </w:tc>
        <w:tc>
          <w:tcPr>
            <w:tcW w:type="dxa" w:w="1289"/>
          </w:tcPr>
          <w:p>
            <w:r>
              <w:t>社区轻养生</w:t>
            </w:r>
          </w:p>
        </w:tc>
        <w:tc>
          <w:tcPr>
            <w:tcW w:type="dxa" w:w="1289"/>
          </w:tcPr>
          <w:p>
            <w:r>
              <w:t>社区店</w:t>
            </w:r>
          </w:p>
        </w:tc>
        <w:tc>
          <w:tcPr>
            <w:tcW w:type="dxa" w:w="1289"/>
          </w:tcPr>
          <w:p>
            <w:r>
              <w:t>80-120元</w:t>
            </w:r>
          </w:p>
        </w:tc>
        <w:tc>
          <w:tcPr>
            <w:tcW w:type="dxa" w:w="1289"/>
          </w:tcPr>
          <w:p>
            <w:r>
              <w:t>80-100㎡</w:t>
            </w:r>
          </w:p>
        </w:tc>
        <w:tc>
          <w:tcPr>
            <w:tcW w:type="dxa" w:w="1289"/>
          </w:tcPr>
          <w:p>
            <w:r>
              <w:t>25-40岁职场女性</w:t>
            </w:r>
          </w:p>
        </w:tc>
        <w:tc>
          <w:tcPr>
            <w:tcW w:type="dxa" w:w="1289"/>
          </w:tcPr>
          <w:p>
            <w:r>
              <w:t>泡脚+推拿</w:t>
            </w:r>
          </w:p>
        </w:tc>
      </w:tr>
      <w:tr>
        <w:tc>
          <w:tcPr>
            <w:tcW w:type="dxa" w:w="1289"/>
          </w:tcPr>
          <w:p>
            <w:r>
              <w:t>荷悦坊</w:t>
            </w:r>
          </w:p>
        </w:tc>
        <w:tc>
          <w:tcPr>
            <w:tcW w:type="dxa" w:w="1289"/>
          </w:tcPr>
          <w:p>
            <w:r>
              <w:t>商圈快疗愈</w:t>
            </w:r>
          </w:p>
        </w:tc>
        <w:tc>
          <w:tcPr>
            <w:tcW w:type="dxa" w:w="1289"/>
          </w:tcPr>
          <w:p>
            <w:r>
              <w:t>商圈/写字楼</w:t>
            </w:r>
          </w:p>
        </w:tc>
        <w:tc>
          <w:tcPr>
            <w:tcW w:type="dxa" w:w="1289"/>
          </w:tcPr>
          <w:p>
            <w:r>
              <w:t>150-250元</w:t>
            </w:r>
          </w:p>
        </w:tc>
        <w:tc>
          <w:tcPr>
            <w:tcW w:type="dxa" w:w="1289"/>
          </w:tcPr>
          <w:p>
            <w:r>
              <w:t>100-150㎡</w:t>
            </w:r>
          </w:p>
        </w:tc>
        <w:tc>
          <w:tcPr>
            <w:tcW w:type="dxa" w:w="1289"/>
          </w:tcPr>
          <w:p>
            <w:r>
              <w:t>上班族午休/下班</w:t>
            </w:r>
          </w:p>
        </w:tc>
        <w:tc>
          <w:tcPr>
            <w:tcW w:type="dxa" w:w="1289"/>
          </w:tcPr>
          <w:p>
            <w:r>
              <w:t>推拿+艾灸+头疗</w:t>
            </w:r>
          </w:p>
        </w:tc>
      </w:tr>
      <w:tr>
        <w:tc>
          <w:tcPr>
            <w:tcW w:type="dxa" w:w="1289"/>
          </w:tcPr>
          <w:p>
            <w:r>
              <w:t>荷医堂</w:t>
            </w:r>
          </w:p>
        </w:tc>
        <w:tc>
          <w:tcPr>
            <w:tcW w:type="dxa" w:w="1289"/>
          </w:tcPr>
          <w:p>
            <w:r>
              <w:t>CBD专业调理</w:t>
            </w:r>
          </w:p>
        </w:tc>
        <w:tc>
          <w:tcPr>
            <w:tcW w:type="dxa" w:w="1289"/>
          </w:tcPr>
          <w:p>
            <w:r>
              <w:t>CBD/高端商场</w:t>
            </w:r>
          </w:p>
        </w:tc>
        <w:tc>
          <w:tcPr>
            <w:tcW w:type="dxa" w:w="1289"/>
          </w:tcPr>
          <w:p>
            <w:r>
              <w:t>300-500元</w:t>
            </w:r>
          </w:p>
        </w:tc>
        <w:tc>
          <w:tcPr>
            <w:tcW w:type="dxa" w:w="1289"/>
          </w:tcPr>
          <w:p>
            <w:r>
              <w:t>200-300㎡</w:t>
            </w:r>
          </w:p>
        </w:tc>
        <w:tc>
          <w:tcPr>
            <w:tcW w:type="dxa" w:w="1289"/>
          </w:tcPr>
          <w:p>
            <w:r>
              <w:t>高净值女性</w:t>
            </w:r>
          </w:p>
        </w:tc>
        <w:tc>
          <w:tcPr>
            <w:tcW w:type="dxa" w:w="1289"/>
          </w:tcPr>
          <w:p>
            <w:r>
              <w:t>古法推拿+私人定制</w:t>
            </w:r>
          </w:p>
        </w:tc>
      </w:tr>
      <w:tr>
        <w:tc>
          <w:tcPr>
            <w:tcW w:type="dxa" w:w="1289"/>
          </w:tcPr>
          <w:p>
            <w:r>
              <w:t>荷康驿站</w:t>
            </w:r>
          </w:p>
        </w:tc>
        <w:tc>
          <w:tcPr>
            <w:tcW w:type="dxa" w:w="1289"/>
          </w:tcPr>
          <w:p>
            <w:r>
              <w:t>银发健康管理</w:t>
            </w:r>
          </w:p>
        </w:tc>
        <w:tc>
          <w:tcPr>
            <w:tcW w:type="dxa" w:w="1289"/>
          </w:tcPr>
          <w:p>
            <w:r>
              <w:t>社区/养老机构</w:t>
            </w:r>
          </w:p>
        </w:tc>
        <w:tc>
          <w:tcPr>
            <w:tcW w:type="dxa" w:w="1289"/>
          </w:tcPr>
          <w:p>
            <w:r>
              <w:t>60-100元</w:t>
            </w:r>
          </w:p>
        </w:tc>
        <w:tc>
          <w:tcPr>
            <w:tcW w:type="dxa" w:w="1289"/>
          </w:tcPr>
          <w:p>
            <w:r>
              <w:t>60-80㎡</w:t>
            </w:r>
          </w:p>
        </w:tc>
        <w:tc>
          <w:tcPr>
            <w:tcW w:type="dxa" w:w="1289"/>
          </w:tcPr>
          <w:p>
            <w:r>
              <w:t>50岁+中老年</w:t>
            </w:r>
          </w:p>
        </w:tc>
        <w:tc>
          <w:tcPr>
            <w:tcW w:type="dxa" w:w="1289"/>
          </w:tcPr>
          <w:p>
            <w:r>
              <w:t>理疗+复健+慢病管理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C3E50"/>
        </w:rPr>
        <w:t>3.2 品牌扩张优先级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第一阶段（1-3年）：聚焦荷小悦，验证万店模型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目标：3年1000店，单品牌跑通选址、培训、供应链、数字化全流程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策略：以成都/武汉/杭州/西安为核心，辐射新一线城市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第二阶段（3-5年）：启动品牌矩阵，覆盖全场景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目标：荷小悦3000店 + 荷悦坊500店 + 荷医堂100店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策略：用荷小悦数据反哺其他品牌选址，共享中台降低成本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第三阶段（5-10年）：万店连锁+生态布局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目标：荷小悦8000店 + 其他品牌2000店，总计破万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策略：启动荷康驿站进军银发市场，打通医保支付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四、数字中台：千店如一店的运营基础设施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4.1 中台架构设计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【五大核心模块】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1. 门店运营中台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实时监控：所有门店营收/客流/项目销量/技师状态一屏掌控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自动预警：异常数据（如客流骤降、差评激增）1分钟内推送总部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远程支持：总部可远程查看门店监控、介入服务质量管理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2. 供应链中台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智能补货：根据门店消耗速度自动下单，库存周转率提升50%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集采降本：千店规模后精油/艾条/耗材成本降低40%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质量追溯：每瓶精油可溯源到生产批次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3. 培训中台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线上学习：技师通过App学习标准手法视频，AI评分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虚拟实训：VR模拟真实服务场景，降低培训成本60%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持续认证：每季度考核，不合格技师强制回炉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4. 财务中台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100%线上化：所有交易必须走系统，杜绝私单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实时结算：加盟商每日可查看营收、成本、利润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智能分账：顾客付款后系统自动分账给总部/加盟商/技师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5. 数据中台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用户画像：1000万+会员的健康数据/消费数据/行为数据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智能决策：开新店/上新品/定价策略全由数据驱动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价值变现：匿名化数据可授权给保险公司/健康品牌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4.2 技术护城河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相比奈晚/鹿栖等竞品：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他们依赖美团引流，我们有自主AI选址+客户运营系统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他们靠人工管理，我们靠中台管理（边际成本趋零）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他们的数据在美团，我们的数据是自有资产（可估值）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五、扩张路径：3年1000店、5年5000店、10年万店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5.1 三阶段扩张战略</w:t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【第一阶段：验证期（Year 1-3）】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目标：1000店，单店模型跑通，AI系统成熟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Year 1（100店）：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城市：成都50店 + 武汉30店 + 杭州20店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模式：全直营，打磨标准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重点：AI诊断系统上线，复购率达40%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融资：天使轮5000万（占股15%），投后估值3.3亿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Year 2（400店）：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城市：扩张至西安/南京/苏州/长沙/重庆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模式：开放加盟，直营:加盟 = 3:7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重点：数字中台上线，千店管理能力验证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融资：A轮2亿（占股10%），投后估值20亿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Year 3（1000店）：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城市：覆盖全部新一线+部分二线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模式：加盟为主，直营占比降至20%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重点：品牌矩阵启动，荷悦坊开出50店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融资：B轮5亿（占股8%），投后估值62.5亿</w:t>
      </w:r>
    </w:p>
    <w:p/>
    <w:p>
      <w:r>
        <w:rPr>
          <w:rFonts w:ascii="Microsoft YaHei" w:hAnsi="Microsoft YaHei" w:eastAsia="Microsoft YaHei"/>
          <w:b/>
          <w:color w:val="27AE60"/>
          <w:sz w:val="21"/>
        </w:rPr>
        <w:t>【第二阶段：加速期（Year 4-5）】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目标：5000店，成为行业第一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Year 4（2500店）：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城市：下沉至三四线城市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模式：区域合伙人制（单个合伙人负责一个省）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重点：供应链中台降本显效，单店利润提升30%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Year 5（5000店）：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城市：全国地级市全覆盖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模式：启动上市前重组，剥离低效门店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重点：数据资产估值，准备上市材料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融资：Pre-IPO轮10亿（占股5%），投后估值200亿</w:t>
      </w:r>
    </w:p>
    <w:p/>
    <w:p>
      <w:r>
        <w:rPr>
          <w:rFonts w:ascii="Microsoft YaHei" w:hAnsi="Microsoft YaHei" w:eastAsia="Microsoft YaHei"/>
          <w:b/>
          <w:color w:val="27AE60"/>
          <w:sz w:val="21"/>
        </w:rPr>
        <w:t>【第三阶段：万店期（Year 6-10）】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目标：10000店，上市后持续扩张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Year 6：上市（5500店）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科创板/港股上市，募资30-50亿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上市后估值目标：300-500亿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Year 7-10：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用募集资金加速开店，每年新增1000-1500店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收购区域性竞品，快速整合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出海东南亚（泰国/越南/马来西亚）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5.2 单店经济模型（以荷小悦为例）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项目</w:t>
            </w:r>
          </w:p>
        </w:tc>
        <w:tc>
          <w:tcPr>
            <w:tcW w:type="dxa" w:w="3009"/>
          </w:tcPr>
          <w:p>
            <w:r>
              <w:t>金额/占比</w:t>
            </w:r>
          </w:p>
        </w:tc>
        <w:tc>
          <w:tcPr>
            <w:tcW w:type="dxa" w:w="3009"/>
          </w:tcPr>
          <w:p>
            <w:r>
              <w:t>备注</w:t>
            </w:r>
          </w:p>
        </w:tc>
      </w:tr>
      <w:tr>
        <w:tc>
          <w:tcPr>
            <w:tcW w:type="dxa" w:w="3009"/>
          </w:tcPr>
          <w:p>
            <w:r>
              <w:t>初始投资</w:t>
            </w:r>
          </w:p>
        </w:tc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</w:p>
        </w:tc>
      </w:tr>
      <w:tr>
        <w:tc>
          <w:tcPr>
            <w:tcW w:type="dxa" w:w="3009"/>
          </w:tcPr>
          <w:p>
            <w:r>
              <w:t>加盟费</w:t>
            </w:r>
          </w:p>
        </w:tc>
        <w:tc>
          <w:tcPr>
            <w:tcW w:type="dxa" w:w="3009"/>
          </w:tcPr>
          <w:p>
            <w:r>
              <w:t>10万</w:t>
            </w:r>
          </w:p>
        </w:tc>
        <w:tc>
          <w:tcPr>
            <w:tcW w:type="dxa" w:w="3009"/>
          </w:tcPr>
          <w:p>
            <w:r>
              <w:t>一次性</w:t>
            </w:r>
          </w:p>
        </w:tc>
      </w:tr>
      <w:tr>
        <w:tc>
          <w:tcPr>
            <w:tcW w:type="dxa" w:w="3009"/>
          </w:tcPr>
          <w:p>
            <w:r>
              <w:t>装修+设备</w:t>
            </w:r>
          </w:p>
        </w:tc>
        <w:tc>
          <w:tcPr>
            <w:tcW w:type="dxa" w:w="3009"/>
          </w:tcPr>
          <w:p>
            <w:r>
              <w:t>25万</w:t>
            </w:r>
          </w:p>
        </w:tc>
        <w:tc>
          <w:tcPr>
            <w:tcW w:type="dxa" w:w="3009"/>
          </w:tcPr>
          <w:p>
            <w:r>
              <w:t>总部统一采购</w:t>
            </w:r>
          </w:p>
        </w:tc>
      </w:tr>
      <w:tr>
        <w:tc>
          <w:tcPr>
            <w:tcW w:type="dxa" w:w="3009"/>
          </w:tcPr>
          <w:p>
            <w:r>
              <w:t>首批物料</w:t>
            </w:r>
          </w:p>
        </w:tc>
        <w:tc>
          <w:tcPr>
            <w:tcW w:type="dxa" w:w="3009"/>
          </w:tcPr>
          <w:p>
            <w:r>
              <w:t>5万</w:t>
            </w:r>
          </w:p>
        </w:tc>
        <w:tc>
          <w:tcPr>
            <w:tcW w:type="dxa" w:w="3009"/>
          </w:tcPr>
          <w:p>
            <w:r/>
          </w:p>
        </w:tc>
      </w:tr>
      <w:tr>
        <w:tc>
          <w:tcPr>
            <w:tcW w:type="dxa" w:w="3009"/>
          </w:tcPr>
          <w:p>
            <w:r>
              <w:t>其他</w:t>
            </w:r>
          </w:p>
        </w:tc>
        <w:tc>
          <w:tcPr>
            <w:tcW w:type="dxa" w:w="3009"/>
          </w:tcPr>
          <w:p>
            <w:r>
              <w:t>10万</w:t>
            </w:r>
          </w:p>
        </w:tc>
        <w:tc>
          <w:tcPr>
            <w:tcW w:type="dxa" w:w="3009"/>
          </w:tcPr>
          <w:p>
            <w:r>
              <w:t>押金/流动资金</w:t>
            </w:r>
          </w:p>
        </w:tc>
      </w:tr>
      <w:tr>
        <w:tc>
          <w:tcPr>
            <w:tcW w:type="dxa" w:w="3009"/>
          </w:tcPr>
          <w:p>
            <w:r>
              <w:t>投资总计</w:t>
            </w:r>
          </w:p>
        </w:tc>
        <w:tc>
          <w:tcPr>
            <w:tcW w:type="dxa" w:w="3009"/>
          </w:tcPr>
          <w:p>
            <w:r>
              <w:t>50万</w:t>
            </w:r>
          </w:p>
        </w:tc>
        <w:tc>
          <w:tcPr>
            <w:tcW w:type="dxa" w:w="3009"/>
          </w:tcPr>
          <w:p>
            <w:r/>
          </w:p>
        </w:tc>
      </w:tr>
      <w:tr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</w:p>
        </w:tc>
      </w:tr>
      <w:tr>
        <w:tc>
          <w:tcPr>
            <w:tcW w:type="dxa" w:w="3009"/>
          </w:tcPr>
          <w:p>
            <w:r>
              <w:t>月度经营</w:t>
            </w:r>
          </w:p>
        </w:tc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</w:p>
        </w:tc>
      </w:tr>
      <w:tr>
        <w:tc>
          <w:tcPr>
            <w:tcW w:type="dxa" w:w="3009"/>
          </w:tcPr>
          <w:p>
            <w:r>
              <w:t>营业收入</w:t>
            </w:r>
          </w:p>
        </w:tc>
        <w:tc>
          <w:tcPr>
            <w:tcW w:type="dxa" w:w="3009"/>
          </w:tcPr>
          <w:p>
            <w:r>
              <w:t>18万</w:t>
            </w:r>
          </w:p>
        </w:tc>
        <w:tc>
          <w:tcPr>
            <w:tcW w:type="dxa" w:w="3009"/>
          </w:tcPr>
          <w:p>
            <w:r>
              <w:t>日均客流30人×客单价200元×30天</w:t>
            </w:r>
          </w:p>
        </w:tc>
      </w:tr>
      <w:tr>
        <w:tc>
          <w:tcPr>
            <w:tcW w:type="dxa" w:w="3009"/>
          </w:tcPr>
          <w:p>
            <w:r>
              <w:t>变动成本</w:t>
            </w:r>
          </w:p>
        </w:tc>
        <w:tc>
          <w:tcPr>
            <w:tcW w:type="dxa" w:w="3009"/>
          </w:tcPr>
          <w:p>
            <w:r/>
          </w:p>
        </w:tc>
        <w:tc>
          <w:tcPr>
            <w:tcW w:type="dxa" w:w="3009"/>
          </w:tcPr>
          <w:p>
            <w:r/>
          </w:p>
        </w:tc>
      </w:tr>
    </w:tbl>
    <w:p/>
    <w:p>
      <w:r>
        <w:rPr>
          <w:rFonts w:ascii="Microsoft YaHei" w:hAnsi="Microsoft YaHei" w:eastAsia="Microsoft YaHei"/>
          <w:b w:val="0"/>
          <w:color w:val="2C3E50"/>
          <w:sz w:val="21"/>
        </w:rPr>
        <w:t>成本结构：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人工成本：5万（3个技师 + 1个店长）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租金：2.5万（社区楼中店，80㎡ × 300元/㎡）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耗材：1.8万（精油/艾条/一次性用品）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水电物业：0.5万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平台费用：0.9万（美团抽佣5%）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管理费：0.9万（支付给总部5%）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总成本：11.6万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月净利润：6.4万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年净利润：76.8万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回本周期：6-8个月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投资回报率：153%/年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六、上市规划：资本市场的价值叙事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6.1 对标公司分析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【A股对标】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海底捞：2018年港股上市，市值最高2000亿港币，PE 60倍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相似点：连锁模式、服务标准化、数字化管理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差异点：荷小悦坪效更高（100㎡ vs 海底捞500㎡），AI赋能更深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爱尔眼科：2009年创业板上市，当前市值1500亿，PE 40倍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相似点：医疗健康属性、连锁扩张、轻资产模式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差异点：荷小悦天花板更高（理疗市场7300亿 vs 眼科1000亿）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老乡鸡：2024年冲刺A股，估值180亿，5000+门店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相似点：快速扩张、标准化供应链、下沉市场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差异点：荷小悦客单价更高、毛利率更高（60% vs 20%）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6.2 估值逻辑</w:t>
      </w:r>
    </w:p>
    <w:p>
      <w:r>
        <w:rPr>
          <w:rFonts w:ascii="Microsoft YaHei" w:hAnsi="Microsoft YaHei" w:eastAsia="Microsoft YaHei"/>
          <w:b/>
          <w:color w:val="2C3E50"/>
          <w:sz w:val="21"/>
        </w:rPr>
        <w:t>【三重估值叠加】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1. 连锁门店估值（基础）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5000店 × 单店年利润76.8万 × PE 25倍 = 96亿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逻辑：对标海底捞、老乡鸡等连锁餐饮PE水平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2. 数据资产估值（溢价）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1000万会员 × 单个会员数据价值300元 = 30亿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逻辑：健康数据可授权给保险/药企/体检机构，参考平安好医生估值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3. AI技术估值（想象空间）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AI诊断系统/选址系统可独立SaaS化，对外输出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• 参考医疗AI公司估值逻辑，给予50-100亿估值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【上市时合理估值】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保守估值：200亿（仅算门店）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中性估值：300亿（门店 + 部分数据资产）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乐观估值：500亿（门店 + 数据 + AI技术溢价）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6.3 上市路径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【首选：科创板】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优势：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认可"硬科技"属性，AI系统符合定位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上市速度快（12-18个月）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估值体系更友好（PE可达40-60倍）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【备选：港股主板】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优势：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对盈利要求更宽松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国际资本认可度高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可对标海底捞等消费股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七、核心风险与应对策略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7.1 扩张风险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【风险】快速扩张导致服务质量失控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【应对】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AI质检系统：每个门店每天随机抽查3单，AI自动评分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神秘顾客：每月每店至少1次，不合格门店暂停加盟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技师黑名单：差评率超5%的技师全国禁入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7.2 技术风险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【风险】AI系统故障影响运营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【应对】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双中心部署：阿里云 + 腾讯云双活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降级机制：AI故障时自动切换人工模式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数据备份：每日三备份，异地灾备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7.3 政策风险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【风险】理疗行业监管趋严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【应对】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主动合规：所有技师持证上岗（按摩师证/理疗师证）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医疗合作：与三甲医院康复科合作背书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保险兜底：为每位顾客购买服务责任险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八、总结：为什么是荷小悦？</w:t>
      </w:r>
    </w:p>
    <w:p>
      <w:r>
        <w:rPr>
          <w:rFonts w:ascii="Microsoft YaHei" w:hAnsi="Microsoft YaHei" w:eastAsia="Microsoft YaHei"/>
          <w:b/>
          <w:color w:val="2C3E50"/>
          <w:sz w:val="21"/>
        </w:rPr>
        <w:t>在7300亿的按摩足疗市场中，荷小悦不是第一个做连锁的，但有机会成为第一个做到万店的。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核心原因有三：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1. 【时代机遇】理疗养生品类增速50%，女性客群占比70%，市场需求爆发但供给高度分散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2. 【技术壁垒】AI诊断/选址/排班/运营全流程赋能，建立竞品难以复制的护城河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3. 【组织能力】数字中台支撑千店如一店，边际成本趋零，规模效应指数级爆发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7AE60"/>
          <w:sz w:val="21"/>
        </w:rPr>
        <w:t>荷小悦的终极目标不是开10000家店，而是：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让1亿中国人拥有自己的"健康管家"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让10万技师通过AI成为"行业专家"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让健康数据成为可流通的"数字资产"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让中式理疗成为中国文化输出的"新名片"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C3E50"/>
          <w:sz w:val="21"/>
        </w:rPr>
        <w:t>这是一个万亿赛道，一个万店品牌，一个千亿市值的故事。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