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92A33">
      <w:pPr>
        <w:spacing w:before="0" w:after="100"/>
        <w:jc w:val="center"/>
        <w:rPr>
          <w:color w:val="auto"/>
        </w:rPr>
      </w:pPr>
      <w:r>
        <w:rPr>
          <w:rFonts w:ascii="Times New Roman" w:hAnsi="Times New Roman" w:eastAsia="Times New Roman" w:cs="Times New Roman"/>
          <w:b/>
          <w:bCs/>
          <w:color w:val="auto"/>
          <w:sz w:val="30"/>
          <w:szCs w:val="30"/>
        </w:rPr>
        <w:t>Predicting Student Academic Performance in CS Education:</w:t>
      </w:r>
    </w:p>
    <w:p w14:paraId="22D72EB9">
      <w:pPr>
        <w:pStyle w:val="2"/>
        <w:spacing w:before="280" w:after="100"/>
        <w:rPr>
          <w:color w:val="auto"/>
        </w:rPr>
      </w:pPr>
      <w:r>
        <w:rPr>
          <w:rFonts w:ascii="Times New Roman" w:hAnsi="Times New Roman" w:eastAsia="Times New Roman" w:cs="Times New Roman"/>
          <w:b/>
          <w:bCs/>
          <w:color w:val="auto"/>
          <w:sz w:val="26"/>
          <w:szCs w:val="26"/>
        </w:rPr>
        <w:t>1. Introduction and Research Question</w:t>
      </w:r>
    </w:p>
    <w:p w14:paraId="04A39724">
      <w:pPr>
        <w:spacing w:before="0" w:after="160"/>
        <w:ind w:firstLine="720"/>
        <w:jc w:val="both"/>
        <w:rPr>
          <w:color w:val="auto"/>
        </w:rPr>
      </w:pPr>
      <w:r>
        <w:rPr>
          <w:rFonts w:ascii="Times New Roman" w:hAnsi="Times New Roman" w:eastAsia="Times New Roman" w:cs="Times New Roman"/>
          <w:color w:val="auto"/>
          <w:sz w:val="24"/>
          <w:szCs w:val="24"/>
        </w:rPr>
        <w:t>Educational Data Mining (EDM) has developed over the past two decades into an active research field that applies computational methods to learner data in order to support institutional decision-making and improve student outcomes (Romero &amp; Ventura, 2010). Within EDM, predicting student academic performance is one of the most heavily studied tasks, with both general systematic reviews (Baashar et al., 2021; Albreiki et al., 2021) and ones focused specifically on computing education (Hellas et al., 2018) documenting steady growth in the volume of work and the diversity of methods used.</w:t>
      </w:r>
    </w:p>
    <w:p w14:paraId="1A5C06ED">
      <w:pPr>
        <w:spacing w:before="0" w:after="160"/>
        <w:ind w:firstLine="720"/>
        <w:jc w:val="both"/>
        <w:rPr>
          <w:color w:val="auto"/>
        </w:rPr>
      </w:pPr>
      <w:r>
        <w:rPr>
          <w:rFonts w:ascii="Times New Roman" w:hAnsi="Times New Roman" w:eastAsia="Times New Roman" w:cs="Times New Roman"/>
          <w:color w:val="auto"/>
          <w:sz w:val="24"/>
          <w:szCs w:val="24"/>
        </w:rPr>
        <w:t>When I started reading more deeply into this literature, one thing kept standing out: almost every prediction study includes gender as one of the input variables, as if it were obviously useful. But when I looked at actual grade data from a CS department, the picture was very different — male and female students performed similarly in the vast majority of courses (Berdousis &amp; Kordaki, 2019). That gap between what the models assume and what the classroom data actually shows felt like a question worth exploring properly. The literature on gender in computing offers some explanation: the underrepresentation of women is shaped less by ability than by environmental cues, prior experience, and stereotype effects that influence whether they feel they belong in the field (Margolis &amp; Fisher, 2002; Cheryan et al., 2009).</w:t>
      </w:r>
    </w:p>
    <w:p w14:paraId="0BFC2798">
      <w:pPr>
        <w:spacing w:before="0" w:after="160"/>
        <w:ind w:firstLine="720"/>
        <w:jc w:val="both"/>
        <w:rPr>
          <w:color w:val="auto"/>
        </w:rPr>
      </w:pPr>
      <w:r>
        <w:rPr>
          <w:rFonts w:ascii="Times New Roman" w:hAnsi="Times New Roman" w:eastAsia="Times New Roman" w:cs="Times New Roman"/>
          <w:color w:val="auto"/>
          <w:sz w:val="24"/>
          <w:szCs w:val="24"/>
        </w:rPr>
        <w:t>At the same time, the factors most likely to explain why students struggle — how confident they feel, how motivated they are, how much they engage with course materials — are almost never treated as the primary focus. Baashar et al. (2021) found that psychological attributes appeared in only a few of the ML studies they reviewed. Meanwhile, research using behavioural engagement data from learning platforms has shown it to be a powerful signal: Tomasevic et al. (2020), using the OULAD dataset, found that ANN models fed with engagement and past performance data achieved an F1 score of 0.9662, while adding demographic data to the same model actually lowered performance slightly to 0.9645 — suggesting that demographic features such as gender add noise rather than signal.</w:t>
      </w:r>
    </w:p>
    <w:p w14:paraId="02C060E7">
      <w:pPr>
        <w:spacing w:before="0" w:after="160"/>
        <w:ind w:firstLine="720"/>
        <w:jc w:val="both"/>
        <w:rPr>
          <w:color w:val="auto"/>
        </w:rPr>
      </w:pPr>
      <w:r>
        <w:rPr>
          <w:rFonts w:ascii="Times New Roman" w:hAnsi="Times New Roman" w:eastAsia="Times New Roman" w:cs="Times New Roman"/>
          <w:color w:val="auto"/>
          <w:sz w:val="24"/>
          <w:szCs w:val="24"/>
        </w:rPr>
        <w:t>This leads to the research question driving this project: in predicting whether a student will pass or fail in an online learning environment, how does a model built only on demographic features — such as gender, age, and socioeconomic background — compare to one built only on behavioural engagement features, and does combining the two feature sets improve prediction beyond what engagement features achieve on their own? This framing matters because most existing studies combine all feature types without isolating their separate contributions. As a result, the question of whether demographic attributes add any genuine predictive value — once engagement data is available — has not been directly answered on the OULAD dataset with a consistent experimental design.</w:t>
      </w:r>
    </w:p>
    <w:p w14:paraId="283D04EF">
      <w:pPr>
        <w:pStyle w:val="2"/>
        <w:spacing w:before="280" w:after="100"/>
        <w:rPr>
          <w:color w:val="auto"/>
        </w:rPr>
      </w:pPr>
      <w:r>
        <w:rPr>
          <w:rFonts w:ascii="Times New Roman" w:hAnsi="Times New Roman" w:eastAsia="Times New Roman" w:cs="Times New Roman"/>
          <w:b/>
          <w:bCs/>
          <w:color w:val="auto"/>
          <w:sz w:val="26"/>
          <w:szCs w:val="26"/>
        </w:rPr>
        <w:t>2. Dataset</w:t>
      </w:r>
    </w:p>
    <w:p w14:paraId="5AE02F04">
      <w:pPr>
        <w:spacing w:before="0" w:after="160"/>
        <w:ind w:firstLine="720"/>
        <w:jc w:val="both"/>
        <w:rPr>
          <w:color w:val="auto"/>
        </w:rPr>
      </w:pPr>
      <w:r>
        <w:rPr>
          <w:rFonts w:ascii="Times New Roman" w:hAnsi="Times New Roman" w:eastAsia="Times New Roman" w:cs="Times New Roman"/>
          <w:color w:val="auto"/>
          <w:sz w:val="24"/>
          <w:szCs w:val="24"/>
        </w:rPr>
        <w:t>For this project, I plan to use the Open University Learning Analytics Dataset (OULAD), introduced by Kuzilek et al. (2017) and published in Scientific Data. The dataset was collected from the Open University in the United Kingdom and covers seven courses across multiple presentation periods in 2013 and 2014. It contains records from 32,593 students, making it one of the largest open educational datasets available for research purposes.</w:t>
      </w:r>
    </w:p>
    <w:p w14:paraId="1F4D8B45">
      <w:pPr>
        <w:spacing w:before="0" w:after="160"/>
        <w:ind w:firstLine="720"/>
        <w:jc w:val="both"/>
        <w:rPr>
          <w:color w:val="auto"/>
        </w:rPr>
      </w:pPr>
      <w:r>
        <w:rPr>
          <w:rFonts w:ascii="Times New Roman" w:hAnsi="Times New Roman" w:eastAsia="Times New Roman" w:cs="Times New Roman"/>
          <w:color w:val="auto"/>
          <w:sz w:val="24"/>
          <w:szCs w:val="24"/>
        </w:rPr>
        <w:t>What makes OULAD particularly well suited to this project is that it combines two types of data that most institutional datasets keep separate: demographic background information — including gender, age band, highest prior education, and an Index of Multiple Deprivation derived from postcode — and detailed logs of student interactions with the Virtual Learning Environment (VLE), recorded as daily click counts across different types of course materials. This combination is essential to the research question, because it makes it possible to build and evaluate models on demographic and behavioural feature sets in isolation, rather than only on a combined set. Tomasevic et al. (2020) used this same dataset for a similar comparative analysis, which means my results can be directly benchmarked against theirs.</w:t>
      </w:r>
    </w:p>
    <w:p w14:paraId="03FE9FD2">
      <w:pPr>
        <w:spacing w:before="0" w:after="160"/>
        <w:ind w:firstLine="720"/>
        <w:jc w:val="both"/>
        <w:rPr>
          <w:color w:val="auto"/>
        </w:rPr>
      </w:pPr>
      <w:r>
        <w:rPr>
          <w:rFonts w:ascii="Times New Roman" w:hAnsi="Times New Roman" w:eastAsia="Times New Roman" w:cs="Times New Roman"/>
          <w:color w:val="auto"/>
          <w:sz w:val="24"/>
          <w:szCs w:val="24"/>
        </w:rPr>
        <w:t>The dataset records four possible final outcomes: Distinction, Pass, Fail, and Withdrawn. For this project, I plan to simplify this to a binary pass/fail classification, grouping Distinction and Pass together, and Fail and Withdrawn together — the same approach used by Tomasevic et al. (2020), who adopted a passing threshold of 40 points out of 100, and consistent with a broader e-learning literature in which withdrawal is itself an established prediction target (Lykourentzou et al., 2009; Aljohani et al., 2019). This reflects the practical goal of identifying students at risk before it is too late to intervene, and it is also consistent with how Torkhani and Rezgui (2025) approached the same dataset in a recent comparison of ML and deep learning methods.</w:t>
      </w:r>
    </w:p>
    <w:p w14:paraId="464D26F2">
      <w:pPr>
        <w:spacing w:before="0" w:after="160"/>
        <w:ind w:firstLine="720"/>
        <w:jc w:val="both"/>
        <w:rPr>
          <w:color w:val="auto"/>
        </w:rPr>
      </w:pPr>
      <w:r>
        <w:rPr>
          <w:rFonts w:ascii="Times New Roman" w:hAnsi="Times New Roman" w:eastAsia="Times New Roman" w:cs="Times New Roman"/>
          <w:color w:val="auto"/>
          <w:sz w:val="24"/>
          <w:szCs w:val="24"/>
        </w:rPr>
        <w:t>I considered using the UCI Student Performance Dataset, originally collected by Cortez and Silva (2008), which covers Portuguese secondary school students studying Mathematics and Portuguese. While widely used, it is a poor fit for this project: my research question concerns university-level education, and using a secondary school dataset from a different educational system would introduce a mismatch that is hard to justify. More importantly, the UCI dataset does not contain fine-grained behavioural log data, which the demographic-versus-engagement comparison depends on. OULAD is university-level, large-scale, and extensively used in learning analytics research, giving a rich body of literature to situate my findings within (Shahiri &amp; Husain, 2015; Albreiki et al., 2021).</w:t>
      </w:r>
    </w:p>
    <w:p w14:paraId="32BC92A8">
      <w:pPr>
        <w:pStyle w:val="2"/>
        <w:spacing w:before="280" w:after="100"/>
        <w:rPr>
          <w:color w:val="auto"/>
        </w:rPr>
      </w:pPr>
      <w:r>
        <w:rPr>
          <w:rFonts w:ascii="Times New Roman" w:hAnsi="Times New Roman" w:eastAsia="Times New Roman" w:cs="Times New Roman"/>
          <w:b/>
          <w:bCs/>
          <w:color w:val="auto"/>
          <w:sz w:val="26"/>
          <w:szCs w:val="26"/>
        </w:rPr>
        <w:t>3. Factors Under Consideration</w:t>
      </w:r>
    </w:p>
    <w:p w14:paraId="1EC44B6B">
      <w:pPr>
        <w:pStyle w:val="3"/>
        <w:spacing w:before="200" w:after="80"/>
        <w:rPr>
          <w:color w:val="auto"/>
        </w:rPr>
      </w:pPr>
      <w:r>
        <w:rPr>
          <w:rFonts w:ascii="Times New Roman" w:hAnsi="Times New Roman" w:eastAsia="Times New Roman" w:cs="Times New Roman"/>
          <w:b/>
          <w:bCs/>
          <w:color w:val="auto"/>
          <w:sz w:val="24"/>
          <w:szCs w:val="24"/>
        </w:rPr>
        <w:t>3.1  Why these factors and not others</w:t>
      </w:r>
    </w:p>
    <w:p w14:paraId="058DB4CB">
      <w:pPr>
        <w:spacing w:before="0" w:after="160"/>
        <w:ind w:firstLine="720"/>
        <w:jc w:val="both"/>
        <w:rPr>
          <w:color w:val="auto"/>
        </w:rPr>
      </w:pPr>
      <w:r>
        <w:rPr>
          <w:rFonts w:ascii="Times New Roman" w:hAnsi="Times New Roman" w:eastAsia="Times New Roman" w:cs="Times New Roman"/>
          <w:color w:val="auto"/>
          <w:sz w:val="24"/>
          <w:szCs w:val="24"/>
        </w:rPr>
        <w:t>Choosing which variables to include in a prediction model reflects assumptions about what actually drives student outcomes. The most common approach in the literature is to reach for whatever data is easiest to get: attendance, GPA, demographic variables like gender and age (Baashar et al., 2021). That makes sense from a data availability standpoint, but it risks building models that describe patterns without understanding causes. Systematic reviews of CS-specific prediction work have noted that, while the volume of research and variety of techniques have grown rapidly, the field still suffers from inconsistent reporting of methods and a shortage of validation studies (Hellas et al., 2018). Tomasevic et al. (2020) highlighted a related concern: their analysis organised student-related features into three categories — past performance, engagement, and demographics — and found that the optimal input combination varied by model and task. The present project builds directly on this framework by treating these three categories as the basis for a controlled feature comparison.</w:t>
      </w:r>
    </w:p>
    <w:p w14:paraId="1E98CC9C">
      <w:pPr>
        <w:pStyle w:val="3"/>
        <w:spacing w:before="200" w:after="80"/>
        <w:rPr>
          <w:color w:val="auto"/>
        </w:rPr>
      </w:pPr>
      <w:r>
        <w:rPr>
          <w:rFonts w:ascii="Times New Roman" w:hAnsi="Times New Roman" w:eastAsia="Times New Roman" w:cs="Times New Roman"/>
          <w:b/>
          <w:bCs/>
          <w:color w:val="auto"/>
          <w:sz w:val="24"/>
          <w:szCs w:val="24"/>
        </w:rPr>
        <w:t>3.2  Academic history and engagement</w:t>
      </w:r>
    </w:p>
    <w:p w14:paraId="2B144E36">
      <w:pPr>
        <w:spacing w:before="0" w:after="160"/>
        <w:ind w:firstLine="720"/>
        <w:jc w:val="both"/>
        <w:rPr>
          <w:color w:val="auto"/>
        </w:rPr>
      </w:pPr>
      <w:r>
        <w:rPr>
          <w:rFonts w:ascii="Times New Roman" w:hAnsi="Times New Roman" w:eastAsia="Times New Roman" w:cs="Times New Roman"/>
          <w:color w:val="auto"/>
          <w:sz w:val="24"/>
          <w:szCs w:val="24"/>
        </w:rPr>
        <w:t>Prior academic performance — including past assessment scores and number of previous course attempts — is consistently one of the strongest predictors of future results. In OULAD, this is represented by scores on intermediary assessments throughout the module. Alongside this, VLE engagement data, such as daily click counts on different types of course materials, captures ongoing interaction with learning resources in a way that administrative records cannot (Henrie et al., 2015). Tomasevic et al. (2020) found that engagement data and past performance together (E+P) gave the highest precision across most models — with ANN achieving F1 = 0.9662 on this combination — and that adding demographic data to this set did not improve and in the case of ANN slightly reduced performance. Gray and Perkins (2019), using attendance data from their own university, similarly showed that early engagement signals collected in the first weeks of a course are sufficient to identify at-risk students with high accuracy (see also Aljohani et al., 2019, who reported around 90% pass/fail prediction accuracy within the first 10 weeks on OULAD).</w:t>
      </w:r>
    </w:p>
    <w:p w14:paraId="53043FDA">
      <w:pPr>
        <w:pStyle w:val="3"/>
        <w:spacing w:before="200" w:after="80"/>
        <w:rPr>
          <w:color w:val="auto"/>
        </w:rPr>
      </w:pPr>
      <w:r>
        <w:rPr>
          <w:rFonts w:ascii="Times New Roman" w:hAnsi="Times New Roman" w:eastAsia="Times New Roman" w:cs="Times New Roman"/>
          <w:b/>
          <w:bCs/>
          <w:color w:val="auto"/>
          <w:sz w:val="24"/>
          <w:szCs w:val="24"/>
        </w:rPr>
        <w:t>3.3  Motivational and aspirational factors</w:t>
      </w:r>
    </w:p>
    <w:p w14:paraId="5D303D18">
      <w:pPr>
        <w:spacing w:before="0" w:after="160"/>
        <w:ind w:firstLine="720"/>
        <w:jc w:val="both"/>
        <w:rPr>
          <w:color w:val="auto"/>
        </w:rPr>
      </w:pPr>
      <w:r>
        <w:rPr>
          <w:rFonts w:ascii="Times New Roman" w:hAnsi="Times New Roman" w:eastAsia="Times New Roman" w:cs="Times New Roman"/>
          <w:color w:val="auto"/>
          <w:sz w:val="24"/>
          <w:szCs w:val="24"/>
        </w:rPr>
        <w:t>Research in CS education has consistently found that how confident students feel about their abilities has a stronger relationship with their choices and persistence than their actual performance (Beyer, 2014; Ashlock et al., 2022). A recent meta-analysis of 145 effect sizes found that computer science is among the STEM fields with the largest gender gaps in self-efficacy, alongside physics (McMichael et al., 2026). While OULAD does not directly measure self-efficacy, it includes a variable on highest prior education — a partial proxy for academic preparation and confidence — and captures whether students have previously attempted the same module, which reflects persistence and motivation indirectly.</w:t>
      </w:r>
    </w:p>
    <w:p w14:paraId="446B966E">
      <w:pPr>
        <w:pStyle w:val="3"/>
        <w:spacing w:before="200" w:after="80"/>
        <w:rPr>
          <w:color w:val="auto"/>
        </w:rPr>
      </w:pPr>
      <w:r>
        <w:rPr>
          <w:rFonts w:ascii="Times New Roman" w:hAnsi="Times New Roman" w:eastAsia="Times New Roman" w:cs="Times New Roman"/>
          <w:b/>
          <w:bCs/>
          <w:color w:val="auto"/>
          <w:sz w:val="24"/>
          <w:szCs w:val="24"/>
        </w:rPr>
        <w:t>3.4  Demographic and socioeconomic context</w:t>
      </w:r>
    </w:p>
    <w:p w14:paraId="40B4D2DA">
      <w:pPr>
        <w:spacing w:before="0" w:after="160"/>
        <w:ind w:firstLine="720"/>
        <w:jc w:val="both"/>
        <w:rPr>
          <w:color w:val="auto"/>
        </w:rPr>
      </w:pPr>
      <w:r>
        <w:rPr>
          <w:rFonts w:ascii="Times New Roman" w:hAnsi="Times New Roman" w:eastAsia="Times New Roman" w:cs="Times New Roman"/>
          <w:color w:val="auto"/>
          <w:sz w:val="24"/>
          <w:szCs w:val="24"/>
        </w:rPr>
        <w:t>OULAD includes an Index of Multiple Deprivation (IMD) score derived from students' postcodes, a well-validated measure of socioeconomic disadvantage used across UK public services. This is a more principled measure of socioeconomic background than the parental income or education proxies used in most other datasets. Demographic and socioeconomic context have been shown to have a consistent moderate effect on academic outcomes across the literature (Baashar et al., 2021; Shahiri &amp; Husain, 2015). In the present project, these variables are grouped into the demographic feature set, where their combined predictive contribution can be tested empirically rather than assumed.</w:t>
      </w:r>
    </w:p>
    <w:p w14:paraId="0CC2D666">
      <w:pPr>
        <w:pStyle w:val="3"/>
        <w:spacing w:before="200" w:after="80"/>
        <w:rPr>
          <w:color w:val="auto"/>
        </w:rPr>
      </w:pPr>
      <w:r>
        <w:rPr>
          <w:rFonts w:ascii="Times New Roman" w:hAnsi="Times New Roman" w:eastAsia="Times New Roman" w:cs="Times New Roman"/>
          <w:b/>
          <w:bCs/>
          <w:color w:val="auto"/>
          <w:sz w:val="24"/>
          <w:szCs w:val="24"/>
        </w:rPr>
        <w:t>3.5  What I am deliberately leaving out — and why</w:t>
      </w:r>
    </w:p>
    <w:p w14:paraId="5AB6CD71">
      <w:pPr>
        <w:spacing w:before="0" w:after="160"/>
        <w:ind w:firstLine="720"/>
        <w:jc w:val="both"/>
        <w:rPr>
          <w:color w:val="auto"/>
        </w:rPr>
      </w:pPr>
      <w:r>
        <w:rPr>
          <w:rFonts w:ascii="Times New Roman" w:hAnsi="Times New Roman" w:eastAsia="Times New Roman" w:cs="Times New Roman"/>
          <w:color w:val="auto"/>
          <w:sz w:val="24"/>
          <w:szCs w:val="24"/>
        </w:rPr>
        <w:t>Gender is not treated as a feature whose predictive value is assumed. The core finding from Berdousis and Kordaki (2019) is that gender shows no statistically significant relationship with performance in the overwhelming majority of CS courses. Spieler et al. (2020) further showed that observed differences between male and female CS students are better explained by socialised assumptions and prior experience gaps than by any inherent ability difference, while Margolis and Fisher (2002) documented how the cultural environment of CS departments can erode female confidence over time even when starting ability is comparable. In this project, gender is deliberately placed inside the demographic feature set so that its predictive contribution — along with other demographic variables — can be tested rather than assumed. If the demographic-only model performs poorly relative to the engagement-only model, that result is itself informative and directly addresses the concern that gender's routine inclusion in ML prediction models may be unjustified.</w:t>
      </w:r>
    </w:p>
    <w:p w14:paraId="324379B9">
      <w:pPr>
        <w:pStyle w:val="2"/>
        <w:spacing w:before="280" w:after="100"/>
        <w:rPr>
          <w:color w:val="auto"/>
        </w:rPr>
      </w:pPr>
      <w:r>
        <w:rPr>
          <w:rFonts w:ascii="Times New Roman" w:hAnsi="Times New Roman" w:eastAsia="Times New Roman" w:cs="Times New Roman"/>
          <w:b/>
          <w:bCs/>
          <w:color w:val="auto"/>
          <w:sz w:val="26"/>
          <w:szCs w:val="26"/>
        </w:rPr>
        <w:t>4. What This Project Is Trying to Predict</w:t>
      </w:r>
    </w:p>
    <w:p w14:paraId="6594F49B">
      <w:pPr>
        <w:spacing w:before="0" w:after="160"/>
        <w:ind w:firstLine="720"/>
        <w:jc w:val="both"/>
        <w:rPr>
          <w:color w:val="auto"/>
        </w:rPr>
      </w:pPr>
      <w:r>
        <w:rPr>
          <w:rFonts w:ascii="Times New Roman" w:hAnsi="Times New Roman" w:eastAsia="Times New Roman" w:cs="Times New Roman"/>
          <w:color w:val="auto"/>
          <w:sz w:val="24"/>
          <w:szCs w:val="24"/>
        </w:rPr>
        <w:t>The prediction target is whether a student will pass or fail their course — a binary classification task. This framing is partly practical: binary classification is more robust on a dataset of this size, and it maps naturally onto the institutional decision of identifying at-risk students before it is too late to intervene. It is also consistent with how both Tomasevic et al. (2020) and Torkhani and Rezgui (2025) approached the same OULAD dataset, making direct benchmarking possible.</w:t>
      </w:r>
    </w:p>
    <w:p w14:paraId="1E08A21D">
      <w:pPr>
        <w:spacing w:before="0" w:after="160"/>
        <w:ind w:firstLine="720"/>
        <w:jc w:val="both"/>
        <w:rPr>
          <w:color w:val="auto"/>
        </w:rPr>
      </w:pPr>
      <w:r>
        <w:rPr>
          <w:rFonts w:ascii="Times New Roman" w:hAnsi="Times New Roman" w:eastAsia="Times New Roman" w:cs="Times New Roman"/>
          <w:color w:val="auto"/>
          <w:sz w:val="24"/>
          <w:szCs w:val="24"/>
        </w:rPr>
        <w:t>This prediction target directly serves the research question. If engagement-only models can reliably distinguish between students who pass and those who fail — and if they do so at least as well as demographic-only models — that provides evidence that institutions should prioritise collecting engagement data over relying on demographic proxies. If the combined model does not substantially outperform the engagement-only model, that further suggests that demographic features including gender are not adding genuine predictive value in this context.</w:t>
      </w:r>
    </w:p>
    <w:p w14:paraId="7749FDFF">
      <w:pPr>
        <w:pStyle w:val="2"/>
        <w:spacing w:before="280" w:after="100"/>
        <w:rPr>
          <w:color w:val="auto"/>
        </w:rPr>
      </w:pPr>
      <w:r>
        <w:rPr>
          <w:rFonts w:ascii="Times New Roman" w:hAnsi="Times New Roman" w:eastAsia="Times New Roman" w:cs="Times New Roman"/>
          <w:b/>
          <w:bCs/>
          <w:color w:val="auto"/>
          <w:sz w:val="26"/>
          <w:szCs w:val="26"/>
        </w:rPr>
        <w:t>5. Models</w:t>
      </w:r>
    </w:p>
    <w:p w14:paraId="2E709C18">
      <w:pPr>
        <w:pStyle w:val="3"/>
        <w:spacing w:before="200" w:after="80"/>
        <w:rPr>
          <w:color w:val="auto"/>
        </w:rPr>
      </w:pPr>
      <w:r>
        <w:rPr>
          <w:rFonts w:ascii="Times New Roman" w:hAnsi="Times New Roman" w:eastAsia="Times New Roman" w:cs="Times New Roman"/>
          <w:b/>
          <w:bCs/>
          <w:color w:val="auto"/>
          <w:sz w:val="24"/>
          <w:szCs w:val="24"/>
        </w:rPr>
        <w:t>5.1  What the literature suggests</w:t>
      </w:r>
    </w:p>
    <w:p w14:paraId="25A5D860">
      <w:pPr>
        <w:spacing w:before="0" w:after="160"/>
        <w:ind w:firstLine="720"/>
        <w:jc w:val="both"/>
        <w:rPr>
          <w:color w:val="auto"/>
        </w:rPr>
      </w:pPr>
      <w:r>
        <w:rPr>
          <w:rFonts w:ascii="Times New Roman" w:hAnsi="Times New Roman" w:eastAsia="Times New Roman" w:cs="Times New Roman"/>
          <w:color w:val="auto"/>
          <w:sz w:val="24"/>
          <w:szCs w:val="24"/>
        </w:rPr>
        <w:t>Baashar et al. (2021) and its extended follow-up Alsariera et al. (2022), reviewing 39 studies from 2015 to 2021 across six methods (DT, ANN, SVM, KNN, linear regression, and Naïve Bayes), reported ANN as the highest-accuracy method (98.3% in the best-performing study), with decision trees a close second at 98.2%. Tomasevic et al. (2020), who used OULAD directly, provide the most relevant benchmark for this project. In their classification experiments, ANN achieved the best overall result (F1 = 0.9662 using engagement and performance data), followed by SVM with linear kernel. Logistic regression was computationally the fastest method and still performed competitively (F1 = 0.9442 using all features). Torkhani and Rezgui (2025), also using OULAD, found that random forests and optimised decision trees offered a strong balance of accuracy and recall, making them practical alternatives when computational efficiency or interpretability matters.</w:t>
      </w:r>
    </w:p>
    <w:p w14:paraId="7190AA74">
      <w:pPr>
        <w:spacing w:before="0" w:after="160"/>
        <w:ind w:firstLine="720"/>
        <w:jc w:val="both"/>
        <w:rPr>
          <w:color w:val="auto"/>
        </w:rPr>
      </w:pPr>
      <w:r>
        <w:rPr>
          <w:rFonts w:ascii="Times New Roman" w:hAnsi="Times New Roman" w:eastAsia="Times New Roman" w:cs="Times New Roman"/>
          <w:color w:val="auto"/>
          <w:sz w:val="24"/>
          <w:szCs w:val="24"/>
        </w:rPr>
        <w:t>For this project, interpretability matters as much as raw accuracy. If the goal is to understand which feature types predict performance, a model whose outputs can be read and explained is more valuable than one that achieves marginally higher accuracy through opaque mechanisms.</w:t>
      </w:r>
    </w:p>
    <w:p w14:paraId="57DEE29A">
      <w:pPr>
        <w:pStyle w:val="3"/>
        <w:spacing w:before="200" w:after="80"/>
        <w:rPr>
          <w:color w:val="auto"/>
        </w:rPr>
      </w:pPr>
      <w:r>
        <w:rPr>
          <w:rFonts w:ascii="Times New Roman" w:hAnsi="Times New Roman" w:eastAsia="Times New Roman" w:cs="Times New Roman"/>
          <w:b/>
          <w:bCs/>
          <w:color w:val="auto"/>
          <w:sz w:val="24"/>
          <w:szCs w:val="24"/>
        </w:rPr>
        <w:t>5.2  Planned approach</w:t>
      </w:r>
    </w:p>
    <w:p w14:paraId="4144800E">
      <w:pPr>
        <w:spacing w:before="0" w:after="160"/>
        <w:ind w:firstLine="720"/>
        <w:jc w:val="both"/>
        <w:rPr>
          <w:color w:val="auto"/>
        </w:rPr>
      </w:pPr>
      <w:r>
        <w:rPr>
          <w:rFonts w:ascii="Times New Roman" w:hAnsi="Times New Roman" w:eastAsia="Times New Roman" w:cs="Times New Roman"/>
          <w:color w:val="auto"/>
          <w:sz w:val="24"/>
          <w:szCs w:val="24"/>
        </w:rPr>
        <w:t>Based on this, I plan to implement three classifiers: logistic regression as a simple and computationally efficient baseline, decision trees as the primary interpretable model, and random forests as a more powerful comparison point that also generates feature importance scores. Each of these three models will be trained and evaluated three times: once on demographic features only, once on behavioural engagement features only, and once on both combined. This gives nine total experimental configurations, allowing a direct and controlled comparison of feature type contributions — the gap that the existing literature, including Tomasevic et al. (2020), has not yet addressed systematically on OULAD.</w:t>
      </w:r>
    </w:p>
    <w:p w14:paraId="334C980D">
      <w:pPr>
        <w:spacing w:before="0" w:after="160"/>
        <w:ind w:firstLine="720"/>
        <w:jc w:val="both"/>
        <w:rPr>
          <w:color w:val="auto"/>
        </w:rPr>
      </w:pPr>
      <w:r>
        <w:rPr>
          <w:rFonts w:ascii="Times New Roman" w:hAnsi="Times New Roman" w:eastAsia="Times New Roman" w:cs="Times New Roman"/>
          <w:color w:val="auto"/>
          <w:sz w:val="24"/>
          <w:szCs w:val="24"/>
        </w:rPr>
        <w:t>Model performance will be evaluated using accuracy, precision, recall, and F1 score, with k-fold cross-validation to reduce overfitting risk. I also intend to check whether error rates differ across demographic subgroups — for example, whether the model performs less well for students from more deprived backgrounds — as a basic fairness check that complements the predictive analysis.</w:t>
      </w:r>
    </w:p>
    <w:p w14:paraId="2D480FB6">
      <w:pPr>
        <w:pStyle w:val="2"/>
        <w:spacing w:before="280" w:after="100"/>
        <w:rPr>
          <w:color w:val="auto"/>
        </w:rPr>
      </w:pPr>
      <w:r>
        <w:rPr>
          <w:rFonts w:ascii="Times New Roman" w:hAnsi="Times New Roman" w:eastAsia="Times New Roman" w:cs="Times New Roman"/>
          <w:b/>
          <w:bCs/>
          <w:color w:val="auto"/>
          <w:sz w:val="26"/>
          <w:szCs w:val="26"/>
        </w:rPr>
        <w:t>6. Gap in the Literature</w:t>
      </w:r>
    </w:p>
    <w:p w14:paraId="5BB1B46D">
      <w:pPr>
        <w:spacing w:before="0" w:after="160"/>
        <w:ind w:firstLine="720"/>
        <w:jc w:val="both"/>
        <w:rPr>
          <w:color w:val="auto"/>
        </w:rPr>
      </w:pPr>
      <w:r>
        <w:rPr>
          <w:rFonts w:ascii="Times New Roman" w:hAnsi="Times New Roman" w:eastAsia="Times New Roman" w:cs="Times New Roman"/>
          <w:color w:val="auto"/>
          <w:sz w:val="24"/>
          <w:szCs w:val="24"/>
        </w:rPr>
        <w:t>The gap this project addresses sits at the intersection of two observations. First, most ML performance prediction studies rely heavily on demographic variables — particularly gender — without testing whether those variables add predictive value beyond academic and behavioural factors (Baashar et al., 2021; Hellas et al., 2018). Second, the studies that have examined gender and CS performance directly have found that the assumed relationship largely does not hold in practice (Berdousis &amp; Kordaki, 2019; Ashlock et al., 2022).</w:t>
      </w:r>
    </w:p>
    <w:p w14:paraId="552E3B9B">
      <w:pPr>
        <w:spacing w:before="0" w:after="160"/>
        <w:ind w:firstLine="720"/>
        <w:jc w:val="both"/>
        <w:rPr>
          <w:color w:val="auto"/>
        </w:rPr>
      </w:pPr>
      <w:r>
        <w:rPr>
          <w:rFonts w:ascii="Times New Roman" w:hAnsi="Times New Roman" w:eastAsia="Times New Roman" w:cs="Times New Roman"/>
          <w:color w:val="auto"/>
          <w:sz w:val="24"/>
          <w:szCs w:val="24"/>
        </w:rPr>
        <w:t>The closest existing study to what this project proposes is Tomasevic et al. (2020), who tested multiple feature combinations — demographics only, engagement only, past performance only, and various combinations — on OULAD. Their finding that ANN performed best on engagement plus performance data, with demographic data providing no significant improvement, is directly relevant. However, their study did not frame the comparison as a test of whether demographic variables are justified as predictors, and they did not include a fairness analysis of error rates across student subgroups. The present project addresses both of these aspects explicitly, using the same dataset but with a research question focused on the predictive contribution of demographic versus engagement features as distinct groups, and with an evaluation framework that considers fairness alongside accuracy.</w:t>
      </w:r>
    </w:p>
    <w:p w14:paraId="5D85C728">
      <w:pPr>
        <w:pStyle w:val="2"/>
        <w:spacing w:before="280" w:after="100"/>
        <w:rPr>
          <w:color w:val="auto"/>
        </w:rPr>
      </w:pPr>
      <w:r>
        <w:rPr>
          <w:rFonts w:ascii="Times New Roman" w:hAnsi="Times New Roman" w:eastAsia="Times New Roman" w:cs="Times New Roman"/>
          <w:b/>
          <w:bCs/>
          <w:color w:val="auto"/>
          <w:sz w:val="26"/>
          <w:szCs w:val="26"/>
        </w:rPr>
        <w:t>References</w:t>
      </w:r>
    </w:p>
    <w:p w14:paraId="4D15EFFF">
      <w:pPr>
        <w:spacing w:before="0" w:after="120"/>
        <w:ind w:left="720" w:hanging="720"/>
        <w:jc w:val="both"/>
        <w:rPr>
          <w:color w:val="auto"/>
        </w:rPr>
      </w:pPr>
      <w:r>
        <w:rPr>
          <w:rFonts w:ascii="Times New Roman" w:hAnsi="Times New Roman" w:eastAsia="Times New Roman" w:cs="Times New Roman"/>
          <w:color w:val="auto"/>
          <w:sz w:val="22"/>
          <w:szCs w:val="22"/>
        </w:rPr>
        <w:t>Albreiki, B., Zaki, N., &amp; Alashwal, H. (2021). A systematic literature review of student performance prediction using machine learning techniques. Education Sciences, 11(9), 552. https://doi.org/10.3390/educsci11090552</w:t>
      </w:r>
    </w:p>
    <w:p w14:paraId="3958B698">
      <w:pPr>
        <w:spacing w:before="0" w:after="120"/>
        <w:ind w:left="720" w:hanging="720"/>
        <w:jc w:val="both"/>
        <w:rPr>
          <w:color w:val="auto"/>
        </w:rPr>
      </w:pPr>
      <w:r>
        <w:rPr>
          <w:rFonts w:ascii="Times New Roman" w:hAnsi="Times New Roman" w:eastAsia="Times New Roman" w:cs="Times New Roman"/>
          <w:color w:val="auto"/>
          <w:sz w:val="22"/>
          <w:szCs w:val="22"/>
        </w:rPr>
        <w:t>Aljohani, N. R., Fayoumi, A., &amp; Hassan, S.-U. (2019). Predicting at-risk students using clickstream data in the virtual learning environment. Sustainability, 11(24), 7238. https://doi.org/10.3390/su11247238</w:t>
      </w:r>
    </w:p>
    <w:p w14:paraId="36346C78">
      <w:pPr>
        <w:spacing w:before="0" w:after="120"/>
        <w:ind w:left="720" w:hanging="720"/>
        <w:jc w:val="both"/>
        <w:rPr>
          <w:color w:val="auto"/>
        </w:rPr>
      </w:pPr>
      <w:r>
        <w:rPr>
          <w:rFonts w:ascii="Times New Roman" w:hAnsi="Times New Roman" w:eastAsia="Times New Roman" w:cs="Times New Roman"/>
          <w:color w:val="auto"/>
          <w:sz w:val="22"/>
          <w:szCs w:val="22"/>
        </w:rPr>
        <w:t>Alsariera, Y. A., Baashar, Y., Alkawsi, G., Mustafa, A., Alkahtani, A. A., &amp; Ali, N. (2022). Assessment and evaluation of different machine learning algorithms for predicting student performance. Computational Intelligence and Neuroscience, 2022, Article 4151487. https://doi.org/10.1155/2022/4151487</w:t>
      </w:r>
    </w:p>
    <w:p w14:paraId="20752493">
      <w:pPr>
        <w:spacing w:before="0" w:after="120"/>
        <w:ind w:left="720" w:hanging="720"/>
        <w:jc w:val="both"/>
        <w:rPr>
          <w:color w:val="auto"/>
        </w:rPr>
      </w:pPr>
      <w:r>
        <w:rPr>
          <w:rFonts w:ascii="Times New Roman" w:hAnsi="Times New Roman" w:eastAsia="Times New Roman" w:cs="Times New Roman"/>
          <w:color w:val="auto"/>
          <w:sz w:val="22"/>
          <w:szCs w:val="22"/>
        </w:rPr>
        <w:t>Ashlock, J., Stojnic, M., &amp; Tufekci, Z. (2022). Gender differences in academic efficacy across STEM fields. Sociological Perspectives, 65(3), 540–561. https://doi.org/10.1177/07311214211028617</w:t>
      </w:r>
    </w:p>
    <w:p w14:paraId="019FB83C">
      <w:pPr>
        <w:spacing w:before="0" w:after="120"/>
        <w:ind w:left="720" w:hanging="720"/>
        <w:jc w:val="both"/>
        <w:rPr>
          <w:color w:val="auto"/>
        </w:rPr>
      </w:pPr>
      <w:r>
        <w:rPr>
          <w:rFonts w:ascii="Times New Roman" w:hAnsi="Times New Roman" w:eastAsia="Times New Roman" w:cs="Times New Roman"/>
          <w:color w:val="auto"/>
          <w:sz w:val="22"/>
          <w:szCs w:val="22"/>
        </w:rPr>
        <w:t>Baashar, Y., Alkawsi, G., Ali, N., Alhussian, H., &amp; Bahbouh, H. T. (2021). Predicting student's performance using machine learning methods: A systematic literature review. In 2021 International Conference on Computer &amp; Information Sciences (ICCOINS) (pp. 357–362). IEEE. https://doi.org/10.1109/ICCOINS49721.2021.9497185</w:t>
      </w:r>
    </w:p>
    <w:p w14:paraId="7312F8E5">
      <w:pPr>
        <w:spacing w:before="0" w:after="120"/>
        <w:ind w:left="720" w:hanging="720"/>
        <w:jc w:val="both"/>
        <w:rPr>
          <w:color w:val="auto"/>
        </w:rPr>
      </w:pPr>
      <w:r>
        <w:rPr>
          <w:rFonts w:ascii="Times New Roman" w:hAnsi="Times New Roman" w:eastAsia="Times New Roman" w:cs="Times New Roman"/>
          <w:color w:val="auto"/>
          <w:sz w:val="22"/>
          <w:szCs w:val="22"/>
        </w:rPr>
        <w:t>Berdousis, I., &amp; Kordaki, M. (2019). Gender and student course preferences and course performance in Computer Science departments: A case study. Education and Information Technologies, 24(2), 1269–1291. https://doi.org/10.1007/s10639-018-9828-x</w:t>
      </w:r>
    </w:p>
    <w:p w14:paraId="3A1F70D4">
      <w:pPr>
        <w:spacing w:before="0" w:after="120"/>
        <w:ind w:left="720" w:hanging="720"/>
        <w:jc w:val="both"/>
        <w:rPr>
          <w:color w:val="auto"/>
        </w:rPr>
      </w:pPr>
      <w:r>
        <w:rPr>
          <w:rFonts w:ascii="Times New Roman" w:hAnsi="Times New Roman" w:eastAsia="Times New Roman" w:cs="Times New Roman"/>
          <w:color w:val="auto"/>
          <w:sz w:val="22"/>
          <w:szCs w:val="22"/>
        </w:rPr>
        <w:t>Beyer, S. (2014). Why are women underrepresented in Computer Science? Gender differences in stereotypes, self-efficacy, values, and interests and predictors of future CS course-taking and grades. Computer Science Education, 24(2–3), 153–192. https://doi.org/10.1080/08993408.2014.963363</w:t>
      </w:r>
    </w:p>
    <w:p w14:paraId="6ECD3B4A">
      <w:pPr>
        <w:spacing w:before="0" w:after="120"/>
        <w:ind w:left="720" w:hanging="720"/>
        <w:jc w:val="both"/>
        <w:rPr>
          <w:color w:val="auto"/>
        </w:rPr>
      </w:pPr>
      <w:r>
        <w:rPr>
          <w:rFonts w:ascii="Times New Roman" w:hAnsi="Times New Roman" w:eastAsia="Times New Roman" w:cs="Times New Roman"/>
          <w:color w:val="auto"/>
          <w:sz w:val="22"/>
          <w:szCs w:val="22"/>
        </w:rPr>
        <w:t>Cheryan, S., Plaut, V. C., Davies, P. G., &amp; Steele, C. M. (2009). Ambient belonging: How stereotypical cues impact gender participation in computer science. Journal of Personality and Social Psychology, 97(6), 1045–1060. https://doi.org/10.1037/a0016239</w:t>
      </w:r>
    </w:p>
    <w:p w14:paraId="6C5929EB">
      <w:pPr>
        <w:spacing w:before="0" w:after="120"/>
        <w:ind w:left="720" w:hanging="720"/>
        <w:jc w:val="both"/>
        <w:rPr>
          <w:color w:val="auto"/>
        </w:rPr>
      </w:pPr>
      <w:r>
        <w:rPr>
          <w:rFonts w:ascii="Times New Roman" w:hAnsi="Times New Roman" w:eastAsia="Times New Roman" w:cs="Times New Roman"/>
          <w:color w:val="auto"/>
          <w:sz w:val="22"/>
          <w:szCs w:val="22"/>
        </w:rPr>
        <w:t>Cortez, P., &amp; Silva, A. M. G. (2008). Using data mining to predict secondary school student performance. In A. Brito &amp; J. Teixeira (Eds.), Proceedings of 5th Future Business Technology Conference (FUBUTEC 2008) (pp. 5–12). EUROSIS.</w:t>
      </w:r>
    </w:p>
    <w:p w14:paraId="5AF2B718">
      <w:pPr>
        <w:spacing w:before="0" w:after="120"/>
        <w:ind w:left="720" w:hanging="720"/>
        <w:jc w:val="both"/>
        <w:rPr>
          <w:color w:val="auto"/>
        </w:rPr>
      </w:pPr>
      <w:r>
        <w:rPr>
          <w:rFonts w:ascii="Times New Roman" w:hAnsi="Times New Roman" w:eastAsia="Times New Roman" w:cs="Times New Roman"/>
          <w:color w:val="auto"/>
          <w:sz w:val="22"/>
          <w:szCs w:val="22"/>
        </w:rPr>
        <w:t xml:space="preserve">Gray, C. C., &amp; Perkins, D. (2019). Utilizing early engagement and machine learning to predict student </w:t>
      </w:r>
      <w:bookmarkStart w:id="0" w:name="_GoBack"/>
      <w:bookmarkEnd w:id="0"/>
      <w:r>
        <w:rPr>
          <w:rFonts w:ascii="Times New Roman" w:hAnsi="Times New Roman" w:eastAsia="Times New Roman" w:cs="Times New Roman"/>
          <w:color w:val="auto"/>
          <w:sz w:val="22"/>
          <w:szCs w:val="22"/>
        </w:rPr>
        <w:t>outcomes. Computers &amp; Education, 131, 22–32. https://doi.org/10.1016/j.compedu.2018.12.006</w:t>
      </w:r>
    </w:p>
    <w:p w14:paraId="5FB95032">
      <w:pPr>
        <w:spacing w:before="0" w:after="120"/>
        <w:ind w:left="720" w:hanging="720"/>
        <w:jc w:val="both"/>
        <w:rPr>
          <w:color w:val="auto"/>
        </w:rPr>
      </w:pPr>
      <w:r>
        <w:rPr>
          <w:rFonts w:ascii="Times New Roman" w:hAnsi="Times New Roman" w:eastAsia="Times New Roman" w:cs="Times New Roman"/>
          <w:color w:val="auto"/>
          <w:sz w:val="22"/>
          <w:szCs w:val="22"/>
        </w:rPr>
        <w:t>Hellas, A., Ihantola, P., Petersen, A., Ajanovski, V. V., Gutica, M., Hynninen, T., Knutas, A., Leinonen, J., Messom, C., &amp; Liao, S. N. (2018). Predicting academic performance: A systematic literature review. In Proceedings Companion of the 23rd Annual ACM Conference on Innovation and Technology in Computer Science Education (pp. 175–199). ACM. https://doi.org/10.1145/3293881.3295783</w:t>
      </w:r>
    </w:p>
    <w:p w14:paraId="36F45E7A">
      <w:pPr>
        <w:spacing w:before="0" w:after="120"/>
        <w:ind w:left="720" w:hanging="720"/>
        <w:jc w:val="both"/>
        <w:rPr>
          <w:color w:val="auto"/>
        </w:rPr>
      </w:pPr>
      <w:r>
        <w:rPr>
          <w:rFonts w:ascii="Times New Roman" w:hAnsi="Times New Roman" w:eastAsia="Times New Roman" w:cs="Times New Roman"/>
          <w:color w:val="auto"/>
          <w:sz w:val="22"/>
          <w:szCs w:val="22"/>
        </w:rPr>
        <w:t>Henrie, C. R., Halverson, L. R., &amp; Graham, C. R. (2015). Measuring student engagement in technology-mediated learning: A review. Computers &amp; Education, 90, 36–53. https://doi.org/10.1016/j.compedu.2015.09.005</w:t>
      </w:r>
    </w:p>
    <w:p w14:paraId="0955EE4E">
      <w:pPr>
        <w:spacing w:before="0" w:after="120"/>
        <w:ind w:left="720" w:hanging="720"/>
        <w:jc w:val="both"/>
        <w:rPr>
          <w:color w:val="auto"/>
        </w:rPr>
      </w:pPr>
      <w:r>
        <w:rPr>
          <w:rFonts w:ascii="Times New Roman" w:hAnsi="Times New Roman" w:eastAsia="Times New Roman" w:cs="Times New Roman"/>
          <w:color w:val="auto"/>
          <w:sz w:val="22"/>
          <w:szCs w:val="22"/>
        </w:rPr>
        <w:t>Kuzilek, J., Hlosta, M., &amp; Zdrahal, Z. (2017). Open University Learning Analytics dataset. Scientific Data, 4, Article 170171. https://doi.org/10.1038/sdata.2017.171</w:t>
      </w:r>
    </w:p>
    <w:p w14:paraId="134B7D71">
      <w:pPr>
        <w:spacing w:before="0" w:after="120"/>
        <w:ind w:left="720" w:hanging="720"/>
        <w:jc w:val="both"/>
        <w:rPr>
          <w:color w:val="auto"/>
        </w:rPr>
      </w:pPr>
      <w:r>
        <w:rPr>
          <w:rFonts w:ascii="Times New Roman" w:hAnsi="Times New Roman" w:eastAsia="Times New Roman" w:cs="Times New Roman"/>
          <w:color w:val="auto"/>
          <w:sz w:val="22"/>
          <w:szCs w:val="22"/>
        </w:rPr>
        <w:t>Lykourentzou, I., Giannoukos, I., Nikolopoulos, V., Mpardis, G., &amp; Loumos, V. (2009). Dropout prediction in e-learning courses through the combination of machine learning techniques. Computers &amp; Education, 53(3), 950–965. https://doi.org/10.1016/j.compedu.2009.05.010</w:t>
      </w:r>
    </w:p>
    <w:p w14:paraId="49879467">
      <w:pPr>
        <w:spacing w:before="0" w:after="120"/>
        <w:ind w:left="720" w:hanging="720"/>
        <w:jc w:val="both"/>
        <w:rPr>
          <w:color w:val="auto"/>
        </w:rPr>
      </w:pPr>
      <w:r>
        <w:rPr>
          <w:rFonts w:ascii="Times New Roman" w:hAnsi="Times New Roman" w:eastAsia="Times New Roman" w:cs="Times New Roman"/>
          <w:color w:val="auto"/>
          <w:sz w:val="22"/>
          <w:szCs w:val="22"/>
        </w:rPr>
        <w:t>Margolis, J., &amp; Fisher, A. (2002). Unlocking the clubhouse: Women in computing. MIT Press.</w:t>
      </w:r>
    </w:p>
    <w:p w14:paraId="650EC3E0">
      <w:pPr>
        <w:spacing w:before="0" w:after="120"/>
        <w:ind w:left="720" w:hanging="720"/>
        <w:jc w:val="both"/>
        <w:rPr>
          <w:color w:val="auto"/>
        </w:rPr>
      </w:pPr>
      <w:r>
        <w:rPr>
          <w:rFonts w:ascii="Times New Roman" w:hAnsi="Times New Roman" w:eastAsia="Times New Roman" w:cs="Times New Roman"/>
          <w:color w:val="auto"/>
          <w:sz w:val="22"/>
          <w:szCs w:val="22"/>
        </w:rPr>
        <w:t>McMichael, S. L., West, S. G., &amp; Kwan, V. S. Y. (2026). The enduring gender gap in STEM: A meta-analysis of gender differences in self-efficacy in STEM fields. Behavioral Sciences, 16(1), 141. https://doi.org/10.3390/bs16010141</w:t>
      </w:r>
    </w:p>
    <w:p w14:paraId="6BE62A97">
      <w:pPr>
        <w:spacing w:before="0" w:after="120"/>
        <w:ind w:left="720" w:hanging="720"/>
        <w:jc w:val="both"/>
        <w:rPr>
          <w:color w:val="auto"/>
        </w:rPr>
      </w:pPr>
      <w:r>
        <w:rPr>
          <w:rFonts w:ascii="Times New Roman" w:hAnsi="Times New Roman" w:eastAsia="Times New Roman" w:cs="Times New Roman"/>
          <w:color w:val="auto"/>
          <w:sz w:val="22"/>
          <w:szCs w:val="22"/>
        </w:rPr>
        <w:t>Romero, C., &amp; Ventura, S. (2010). Educational data mining: A review of the state of the art. IEEE Transactions on Systems, Man, and Cybernetics, Part C (Applications and Reviews), 40(6), 601–618. https://doi.org/10.1109/TSMCC.2010.2053532</w:t>
      </w:r>
    </w:p>
    <w:p w14:paraId="387BD7C3">
      <w:pPr>
        <w:spacing w:before="0" w:after="120"/>
        <w:ind w:left="720" w:hanging="720"/>
        <w:jc w:val="both"/>
        <w:rPr>
          <w:color w:val="auto"/>
        </w:rPr>
      </w:pPr>
      <w:r>
        <w:rPr>
          <w:rFonts w:ascii="Times New Roman" w:hAnsi="Times New Roman" w:eastAsia="Times New Roman" w:cs="Times New Roman"/>
          <w:color w:val="auto"/>
          <w:sz w:val="22"/>
          <w:szCs w:val="22"/>
        </w:rPr>
        <w:t>Shahiri, A. M., Husain, W., &amp; Rashid, N. A. (2015). A review on predicting student's performance using data mining techniques. Procedia Computer Science, 72, 414–422. https://doi.org/10.1016/j.procs.2015.12.157</w:t>
      </w:r>
    </w:p>
    <w:p w14:paraId="281CA3E6">
      <w:pPr>
        <w:spacing w:before="0" w:after="120"/>
        <w:ind w:left="720" w:hanging="720"/>
        <w:jc w:val="both"/>
        <w:rPr>
          <w:color w:val="auto"/>
        </w:rPr>
      </w:pPr>
      <w:r>
        <w:rPr>
          <w:rFonts w:ascii="Times New Roman" w:hAnsi="Times New Roman" w:eastAsia="Times New Roman" w:cs="Times New Roman"/>
          <w:color w:val="auto"/>
          <w:sz w:val="22"/>
          <w:szCs w:val="22"/>
        </w:rPr>
        <w:t>Spieler, B., Oates-Indruchova, L., &amp; Slany, W. (2020). Female students in Computer Science education: Understanding stereotypes, negative impacts, and positive motivation. Journal of Women and Minorities in Science and Engineering, 26(5), 473–510. https://doi.org/10.1615/JWomenMinorScienEng.2020028567</w:t>
      </w:r>
    </w:p>
    <w:p w14:paraId="53199C3A">
      <w:pPr>
        <w:spacing w:before="0" w:after="120"/>
        <w:ind w:left="720" w:hanging="720"/>
        <w:jc w:val="both"/>
        <w:rPr>
          <w:color w:val="auto"/>
        </w:rPr>
      </w:pPr>
      <w:r>
        <w:rPr>
          <w:rFonts w:ascii="Times New Roman" w:hAnsi="Times New Roman" w:eastAsia="Times New Roman" w:cs="Times New Roman"/>
          <w:color w:val="auto"/>
          <w:sz w:val="22"/>
          <w:szCs w:val="22"/>
        </w:rPr>
        <w:t>Tomasevic, N., Gvozdenovic, N., &amp; Vranes, S. (2020). An overview and comparison of supervised data mining techniques for student exam performance prediction. Computers &amp; Education, 143, 103676. https://doi.org/10.1016/j.compedu.2019.103676</w:t>
      </w:r>
    </w:p>
    <w:p w14:paraId="0E65EED9">
      <w:pPr>
        <w:spacing w:before="0" w:after="120"/>
        <w:ind w:left="720" w:hanging="720"/>
        <w:jc w:val="both"/>
        <w:rPr>
          <w:color w:val="auto"/>
        </w:rPr>
      </w:pPr>
      <w:r>
        <w:rPr>
          <w:rFonts w:ascii="Times New Roman" w:hAnsi="Times New Roman" w:eastAsia="Times New Roman" w:cs="Times New Roman"/>
          <w:color w:val="auto"/>
          <w:sz w:val="22"/>
          <w:szCs w:val="22"/>
        </w:rPr>
        <w:t>Torkhani, W., &amp; Rezgui, K. (2025). OULAD MOOC student performance prediction using machine and deep learning techniques. In Proceedings of the International Conference on Decision Aid and Artificial Intelligence (ICODAI 2024) (pp. 228–241). Atlantis Press. https://doi.org/10.2991/978-94-6463-654-3_18</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useFELayout/>
    <w:compatSetting w:name="compatibilityMode" w:uri="http://schemas.microsoft.com/office/word" w:val="15"/>
  </w:compat>
  <w:rsids>
    <w:rsidRoot w:val="00000000"/>
    <w:rsid w:val="7F5A4C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pPr>
      <w:spacing w:before="280" w:after="100"/>
      <w:outlineLvl w:val="0"/>
    </w:pPr>
    <w:rPr>
      <w:rFonts w:ascii="Times New Roman" w:hAnsi="Times New Roman" w:eastAsia="Times New Roman" w:cs="Times New Roman"/>
      <w:b/>
      <w:bCs/>
      <w:color w:val="1A4A8A"/>
      <w:sz w:val="26"/>
      <w:szCs w:val="26"/>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1A1A1A"/>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3000</Words>
  <Characters>17882</Characters>
  <TotalTime>0</TotalTime>
  <ScaleCrop>false</ScaleCrop>
  <LinksUpToDate>false</LinksUpToDate>
  <CharactersWithSpaces>20833</CharactersWithSpaces>
  <Application>WPS Office_12.1.0.26890_F1E327BC-269C-435d-A152-05C5408002CA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2026-05-27T21:10:00Z</dcterms:created>
  <dc:creator>Un-named</dc:creator>
  <cp:lastModifiedBy>Michael</cp:lastModifiedBy>
  <dcterms:modified xsi:type="dcterms:W3CDTF">2026-05-27T23:33:18Z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eyJoZGlkIjoiOWViNjk1YzA1YTM2ZDE3MjZmYjczNmM5ZjQ2MzMxNTIiLCJ1c2VySWQiOiI5NzE4NTY0OTUifQ==</vt:lpwstr>
  </property>
  <property fmtid="{D5CDD505-2E9C-101B-9397-08002B2CF9AE}" pid="3" name="KSOProductBuildVer">
    <vt:lpwstr>2052-12.1.0.26890</vt:lpwstr>
  </property>
  <property fmtid="{D5CDD505-2E9C-101B-9397-08002B2CF9AE}" pid="4" name="ICV">
    <vt:lpwstr>9B455A3ABBAE49348F191ED726884898_12</vt:lpwstr>
  </property>
</Properties>
</file>