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02E439">
      <w:pPr>
        <w:pStyle w:val="2"/>
        <w:pBdr>
          <w:bottom w:val="single" w:color="D1D5DB" w:sz="4" w:space="4"/>
        </w:pBdr>
        <w:spacing w:before="320" w:after="120"/>
        <w:rPr>
          <w:color w:val="auto"/>
        </w:rPr>
      </w:pPr>
      <w:bookmarkStart w:id="0" w:name="_GoBack"/>
      <w:bookmarkEnd w:id="0"/>
      <w:r>
        <w:rPr>
          <w:rFonts w:ascii="Arial" w:hAnsi="Arial" w:eastAsia="Arial" w:cs="Arial"/>
          <w:b/>
          <w:bCs/>
          <w:color w:val="auto"/>
          <w:sz w:val="28"/>
          <w:szCs w:val="28"/>
        </w:rPr>
        <w:t>Week 4 – Data Exploration</w:t>
      </w:r>
    </w:p>
    <w:p w14:paraId="26C4DC43">
      <w:pPr>
        <w:spacing w:before="80" w:after="8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Loads the OULAD dataset and takes a first look at the data. The main job here is creating the pass/fail label:</w:t>
      </w:r>
    </w:p>
    <w:p w14:paraId="44A08404">
      <w:pPr>
        <w:pStyle w:val="16"/>
        <w:numPr>
          <w:ilvl w:val="0"/>
          <w:numId w:val="1"/>
        </w:numPr>
        <w:spacing w:before="40" w:after="4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Students who Passed or got a Distinction are labelled 1 (pass)</w:t>
      </w:r>
    </w:p>
    <w:p w14:paraId="5E03D7AF">
      <w:pPr>
        <w:pStyle w:val="16"/>
        <w:numPr>
          <w:ilvl w:val="0"/>
          <w:numId w:val="1"/>
        </w:numPr>
        <w:spacing w:before="40" w:after="4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Students who Failed or Withdrew are labelled 0 (fail)</w:t>
      </w:r>
    </w:p>
    <w:p w14:paraId="3F5BF7C9">
      <w:pPr>
        <w:spacing w:before="40" w:after="40"/>
        <w:rPr>
          <w:color w:val="auto"/>
        </w:rPr>
      </w:pPr>
    </w:p>
    <w:p w14:paraId="457C54C8">
      <w:pPr>
        <w:spacing w:before="80" w:after="8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Also produces exploration_plots.png showing the overall result distribution and a breakdown by gender. The cleaned data is saved as student_info_with_target.csv for use in Week 5.</w:t>
      </w:r>
    </w:p>
    <w:p w14:paraId="2D75027A">
      <w:pPr>
        <w:spacing w:before="40" w:after="40"/>
        <w:rPr>
          <w:color w:val="auto"/>
        </w:rPr>
      </w:pPr>
    </w:p>
    <w:p w14:paraId="05B22382">
      <w:pPr>
        <w:pStyle w:val="2"/>
        <w:pBdr>
          <w:bottom w:val="single" w:color="D1D5DB" w:sz="4" w:space="4"/>
        </w:pBdr>
        <w:spacing w:before="320" w:after="12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8"/>
          <w:szCs w:val="28"/>
        </w:rPr>
        <w:t>Week 5 – Feature Engineering</w:t>
      </w:r>
    </w:p>
    <w:p w14:paraId="74EC981D">
      <w:pPr>
        <w:spacing w:before="80" w:after="8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Takes the cleaned data from Week 4 and builds the features the models will learn from. There are two groups:</w:t>
      </w:r>
    </w:p>
    <w:p w14:paraId="682465FC">
      <w:pPr>
        <w:spacing w:before="40" w:after="40"/>
        <w:rPr>
          <w:color w:val="auto"/>
        </w:rPr>
      </w:pPr>
    </w:p>
    <w:p w14:paraId="4671427C">
      <w:pPr>
        <w:pStyle w:val="3"/>
        <w:spacing w:before="240" w:after="8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4"/>
          <w:szCs w:val="24"/>
        </w:rPr>
        <w:t>Demographic features (8 features)</w:t>
      </w:r>
    </w:p>
    <w:p w14:paraId="3DF0AAD4">
      <w:pPr>
        <w:pStyle w:val="16"/>
        <w:numPr>
          <w:ilvl w:val="0"/>
          <w:numId w:val="1"/>
        </w:numPr>
        <w:spacing w:before="40" w:after="4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Gender, age band, highest education level</w:t>
      </w:r>
    </w:p>
    <w:p w14:paraId="0D9EBDD8">
      <w:pPr>
        <w:pStyle w:val="16"/>
        <w:numPr>
          <w:ilvl w:val="0"/>
          <w:numId w:val="1"/>
        </w:numPr>
        <w:spacing w:before="40" w:after="4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Index of Multiple Deprivation (IMD) – a measure of socioeconomic background</w:t>
      </w:r>
    </w:p>
    <w:p w14:paraId="719B0B1C">
      <w:pPr>
        <w:pStyle w:val="16"/>
        <w:numPr>
          <w:ilvl w:val="0"/>
          <w:numId w:val="1"/>
        </w:numPr>
        <w:spacing w:before="40" w:after="4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Disability status, region, number of previous course attempts, credits studied</w:t>
      </w:r>
    </w:p>
    <w:p w14:paraId="1A6B7023">
      <w:pPr>
        <w:spacing w:before="40" w:after="40"/>
        <w:rPr>
          <w:color w:val="auto"/>
        </w:rPr>
      </w:pPr>
    </w:p>
    <w:p w14:paraId="6DA82E4E">
      <w:pPr>
        <w:pStyle w:val="3"/>
        <w:spacing w:before="240" w:after="8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4"/>
          <w:szCs w:val="24"/>
        </w:rPr>
        <w:t>Engagement features (7 features)</w:t>
      </w:r>
    </w:p>
    <w:p w14:paraId="1ABFB9CB">
      <w:pPr>
        <w:pStyle w:val="16"/>
        <w:numPr>
          <w:ilvl w:val="0"/>
          <w:numId w:val="1"/>
        </w:numPr>
        <w:spacing w:before="40" w:after="4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Total clicks on course materials</w:t>
      </w:r>
    </w:p>
    <w:p w14:paraId="2A6DE40D">
      <w:pPr>
        <w:pStyle w:val="16"/>
        <w:numPr>
          <w:ilvl w:val="0"/>
          <w:numId w:val="1"/>
        </w:numPr>
        <w:spacing w:before="40" w:after="4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Average clicks per day, maximum clicks in a single day</w:t>
      </w:r>
    </w:p>
    <w:p w14:paraId="1B323694">
      <w:pPr>
        <w:pStyle w:val="16"/>
        <w:numPr>
          <w:ilvl w:val="0"/>
          <w:numId w:val="1"/>
        </w:numPr>
        <w:spacing w:before="40" w:after="4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Number of active days, activity span (first to last click)</w:t>
      </w:r>
    </w:p>
    <w:p w14:paraId="42EFF239">
      <w:pPr>
        <w:pStyle w:val="16"/>
        <w:numPr>
          <w:ilvl w:val="0"/>
          <w:numId w:val="1"/>
        </w:numPr>
        <w:spacing w:before="40" w:after="4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Consistency of engagement (how regularly they logged in)</w:t>
      </w:r>
    </w:p>
    <w:p w14:paraId="3A80F899">
      <w:pPr>
        <w:pStyle w:val="16"/>
        <w:numPr>
          <w:ilvl w:val="0"/>
          <w:numId w:val="1"/>
        </w:numPr>
        <w:spacing w:before="40" w:after="4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Clicks in the first 4 weeks – an early warning signal based on Gray &amp; Perkins (2019)</w:t>
      </w:r>
    </w:p>
    <w:p w14:paraId="0C9897BF">
      <w:pPr>
        <w:spacing w:before="40" w:after="40"/>
        <w:rPr>
          <w:color w:val="auto"/>
        </w:rPr>
      </w:pPr>
    </w:p>
    <w:p w14:paraId="1D223BA2">
      <w:pPr>
        <w:spacing w:before="80" w:after="8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These are saved as three separate CSV files: demographic only, engagement only, and both combined — ready for modelling in Week 6.</w:t>
      </w:r>
    </w:p>
    <w:p w14:paraId="3CE2F603">
      <w:pPr>
        <w:spacing w:before="40" w:after="40"/>
        <w:rPr>
          <w:color w:val="auto"/>
        </w:rPr>
      </w:pPr>
    </w:p>
    <w:p w14:paraId="0BA54A37">
      <w:pPr>
        <w:pStyle w:val="2"/>
        <w:pBdr>
          <w:bottom w:val="single" w:color="D1D5DB" w:sz="4" w:space="4"/>
        </w:pBdr>
        <w:spacing w:before="320" w:after="12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8"/>
          <w:szCs w:val="28"/>
        </w:rPr>
        <w:t>Week 6 – Modelling</w:t>
      </w:r>
    </w:p>
    <w:p w14:paraId="6273F130">
      <w:pPr>
        <w:spacing w:before="80" w:after="8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This is the core experiment. It runs 9 combinations — 3 models x 3 feature sets — and evaluates each using 5-fold cross-validation.</w:t>
      </w:r>
    </w:p>
    <w:p w14:paraId="09883716">
      <w:pPr>
        <w:spacing w:before="40" w:after="40"/>
        <w:rPr>
          <w:color w:val="auto"/>
        </w:rPr>
      </w:pPr>
    </w:p>
    <w:p w14:paraId="2F395683">
      <w:pPr>
        <w:pStyle w:val="3"/>
        <w:spacing w:before="240" w:after="8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4"/>
          <w:szCs w:val="24"/>
        </w:rPr>
        <w:t>Models</w:t>
      </w:r>
    </w:p>
    <w:p w14:paraId="46C851F1">
      <w:pPr>
        <w:pStyle w:val="16"/>
        <w:numPr>
          <w:ilvl w:val="0"/>
          <w:numId w:val="1"/>
        </w:numPr>
        <w:spacing w:before="40" w:after="4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Logistic Regression – simple, fast baseline</w:t>
      </w:r>
    </w:p>
    <w:p w14:paraId="49C876A1">
      <w:pPr>
        <w:pStyle w:val="16"/>
        <w:numPr>
          <w:ilvl w:val="0"/>
          <w:numId w:val="1"/>
        </w:numPr>
        <w:spacing w:before="40" w:after="4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Decision Tree – interpretable model</w:t>
      </w:r>
    </w:p>
    <w:p w14:paraId="0EE29D66">
      <w:pPr>
        <w:pStyle w:val="16"/>
        <w:numPr>
          <w:ilvl w:val="0"/>
          <w:numId w:val="1"/>
        </w:numPr>
        <w:spacing w:before="40" w:after="4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Random Forest – more powerful, also gives feature importance scores</w:t>
      </w:r>
    </w:p>
    <w:p w14:paraId="5BC2409E">
      <w:pPr>
        <w:spacing w:before="40" w:after="40"/>
        <w:rPr>
          <w:color w:val="auto"/>
        </w:rPr>
      </w:pPr>
    </w:p>
    <w:p w14:paraId="22AC6E5B">
      <w:pPr>
        <w:pStyle w:val="3"/>
        <w:spacing w:before="240" w:after="8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4"/>
          <w:szCs w:val="24"/>
        </w:rPr>
        <w:t>Feature sets</w:t>
      </w:r>
    </w:p>
    <w:p w14:paraId="6221BF54">
      <w:pPr>
        <w:pStyle w:val="16"/>
        <w:numPr>
          <w:ilvl w:val="0"/>
          <w:numId w:val="1"/>
        </w:numPr>
        <w:spacing w:before="40" w:after="4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Demographic only</w:t>
      </w:r>
    </w:p>
    <w:p w14:paraId="32A53085">
      <w:pPr>
        <w:pStyle w:val="16"/>
        <w:numPr>
          <w:ilvl w:val="0"/>
          <w:numId w:val="1"/>
        </w:numPr>
        <w:spacing w:before="40" w:after="4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Engagement only</w:t>
      </w:r>
    </w:p>
    <w:p w14:paraId="0241041D">
      <w:pPr>
        <w:pStyle w:val="16"/>
        <w:numPr>
          <w:ilvl w:val="0"/>
          <w:numId w:val="1"/>
        </w:numPr>
        <w:spacing w:before="40" w:after="4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Combined (both together)</w:t>
      </w:r>
    </w:p>
    <w:p w14:paraId="572E2010">
      <w:pPr>
        <w:spacing w:before="40" w:after="40"/>
        <w:rPr>
          <w:color w:val="auto"/>
        </w:rPr>
      </w:pPr>
    </w:p>
    <w:p w14:paraId="0466956F">
      <w:pPr>
        <w:pStyle w:val="3"/>
        <w:spacing w:before="240" w:after="8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4"/>
          <w:szCs w:val="24"/>
        </w:rPr>
        <w:t>Key results</w:t>
      </w:r>
    </w:p>
    <w:p w14:paraId="75C217F2">
      <w:pPr>
        <w:pStyle w:val="16"/>
        <w:numPr>
          <w:ilvl w:val="0"/>
          <w:numId w:val="1"/>
        </w:numPr>
        <w:spacing w:before="40" w:after="4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Demographic only: F1 ≈ 0.56 (barely better than random guessing)</w:t>
      </w:r>
    </w:p>
    <w:p w14:paraId="086E13A1">
      <w:pPr>
        <w:pStyle w:val="16"/>
        <w:numPr>
          <w:ilvl w:val="0"/>
          <w:numId w:val="1"/>
        </w:numPr>
        <w:spacing w:before="40" w:after="4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Engagement only: F1 ≈ 0.91</w:t>
      </w:r>
    </w:p>
    <w:p w14:paraId="04D25EC3">
      <w:pPr>
        <w:pStyle w:val="16"/>
        <w:numPr>
          <w:ilvl w:val="0"/>
          <w:numId w:val="1"/>
        </w:numPr>
        <w:spacing w:before="40" w:after="4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Combined: F1 ≈ 0.91 (almost no improvement over engagement alone)</w:t>
      </w:r>
    </w:p>
    <w:p w14:paraId="7AEB5C42">
      <w:pPr>
        <w:spacing w:before="40" w:after="40"/>
        <w:rPr>
          <w:color w:val="auto"/>
        </w:rPr>
      </w:pPr>
    </w:p>
    <w:p w14:paraId="6F29D84B">
      <w:pPr>
        <w:spacing w:before="80" w:after="8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This directly answers the research question: engagement data is far more predictive than demographic data, and adding demographics on top does not meaningfully help the model.</w:t>
      </w:r>
    </w:p>
    <w:p w14:paraId="21AB390B">
      <w:pPr>
        <w:spacing w:before="40" w:after="40"/>
        <w:rPr>
          <w:color w:val="auto"/>
        </w:rPr>
      </w:pPr>
    </w:p>
    <w:p w14:paraId="20738E9A">
      <w:pPr>
        <w:pStyle w:val="3"/>
        <w:spacing w:before="240" w:after="8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4"/>
          <w:szCs w:val="24"/>
        </w:rPr>
        <w:t>Fairness check</w:t>
      </w:r>
    </w:p>
    <w:p w14:paraId="3880E25B">
      <w:pPr>
        <w:spacing w:before="80" w:after="8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 xml:space="preserve">The script also checks whether the model performs differently for students from more deprived backgrounds (using the IMD band). Students in band 0 (most deprived) had F1 = 0.86, compared to 0.95 for band 10 (least deprived) — a gap </w:t>
      </w:r>
      <w:r>
        <w:rPr>
          <w:rFonts w:hint="eastAsia" w:eastAsia="宋体" w:cs="Arial"/>
          <w:color w:val="auto"/>
          <w:sz w:val="22"/>
          <w:szCs w:val="22"/>
          <w:lang w:val="en-US" w:eastAsia="zh-CN"/>
        </w:rPr>
        <w:t>need</w:t>
      </w:r>
      <w:r>
        <w:rPr>
          <w:rFonts w:ascii="Arial" w:hAnsi="Arial" w:eastAsia="Arial" w:cs="Arial"/>
          <w:color w:val="auto"/>
          <w:sz w:val="22"/>
          <w:szCs w:val="22"/>
        </w:rPr>
        <w:t xml:space="preserve"> discussing in the write-up.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5045E34"/>
    <w:rsid w:val="24E9765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20" w:after="120"/>
      <w:outlineLvl w:val="0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3">
    <w:name w:val="heading 2"/>
    <w:next w:val="1"/>
    <w:qFormat/>
    <w:uiPriority w:val="0"/>
    <w:pPr>
      <w:spacing w:before="240" w:after="80"/>
      <w:outlineLvl w:val="1"/>
    </w:pPr>
    <w:rPr>
      <w:rFonts w:ascii="Arial" w:hAnsi="Arial" w:eastAsia="Arial" w:cs="Arial"/>
      <w:b/>
      <w:bCs/>
      <w:color w:val="1F2937"/>
      <w:sz w:val="24"/>
      <w:szCs w:val="24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483</Words>
  <Characters>2637</Characters>
  <TotalTime>0</TotalTime>
  <ScaleCrop>false</ScaleCrop>
  <LinksUpToDate>false</LinksUpToDate>
  <CharactersWithSpaces>3070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2026-06-11T17:14:00Z</dcterms:created>
  <dc:creator>Un-named</dc:creator>
  <cp:lastModifiedBy>Michael</cp:lastModifiedBy>
  <dcterms:modified xsi:type="dcterms:W3CDTF">2026-06-11T17:16:16Z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eyJoZGlkIjoiOWViNjk1YzA1YTM2ZDE3MjZmYjczNmM5ZjQ2MzMxNTIiLCJ1c2VySWQiOiI5NzE4NTY0OTUifQ==</vt:lpwstr>
  </property>
  <property fmtid="{D5CDD505-2E9C-101B-9397-08002B2CF9AE}" pid="3" name="KSOProductBuildVer">
    <vt:lpwstr>2052-12.1.0.26895</vt:lpwstr>
  </property>
  <property fmtid="{D5CDD505-2E9C-101B-9397-08002B2CF9AE}" pid="4" name="ICV">
    <vt:lpwstr>931986AA1BA3412C9B4FB56B1AA918AC_12</vt:lpwstr>
  </property>
</Properties>
</file>