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p>
      <w:pPr>
        <w:pStyle w:val="Author"/>
      </w:pPr>
      <w:r>
        <w:t xml:space="preserve"> </w:t>
      </w:r>
    </w:p>
    <w:p>
      <w:pPr>
        <w:pStyle w:val="Author"/>
      </w:pPr>
      <w:r>
        <w:t xml:space="preserve">Zhehao Hu</w:t>
      </w:r>
      <w:r>
        <w:rPr>
          <w:vertAlign w:val="superscript"/>
        </w:rPr>
        <w:t xml:space="preserve">1</w:t>
      </w:r>
      <w:r>
        <w:t xml:space="preserve"> and Jenny Neuhaus</w:t>
      </w:r>
      <w:r>
        <w:rPr>
          <w:vertAlign w:val="superscript"/>
        </w:rPr>
        <w:t xml:space="preserve">2</w:t>
      </w:r>
    </w:p>
    <w:p>
      <w:pPr>
        <w:pStyle w:val="Author"/>
      </w:pPr>
      <w:r>
        <w:rPr>
          <w:vertAlign w:val="superscript"/>
        </w:rPr>
        <w:t xml:space="preserve">1</w:t>
      </w:r>
      <w:r>
        <w:t xml:space="preserve">Department of Biology, University of Hamburg</w:t>
      </w:r>
    </w:p>
    <w:p>
      <w:pPr>
        <w:pStyle w:val="Author"/>
      </w:pPr>
      <w:r>
        <w:rPr>
          <w:vertAlign w:val="superscript"/>
        </w:rPr>
        <w:t xml:space="preserve">2</w:t>
      </w:r>
      <w:r>
        <w:t xml:space="preserve">German Centre for Marine Biodiversity Research, Senckenberg am Meer</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Jenny Neuhaus</w:t>
      </w:r>
      <w:r>
        <w:t xml:space="preserve"> </w:t>
      </w:r>
      <w:bookmarkStart w:id="21" w:name="orchid"/>
      <w:r>
        <w:t xml:space="preserve">Orcid ID Logo: A green circle with white letters ID</w:t>
      </w:r>
      <w:bookmarkEnd w:id="21"/>
      <w:r>
        <w:t xml:space="preserve"> </w:t>
      </w:r>
      <w:r>
        <w:t xml:space="preserve">http://orcid.org/0009-0000-7570-4094</w:t>
      </w:r>
    </w:p>
    <w:p>
      <w:pPr>
        <w:pStyle w:val="BodyText"/>
      </w:pPr>
      <w:r>
        <w:t xml:space="preserve">Correspondence concerning this article should be addressed to Zhehao Hu, Department of Biology, University of Hamburg, Martin-Luther-King Platz 3, Hamburg D-20146, Email: hu_zhehao@hotmail.com</w:t>
      </w:r>
    </w:p>
    <w:p>
      <w:pPr>
        <w:pStyle w:val="BodyText"/>
      </w:pPr>
      <w:r>
        <w:rPr>
          <w:i/>
          <w:iCs/>
        </w:rPr>
        <w:t xml:space="preserve">Keywords</w:t>
      </w:r>
      <w:r>
        <w:t xml:space="preserve">: Integrative taxonomy, Isopoda, Deep-sea, Biogeography</w:t>
      </w:r>
    </w:p>
    <w:p>
      <w:r>
        <w:br w:type="page"/>
      </w:r>
    </w:p>
    <w:bookmarkEnd w:id="22"/>
    <w:bookmarkStart w:id="40" w:name="firstheader"/>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bookmarkStart w:id="26" w:name="about-the-manuscript"/>
    <w:p>
      <w:pPr>
        <w:pStyle w:val="Heading2"/>
      </w:pPr>
      <w:r>
        <w:t xml:space="preserve">About the manuscript</w:t>
      </w:r>
    </w:p>
    <w:p>
      <w:pPr>
        <w:pStyle w:val="FirstParagraph"/>
      </w:pPr>
      <w:r>
        <w:t xml:space="preserve">Latest edition is online at</w:t>
      </w:r>
      <w:r>
        <w:t xml:space="preserve"> </w:t>
      </w:r>
      <w:hyperlink r:id="rId23">
        <w:r>
          <w:rPr>
            <w:rStyle w:val="Hyperlink"/>
          </w:rPr>
          <w:t xml:space="preserve">https://zzzhehao.github.io/ACTCP/</w:t>
        </w:r>
      </w:hyperlink>
    </w:p>
    <w:p>
      <w:pPr>
        <w:pStyle w:val="BodyText"/>
      </w:pPr>
      <w:r>
        <w:t xml:space="preserve">Password required:</w:t>
      </w:r>
      <w:r>
        <w:t xml:space="preserve"> </w:t>
      </w:r>
      <w:r>
        <w:rPr>
          <w:rStyle w:val="VerbatimChar"/>
        </w:rPr>
        <w:t xml:space="preserve">ACTCPFELIS</w:t>
      </w:r>
    </w:p>
    <w:p>
      <w:pPr>
        <w:pStyle w:val="BodyText"/>
      </w:pPr>
      <w:r>
        <w:rPr>
          <w:b/>
          <w:bCs/>
        </w:rPr>
        <w:t xml:space="preserve">Download</w:t>
      </w:r>
    </w:p>
    <w:p>
      <w:pPr>
        <w:pStyle w:val="Compact"/>
        <w:numPr>
          <w:ilvl w:val="0"/>
          <w:numId w:val="1001"/>
        </w:numPr>
      </w:pPr>
      <w:r>
        <w:rPr>
          <w:b/>
          <w:bCs/>
        </w:rPr>
        <w:t xml:space="preserve">MS Word</w:t>
      </w:r>
      <w:r>
        <w:t xml:space="preserve"> </w:t>
      </w:r>
      <w:r>
        <w:t xml:space="preserve">(APA 7 style manuscript),</w:t>
      </w:r>
      <w:r>
        <w:t xml:space="preserve"> </w:t>
      </w:r>
      <w:r>
        <w:rPr>
          <w:b/>
          <w:bCs/>
        </w:rPr>
        <w:t xml:space="preserve">PDF</w:t>
      </w:r>
      <w:r>
        <w:t xml:space="preserve"> </w:t>
      </w:r>
      <w:r>
        <w:t xml:space="preserve">(APA 7 style manuscript) and</w:t>
      </w:r>
      <w:r>
        <w:t xml:space="preserve"> </w:t>
      </w:r>
      <w:r>
        <w:rPr>
          <w:b/>
          <w:bCs/>
        </w:rPr>
        <w:t xml:space="preserve">MECA</w:t>
      </w:r>
      <w:r>
        <w:t xml:space="preserve"> </w:t>
      </w:r>
      <w:r>
        <w:t xml:space="preserve">bundle (Computation source code included) are available under</w:t>
      </w:r>
      <w:r>
        <w:t xml:space="preserve"> </w:t>
      </w:r>
      <w:r>
        <w:t xml:space="preserve">“Other Formats”</w:t>
      </w:r>
      <w:r>
        <w:t xml:space="preserve"> </w:t>
      </w:r>
      <w:r>
        <w:t xml:space="preserve">in the header banner</w:t>
      </w:r>
    </w:p>
    <w:p>
      <w:pPr>
        <w:pStyle w:val="FirstParagraph"/>
      </w:pPr>
      <w:r>
        <w:rPr>
          <w:b/>
          <w:bCs/>
        </w:rPr>
        <w:t xml:space="preserve">Commenting</w:t>
      </w:r>
    </w:p>
    <w:p>
      <w:pPr>
        <w:pStyle w:val="Compact"/>
        <w:numPr>
          <w:ilvl w:val="0"/>
          <w:numId w:val="1002"/>
        </w:numPr>
      </w:pPr>
      <w:r>
        <w:t xml:space="preserve">Register</w:t>
      </w:r>
      <w:r>
        <w:t xml:space="preserve"> </w:t>
      </w:r>
      <w:hyperlink r:id="rId24">
        <w:r>
          <w:rPr>
            <w:rStyle w:val="Hyperlink"/>
          </w:rPr>
          <w:t xml:space="preserve">here (Hypothes.is)</w:t>
        </w:r>
      </w:hyperlink>
    </w:p>
    <w:p>
      <w:pPr>
        <w:pStyle w:val="Compact"/>
        <w:numPr>
          <w:ilvl w:val="0"/>
          <w:numId w:val="1002"/>
        </w:numPr>
      </w:pPr>
      <w:r>
        <w:t xml:space="preserve">Use annotation to add comments, make sure to change group to ACTCP (private).</w:t>
      </w:r>
    </w:p>
    <w:p>
      <w:pPr>
        <w:pStyle w:val="Compact"/>
        <w:numPr>
          <w:ilvl w:val="0"/>
          <w:numId w:val="1002"/>
        </w:numPr>
      </w:pPr>
      <w:r>
        <w:t xml:space="preserve">Or send comments, suggestion, edited MS Word file to</w:t>
      </w:r>
      <w:r>
        <w:t xml:space="preserve"> </w:t>
      </w:r>
      <w:hyperlink r:id="rId25">
        <w:r>
          <w:rPr>
            <w:rStyle w:val="Hyperlink"/>
          </w:rPr>
          <w:t xml:space="preserve">hu_zhehao@hotmail.com</w:t>
        </w:r>
      </w:hyperlink>
    </w:p>
    <w:bookmarkEnd w:id="26"/>
    <w:bookmarkStart w:id="35" w:name="whiteboard"/>
    <w:p>
      <w:pPr>
        <w:pStyle w:val="Heading2"/>
      </w:pPr>
      <w:r>
        <w:t xml:space="preserve">Whiteboard</w:t>
      </w:r>
    </w:p>
    <w:bookmarkStart w:id="30" w:name="s-and-tcs-abstract"/>
    <w:p>
      <w:pPr>
        <w:pStyle w:val="Heading3"/>
      </w:pPr>
      <w:r>
        <w:t xml:space="preserve">03-07 | 18S and TCS Abstract</w:t>
      </w:r>
    </w:p>
    <w:p>
      <w:pPr>
        <w:pStyle w:val="Compact"/>
        <w:numPr>
          <w:ilvl w:val="0"/>
          <w:numId w:val="1003"/>
        </w:numPr>
      </w:pPr>
      <w:r>
        <w:t xml:space="preserve">A quick preview to the 18S phylogeny:</w:t>
      </w:r>
      <w:r>
        <w:t xml:space="preserve"> </w:t>
      </w:r>
      <w:hyperlink r:id="rId27">
        <w:r>
          <w:rPr>
            <w:rStyle w:val="Hyperlink"/>
          </w:rPr>
          <w:t xml:space="preserve">genetic result</w:t>
        </w:r>
      </w:hyperlink>
    </w:p>
    <w:p>
      <w:pPr>
        <w:pStyle w:val="Compact"/>
        <w:numPr>
          <w:ilvl w:val="0"/>
          <w:numId w:val="1003"/>
        </w:numPr>
      </w:pPr>
      <w:r>
        <w:t xml:space="preserve">Abstract for TCS Meeting Paris:</w:t>
      </w:r>
      <w:r>
        <w:t xml:space="preserve"> </w:t>
      </w:r>
      <w:hyperlink r:id="rId28">
        <w:r>
          <w:rPr>
            <w:rStyle w:val="Hyperlink"/>
          </w:rPr>
          <w:t xml:space="preserve">TCS Abstract</w:t>
        </w:r>
      </w:hyperlink>
    </w:p>
    <w:p>
      <w:pPr>
        <w:pStyle w:val="Compact"/>
        <w:numPr>
          <w:ilvl w:val="0"/>
          <w:numId w:val="1003"/>
        </w:numPr>
      </w:pPr>
      <w:r>
        <w:t xml:space="preserve">All drawing scans are</w:t>
      </w:r>
      <w:r>
        <w:t xml:space="preserve"> </w:t>
      </w:r>
      <w:hyperlink r:id="rId29">
        <w:r>
          <w:rPr>
            <w:rStyle w:val="Hyperlink"/>
          </w:rPr>
          <w:t xml:space="preserve">here</w:t>
        </w:r>
      </w:hyperlink>
    </w:p>
    <w:bookmarkEnd w:id="30"/>
    <w:bookmarkStart w:id="34" w:name="loan-request-zmh-pending"/>
    <w:p>
      <w:pPr>
        <w:pStyle w:val="Heading3"/>
      </w:pPr>
      <w:r>
        <w:t xml:space="preserve">02-28 | Loan request ZMH (Pending)</w:t>
      </w:r>
    </w:p>
    <w:p>
      <w:pPr>
        <w:pStyle w:val="Compact"/>
        <w:numPr>
          <w:ilvl w:val="0"/>
          <w:numId w:val="1004"/>
        </w:numPr>
      </w:pPr>
      <w:r>
        <w:rPr>
          <w:b/>
          <w:bCs/>
        </w:rPr>
        <w:t xml:space="preserve">Type materials</w:t>
      </w:r>
    </w:p>
    <w:p>
      <w:pPr>
        <w:pStyle w:val="Compact"/>
        <w:numPr>
          <w:ilvl w:val="0"/>
          <w:numId w:val="1005"/>
        </w:numPr>
      </w:pPr>
      <w:r>
        <w:rPr>
          <w:i/>
          <w:iCs/>
        </w:rPr>
        <w:t xml:space="preserve">A. puertoricana</w:t>
      </w:r>
      <w:r>
        <w:t xml:space="preserve">: ZMH K–46195 (Holotype), ZMH K–46196, ZMH K–46198 (Puerto Rico Trench)</w:t>
      </w:r>
    </w:p>
    <w:p>
      <w:pPr>
        <w:pStyle w:val="Compact"/>
        <w:numPr>
          <w:ilvl w:val="0"/>
          <w:numId w:val="1005"/>
        </w:numPr>
      </w:pPr>
      <w:r>
        <w:rPr>
          <w:i/>
          <w:iCs/>
        </w:rPr>
        <w:t xml:space="preserve">A. eleganta</w:t>
      </w:r>
      <w:r>
        <w:t xml:space="preserve">: ZMH K–40716 (Holotype), ZMH K–40717, ZMH K–40718. (Weddell Sea)</w:t>
      </w:r>
    </w:p>
    <w:p>
      <w:pPr>
        <w:pStyle w:val="Compact"/>
        <w:numPr>
          <w:ilvl w:val="0"/>
          <w:numId w:val="1006"/>
        </w:numPr>
      </w:pPr>
      <w:r>
        <w:rPr>
          <w:b/>
          <w:bCs/>
        </w:rPr>
        <w:t xml:space="preserve">ZMH K–46200</w:t>
      </w:r>
      <w:r>
        <w:t xml:space="preserve">:</w:t>
      </w:r>
      <w:r>
        <w:t xml:space="preserve"> </w:t>
      </w:r>
      <w:r>
        <w:rPr>
          <w:i/>
          <w:iCs/>
        </w:rPr>
        <w:t xml:space="preserve">A. eleganta</w:t>
      </w:r>
    </w:p>
    <w:p>
      <w:pPr>
        <w:pStyle w:val="FirstParagraph"/>
      </w:pPr>
      <w:r>
        <w:rPr>
          <w:i/>
          <w:iCs/>
        </w:rPr>
        <w:t xml:space="preserve">A. eleganta</w:t>
      </w:r>
      <w:r>
        <w:t xml:space="preserve"> </w:t>
      </w:r>
      <w:r>
        <w:t xml:space="preserve">morphologically identified by</w:t>
      </w:r>
      <w:r>
        <w:t xml:space="preserve"> </w:t>
      </w:r>
      <w:r>
        <w:t xml:space="preserve">Malyutina et al. (</w:t>
      </w:r>
      <w:hyperlink w:anchor="ref-malyutina2018">
        <w:r>
          <w:rPr>
            <w:rStyle w:val="Hyperlink"/>
          </w:rPr>
          <w:t xml:space="preserve">2018</w:t>
        </w:r>
      </w:hyperlink>
      <w:r>
        <w:t xml:space="preserve">)</w:t>
      </w:r>
      <w:r>
        <w:t xml:space="preserve">, found at the same station as</w:t>
      </w:r>
      <w:r>
        <w:t xml:space="preserve"> </w:t>
      </w:r>
      <w:r>
        <w:rPr>
          <w:i/>
          <w:iCs/>
        </w:rPr>
        <w:t xml:space="preserve">A. puertoricana</w:t>
      </w:r>
      <w:r>
        <w:t xml:space="preserve"> </w:t>
      </w:r>
      <w:r>
        <w:t xml:space="preserve">(Puerto Rico Trench). A big support that</w:t>
      </w:r>
      <w:r>
        <w:t xml:space="preserve"> </w:t>
      </w:r>
      <w:r>
        <w:rPr>
          <w:i/>
          <w:iCs/>
        </w:rPr>
        <w:t xml:space="preserve">A. eleganta</w:t>
      </w:r>
      <w:r>
        <w:t xml:space="preserve"> </w:t>
      </w:r>
      <w:r>
        <w:t xml:space="preserve">and</w:t>
      </w:r>
      <w:r>
        <w:t xml:space="preserve"> </w:t>
      </w:r>
      <w:r>
        <w:rPr>
          <w:i/>
          <w:iCs/>
        </w:rPr>
        <w:t xml:space="preserve">A. puertoricana</w:t>
      </w:r>
      <w:r>
        <w:t xml:space="preserve"> </w:t>
      </w:r>
      <w:r>
        <w:t xml:space="preserve">are the same species if we can pull genetics and proteomics from them.</w:t>
      </w:r>
    </w:p>
    <w:p>
      <w:pPr>
        <w:pStyle w:val="Compact"/>
        <w:numPr>
          <w:ilvl w:val="0"/>
          <w:numId w:val="1007"/>
        </w:numPr>
      </w:pPr>
      <w:r>
        <w:rPr>
          <w:b/>
          <w:bCs/>
        </w:rPr>
        <w:t xml:space="preserve">ZMH K–46199</w:t>
      </w:r>
      <w:r>
        <w:t xml:space="preserve">:</w:t>
      </w:r>
      <w:r>
        <w:t xml:space="preserve"> </w:t>
      </w:r>
      <w:r>
        <w:rPr>
          <w:i/>
          <w:iCs/>
        </w:rPr>
        <w:t xml:space="preserve">A. annulatus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Malyutina et al. (</w:t>
            </w:r>
            <w:hyperlink w:anchor="ref-malyutina2018">
              <w:r>
                <w:rPr>
                  <w:rStyle w:val="Hyperlink"/>
                </w:rPr>
                <w:t xml:space="preserve">2018</w:t>
              </w:r>
            </w:hyperlink>
            <w:r>
              <w:t xml:space="preserve">)</w:t>
            </w:r>
            <w:r>
              <w:t xml:space="preserve">:</w:t>
            </w:r>
          </w:p>
          <w:p>
            <w:pPr>
              <w:pStyle w:val="BodyText"/>
            </w:pPr>
            <w:r>
              <w:t xml:space="preserve">Acanthocope annulatus Menzies, 1962 (Fig. 16)</w:t>
            </w:r>
          </w:p>
          <w:p>
            <w:pPr>
              <w:pStyle w:val="BodyText"/>
            </w:pPr>
            <w:r>
              <w:t xml:space="preserve">Acanthocope annulatus (Menzies, 1962: 155, Fig. 44 B, C; Malyutina and Brandt, 2004: 11, Figs. 6–10. Material examined: 1 male (5.9 mm TL), ZMH K–46199, Puerto Rico Trench abyssal area, RV Sonne, Vema-TRANSIT cruise, 25 January 2015, C-EBS, station 14-1, 19°1.63′N 67°9.73′W, 4552‒4552 m depth, supranet, bottom temperature: 2.25 °C, bottom O2: 261.13 μM, bottom current: 5.25 cm/s.</w:t>
            </w:r>
          </w:p>
          <w:p>
            <w:pPr>
              <w:pStyle w:val="BodyText"/>
            </w:pPr>
            <w:pPr>
              <w:spacing w:after="16"/>
            </w:pPr>
            <w:r>
              <w:t xml:space="preserve">Remarks: The only specimen of the species, found at the same station as A. puertoricana sp. nov., was identified as it has all described characters of the Acanthocope annulatus Menzies, 1962. This new record is located at more than 10000 km far away from the type locality in the southeastern Atlantic (SW of Cape Town). Future sampling in the Atlantic and genetic investigations might shed some light on the true distribution of this species.</w:t>
            </w:r>
          </w:p>
        </w:tc>
      </w:tr>
    </w:tbl>
    <w:bookmarkEnd w:id="34"/>
    <w:bookmarkEnd w:id="35"/>
    <w:bookmarkStart w:id="39" w:name="abstract"/>
    <w:p>
      <w:pPr>
        <w:pStyle w:val="Heading2"/>
      </w:pPr>
      <w:r>
        <w:t xml:space="preserve">Abstract</w:t>
      </w:r>
    </w:p>
    <w:p>
      <w:pPr>
        <w:pStyle w:val="FirstParagraph"/>
      </w:pPr>
      <w:r>
        <w:t xml:space="preserve">Science still struggles with reliable taxonomy that forms the foundation for many subsequent studies on marine ecosystems. A case study with integrative approach reports first phylogenetic understanding of the genus</w:t>
      </w:r>
      <w:r>
        <w:t xml:space="preserve"> </w:t>
      </w:r>
      <w:r>
        <w:rPr>
          <w:i/>
          <w:iCs/>
        </w:rPr>
        <w:t xml:space="preserve">Acanthocope</w:t>
      </w:r>
      <w:r>
        <w:t xml:space="preserve"> </w:t>
      </w:r>
      <w:r>
        <w:t xml:space="preserve">(Isopoda: Munnopsidae) as well as its biogeography in the North Atlantic, in addition with the description of a new species.</w:t>
      </w:r>
    </w:p>
    <w:p>
      <w:pPr>
        <w:pStyle w:val="BodyText"/>
      </w:pPr>
      <w:r>
        <w:t xml:space="preserve">(… more with results: Hybridization of Morphogroup 2? Confirm of monophyly? etc.)</w:t>
      </w:r>
    </w:p>
    <w:p>
      <w:pPr>
        <w:pStyle w:val="BodyText"/>
      </w:pPr>
      <w:r>
        <w:t xml:space="preserve">(… what impact does this have?</w:t>
      </w:r>
      <w:r>
        <w:t xml:space="preserve"> </w:t>
      </w:r>
      <w:r>
        <w:t xml:space="preserve">“Contributing to current understanding of evolution pattern of Munnopsidae”</w:t>
      </w:r>
      <w:r>
        <w:t xml:space="preserve">??)</w:t>
      </w:r>
    </w:p>
    <w:bookmarkStart w:id="38" w:name="refs"/>
    <w:bookmarkStart w:id="37" w:name="ref-malyutina2018"/>
    <w:p>
      <w:pPr>
        <w:pStyle w:val="Bibliography"/>
      </w:pPr>
      <w:r>
        <w:t xml:space="preserve">Malyutina, M. V., Frutos, I., &amp; Brandt, A. (2018). Diversity and distribution of the deep-sea</w:t>
      </w:r>
      <w:r>
        <w:t xml:space="preserve"> </w:t>
      </w:r>
      <w:r>
        <w:t xml:space="preserve">Atlantic Acanthocope</w:t>
      </w:r>
      <w:r>
        <w:t xml:space="preserve"> </w:t>
      </w:r>
      <w:r>
        <w:t xml:space="preserve">(</w:t>
      </w:r>
      <w:r>
        <w:t xml:space="preserve">Crustacea</w:t>
      </w:r>
      <w:r>
        <w:t xml:space="preserve">,</w:t>
      </w:r>
      <w:r>
        <w:t xml:space="preserve"> </w:t>
      </w:r>
      <w:r>
        <w:t xml:space="preserve">Isopoda</w:t>
      </w:r>
      <w:r>
        <w:t xml:space="preserve">,</w:t>
      </w:r>
      <w:r>
        <w:t xml:space="preserve"> </w:t>
      </w:r>
      <w:r>
        <w:t xml:space="preserve">Munnopsidae</w:t>
      </w:r>
      <w:r>
        <w:t xml:space="preserve">), with description of two new species.</w:t>
      </w:r>
      <w:r>
        <w:t xml:space="preserve"> </w:t>
      </w:r>
      <w:r>
        <w:rPr>
          <w:i/>
          <w:iCs/>
        </w:rPr>
        <w:t xml:space="preserve">Deep Sea Research Part II: Topical Studies in Oceanography</w:t>
      </w:r>
      <w:r>
        <w:t xml:space="preserve">,</w:t>
      </w:r>
      <w:r>
        <w:t xml:space="preserve"> </w:t>
      </w:r>
      <w:r>
        <w:rPr>
          <w:i/>
          <w:iCs/>
        </w:rPr>
        <w:t xml:space="preserve">148</w:t>
      </w:r>
      <w:r>
        <w:t xml:space="preserve">, 130–150.</w:t>
      </w:r>
      <w:r>
        <w:t xml:space="preserve"> </w:t>
      </w:r>
      <w:hyperlink r:id="rId36">
        <w:r>
          <w:rPr>
            <w:rStyle w:val="Hyperlink"/>
          </w:rPr>
          <w:t xml:space="preserve">https://doi.org/10.1016/j.dsr2.2017.11.003</w:t>
        </w:r>
      </w:hyperlink>
    </w:p>
    <w:bookmarkEnd w:id="37"/>
    <w:bookmarkEnd w:id="38"/>
    <w:bookmarkEnd w:id="39"/>
    <w:bookmarkEnd w:id="4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_rels/footnotes.xml.rels><?xml version="1.0" encoding="UTF-8"?><Relationships xmlns="http://schemas.openxmlformats.org/package/2006/relationships"><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ACTCP</dc:description>
  <cp:keywords>Integrative taxonomy, Isopoda, Deep-sea, Biogeography</cp:keywords>
  <dcterms:created xsi:type="dcterms:W3CDTF">2025-03-11T08:13:14Z</dcterms:created>
  <dcterms:modified xsi:type="dcterms:W3CDTF">2025-03-11T08:13:14Z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ffiliationsdifferent">
    <vt:lpwstr>True</vt:lpwstr>
  </property>
  <property fmtid="{D5CDD505-2E9C-101B-9397-08002B2CF9AE}" pid="5" name="apaauthor">
    <vt:lpwstr/>
  </property>
  <property fmtid="{D5CDD505-2E9C-101B-9397-08002B2CF9AE}" pid="6" name="apatitle">
    <vt:lpwstr>Integrative Taxonomy of North Atlantic Acanthocope with description of a new species</vt:lpwstr>
  </property>
  <property fmtid="{D5CDD505-2E9C-101B-9397-08002B2CF9AE}" pid="7" name="apatitledisplay">
    <vt:lpwstr>Integrative Taxonomy of North Atlantic Acanthocope with description of a new species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lear-hidden-classes">
    <vt:lpwstr>none</vt:lpwstr>
  </property>
  <property fmtid="{D5CDD505-2E9C-101B-9397-08002B2CF9AE}" pid="15" name="csl">
    <vt:lpwstr>_extensions/wjschne/apaquarto/apa.csl</vt:lpwstr>
  </property>
  <property fmtid="{D5CDD505-2E9C-101B-9397-08002B2CF9AE}" pid="16" name="date-format">
    <vt:lpwstr>long</vt:lpwstr>
  </property>
  <property fmtid="{D5CDD505-2E9C-101B-9397-08002B2CF9AE}" pid="17" name="documentmode">
    <vt:lpwstr>man</vt:lpwstr>
  </property>
  <property fmtid="{D5CDD505-2E9C-101B-9397-08002B2CF9AE}" pid="18" name="fig-cap-location">
    <vt:lpwstr>top</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ghtbox">
    <vt:lpwstr>auto</vt:lpwstr>
  </property>
  <property fmtid="{D5CDD505-2E9C-101B-9397-08002B2CF9AE}" pid="27" name="link-citations">
    <vt:lpwstr>True</vt:lpwstr>
  </property>
  <property fmtid="{D5CDD505-2E9C-101B-9397-08002B2CF9AE}" pid="28" name="manuscript">
    <vt:lpwstr/>
  </property>
  <property fmtid="{D5CDD505-2E9C-101B-9397-08002B2CF9AE}" pid="29" name="no-ampersand-parenthetical">
    <vt:lpwstr>False</vt:lpwstr>
  </property>
  <property fmtid="{D5CDD505-2E9C-101B-9397-08002B2CF9AE}" pid="30" name="notebook-preview-options">
    <vt:lpwstr/>
  </property>
  <property fmtid="{D5CDD505-2E9C-101B-9397-08002B2CF9AE}" pid="31" name="oneaffiliation">
    <vt:lpwstr>False</vt:lpwstr>
  </property>
  <property fmtid="{D5CDD505-2E9C-101B-9397-08002B2CF9AE}" pid="32" name="oneauthor">
    <vt:lpwstr>False</vt:lpwstr>
  </property>
  <property fmtid="{D5CDD505-2E9C-101B-9397-08002B2CF9AE}" pid="33" name="quarto-internal">
    <vt:lpwstr/>
  </property>
  <property fmtid="{D5CDD505-2E9C-101B-9397-08002B2CF9AE}" pid="34" name="references">
    <vt:lpwstr/>
  </property>
  <property fmtid="{D5CDD505-2E9C-101B-9397-08002B2CF9AE}" pid="35" name="remove-hidden">
    <vt:lpwstr>all</vt:lpwstr>
  </property>
  <property fmtid="{D5CDD505-2E9C-101B-9397-08002B2CF9AE}" pid="36" name="revealjs-plugins">
    <vt:lpwstr/>
  </property>
  <property fmtid="{D5CDD505-2E9C-101B-9397-08002B2CF9AE}" pid="37" name="shorttitle">
    <vt:lpwstr>ACTCP</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emplate-partials">
    <vt:lpwstr/>
  </property>
  <property fmtid="{D5CDD505-2E9C-101B-9397-08002B2CF9AE}" pid="63" name="theme">
    <vt:lpwstr>cosmo</vt:lpwstr>
  </property>
  <property fmtid="{D5CDD505-2E9C-101B-9397-08002B2CF9AE}" pid="64" name="title-block-style">
    <vt:lpwstr>manuscript</vt:lpwstr>
  </property>
  <property fmtid="{D5CDD505-2E9C-101B-9397-08002B2CF9AE}" pid="65" name="toc-title">
    <vt:lpwstr>Table of contents</vt:lpwstr>
  </property>
  <property fmtid="{D5CDD505-2E9C-101B-9397-08002B2CF9AE}" pid="66" name="unroll-markdown-cells">
    <vt:lpwstr>True</vt:lpwstr>
  </property>
  <property fmtid="{D5CDD505-2E9C-101B-9397-08002B2CF9AE}" pid="67" name="zerocitations">
    <vt:lpwstr>False</vt:lpwstr>
  </property>
</Properties>
</file>