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ALPHA CORE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量化研究与决策平台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系统建构蓝图</w:t>
      </w:r>
    </w:p>
    <w:p>
      <w:pPr>
        <w:pBdr>
          <w:bottom w:val="single" w:color="2E75B6" w:sz="6" w:space="1"/>
        </w:pBdr>
        <w:spacing w:after="600"/>
      </w:pP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版本 1.1  |  2026年4月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密级：内部机密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定位：全链路产品化（SaaS-Ready）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bm_200" w:id="10"/>
      <w:r>
        <w:t xml:space="preserve">执行摘要</w:t>
      </w:r>
      <w:bookmarkEnd w:id="10"/>
    </w:p>
    <w:p>
      <w:pPr>
        <w:spacing w:after="100"/>
      </w:pPr>
    </w:p>
    <w:p>
      <w:pPr>
        <w:spacing w:after="120"/>
      </w:pPr>
      <w:r>
        <w:t xml:space="preserve">Alpha Core 是一个全栈量化研究与决策平台，旨在将完整的 Alpha 生命周期——从原始市场数据获取、特征工程、ML 推理、策略构建、风控、模拟执行到审计追溯——统一在一个可产品化的系统中。本文件是工程团队的</w:t>
      </w:r>
      <w:r>
        <w:rPr>
          <w:b/>
          <w:bCs/>
        </w:rPr>
        <w:t xml:space="preserve">「长程任务蓝图」</w:t>
      </w:r>
      <w:r>
        <w:t xml:space="preserve">，定义了全部七个核心模块的精确范围、验收标准和分阶段交付计划。</w:t>
      </w:r>
    </w:p>
    <w:p>
      <w:pPr>
        <w:spacing w:after="120"/>
      </w:pPr>
      <w:r>
        <w:t xml:space="preserve">平台基于三个基本原则架构：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第一性原理分解：</w:t>
      </w:r>
      <w:r>
        <w:t xml:space="preserve">每个模块映射到量化管线中的恰好一个不可约减的关注点。七个模块来源于回答：“从原始 tick 数据到一笔可审计的模拟交易，最少需要哪些组件？”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奥卡姆剃刀工程实践：</w:t>
      </w:r>
      <w:r>
        <w:t xml:space="preserve">优先采用满足验收标准的最简实现。sklearn 优先于 PyTorch（除非回测证明不足）。复杂性是挣得的，不是假定的。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可观测契约：</w:t>
      </w:r>
      <w:r>
        <w:t xml:space="preserve">每个模块暴露类型化的不可变数据契约（frozen dataclass 或 Pydantic model）。模块边界是 API 表面，而非目录约定。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战略定位：</w:t>
      </w:r>
      <w:r>
        <w:t xml:space="preserve">平台以美股（S&amp;P 500 宇宙）为主要市场，通过已有 AKShare 数据层可扩展至 A 股。前端将从当前的单体 HTML 文件（~2,700 行）迁移至组件化的 React/Next.js 应用。所有交易功能仅限研究和模拟盘。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关键约束条件：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数据源：</w:t>
      </w:r>
      <w:r>
        <w:t xml:space="preserve">仅使用免费开源数据源（yfinance 免费层、AKShare），粒度为单日级别交易数据，不依赖任何付费 API 或数据供应商。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LLM 接入：</w:t>
      </w:r>
      <w:r>
        <w:t xml:space="preserve">不租用独立 GPU 服务器部署开源模型。通过开发者已订阅的模型公司 Coding Plan（如 OpenAI / Anthropic / DeepSeek 等）接入 API，经由已有的 LLMClientFactory 统一调度。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网络安全：</w:t>
      </w:r>
      <w:r>
        <w:t xml:space="preserve">重点关注。禁止暴露开发者模式，仅开放最小端口，实施访问频率限制、可疑连接封禁等安全策略。</w:t>
      </w:r>
    </w:p>
    <w:p>
      <w:r>
        <w:br w:type="page"/>
      </w:r>
    </w:p>
    <w:p>
      <w:pPr>
        <w:pStyle w:val="Heading1"/>
      </w:pPr>
      <w:bookmarkStart w:name="bm_201" w:id="11"/>
      <w:r>
        <w:t xml:space="preserve">模块 1：系统总线监控 (System Bus Monitor)</w:t>
      </w:r>
      <w:bookmarkEnd w:id="11"/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目的：</w:t>
      </w:r>
      <w:r>
        <w:t xml:space="preserve">提供对 Alpha Core 内每个子系统的健康状态、延迟和吞吐量的实时可观测性。这是平台的「神经系统」——没有它，运维人员无法区分模型信号不佳和数据源静默失败。</w:t>
      </w:r>
    </w:p>
    <w:p>
      <w:pPr>
        <w:spacing w:after="60"/>
      </w:pPr>
    </w:p>
    <w:p>
      <w:pPr>
        <w:pStyle w:val="Heading2"/>
      </w:pPr>
      <w:r>
        <w:t xml:space="preserve">1.1 设计原理</w:t>
      </w:r>
    </w:p>
    <w:p>
      <w:pPr>
        <w:spacing w:after="120"/>
      </w:pPr>
      <w:r>
        <w:t xml:space="preserve">在生产级量化系统中（参考 Zipline Pipeline 架构、QuantConnect 健康监控），静默失败是最危险的失败模式。一个因为数据提供商超时而返回过时特征的因子，会产生看起来有效但实际无意义的预测。本模块借鉴 Kubernetes 「控制平面」概念：不参与数据路径，但持续观察数据路径上的每个组件。</w:t>
      </w:r>
    </w:p>
    <w:p>
      <w:pPr>
        <w:spacing w:after="60"/>
      </w:pPr>
    </w:p>
    <w:p>
      <w:pPr>
        <w:pStyle w:val="Heading2"/>
      </w:pPr>
      <w:r>
        <w:t xml:space="preserve">1.2 功能需求</w:t>
      </w:r>
    </w:p>
    <w:p>
      <w:pPr>
        <w:pStyle w:val="Heading3"/>
      </w:pPr>
      <w:r>
        <w:t xml:space="preserve">1.2.1 服务健康仪表盘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600"/>
        <w:gridCol w:w="25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健康检测方法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轮询间隔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失败阈值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后端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/health 响应 &lt;100ms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10秒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连续 3 次失败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API 端点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调用 /models 接口验证可用性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30秒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连续 2 次失败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yfinance 数据源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获取 SPY 1日 OHLCV；验证 close&gt;0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60秒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次失败切换至缓存模式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SQLite 因子注册表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count(*) FROM factors；验证可写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60秒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次失败切换至只读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模型工件库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 .joblib 文件存在且 mtime&lt;48h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120秒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过时触发重训练警报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1.2.2 管线吞吐量指标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数据获取延迟：</w:t>
      </w:r>
      <w:r>
        <w:t xml:space="preserve">从 API 调用到 DataFrame 就绪的时间。目标：yfinance &lt;2s，缓存 &lt;500ms。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特征计算延迟：</w:t>
      </w:r>
      <w:r>
        <w:t xml:space="preserve">计算全部技术特征的时间。目标：3年日线数据 &lt;200ms。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模型推理延迟：</w:t>
      </w:r>
      <w:r>
        <w:t xml:space="preserve">各模型预测时间和融合时间。目标：3个模型 3 只股票 &lt;500ms。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LLM 决策延迟：</w:t>
      </w:r>
      <w:r>
        <w:t xml:space="preserve">从 prompt 构建到解析 TradingDecision 的时间。目标：API 调用 &lt;5s。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端到端延迟：</w:t>
      </w:r>
      <w:r>
        <w:t xml:space="preserve">/api/dashboard 从请求到响应的总时间。目标：冷启动 &lt;10s，缓存命中 &lt;3s。</w:t>
      </w:r>
    </w:p>
    <w:p>
      <w:pPr>
        <w:spacing w:after="60"/>
      </w:pPr>
    </w:p>
    <w:p>
      <w:pPr>
        <w:pStyle w:val="Heading3"/>
      </w:pPr>
      <w:r>
        <w:t xml:space="preserve">1.2.3 告警与通知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级别 1 – INFO：</w:t>
      </w:r>
      <w:r>
        <w:t xml:space="preserve">服务恢复、缓存命中率&gt;90%、模型重训练成功。绿色 toast 提示。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级别 2 – WARN：</w:t>
      </w:r>
      <w:r>
        <w:t xml:space="preserve">服务降级、缓存接近过期、模型准确率低于 55%。黄色徽章。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级别 3 – CRITICAL：</w:t>
      </w:r>
      <w:r>
        <w:t xml:space="preserve">服务不可达、数据返回空 DataFrame、模型工件缺失。红色脉冲指示器；阻止管线执行。</w:t>
      </w:r>
    </w:p>
    <w:p>
      <w:pPr>
        <w:spacing w:after="60"/>
      </w:pPr>
    </w:p>
    <w:p>
      <w:pPr>
        <w:pStyle w:val="Heading2"/>
      </w:pPr>
      <w:r>
        <w:t xml:space="preserve">1.3 验收标准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60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标准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AC-1.1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 5 个服务在配置的轮询间隔内返回有效状态。故意停止 LLM API 服务后，60秒内状态转为“down”并出现 CRITICAL 告警。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AC-1.2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管线延迟指标与独立测量的 wall-clock 时间误差 &lt;5%。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精度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AC-1.3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服务卡片响应式渲染：≥1440px 6列，≥1024px 3列，≥768px 2列。无水平溢出。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响应式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AC-1.4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/api/system 在下游服务缓慢或不可达时仍在 &lt;200ms 内响应（后台异步检测、API 返回缓存结果）。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性能</w:t>
            </w:r>
          </w:p>
        </w:tc>
      </w:tr>
    </w:tbl>
    <w:p>
      <w:r>
        <w:br w:type="page"/>
      </w:r>
    </w:p>
    <w:p>
      <w:pPr>
        <w:pStyle w:val="Heading1"/>
      </w:pPr>
      <w:bookmarkStart w:name="bm_202" w:id="12"/>
      <w:r>
        <w:t xml:space="preserve">模块 2：市场数据与特征 (Market Feed &amp; Features)</w:t>
      </w:r>
      <w:bookmarkEnd w:id="12"/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目的：</w:t>
      </w:r>
      <w:r>
        <w:t xml:space="preserve">作为所有市场数据的唯一真实来源。本模块拥有数据的全生命周期：从外部提供商获取、规范化为标准 schema、缓存以降低延迟、质量验证、以及特征工程。其他模块不得直接调用 yfinance 或任何外部数据 API。</w:t>
      </w:r>
    </w:p>
    <w:p>
      <w:pPr>
        <w:spacing w:after="60"/>
      </w:pPr>
    </w:p>
    <w:p>
      <w:pPr>
        <w:pStyle w:val="Heading2"/>
      </w:pPr>
      <w:r>
        <w:t xml:space="preserve">2.1 数据源策略（仅免费开源）</w:t>
      </w:r>
    </w:p>
    <w:p>
      <w:pPr>
        <w:spacing w:after="120"/>
      </w:pPr>
      <w:r>
        <w:rPr>
          <w:b/>
          <w:bCs/>
        </w:rPr>
        <w:t xml:space="preserve">核心约束：</w:t>
      </w:r>
      <w:r>
        <w:t xml:space="preserve">不依赖任何付费 API 或数据提供商。仅使用单日级别交易数据。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1000"/>
        <w:gridCol w:w="29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数据源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覆盖市场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粒度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成本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yfinance (免费层)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美股 (S&amp;P 500)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日线 OHLCV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免费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主数据源；最多获取 20年历史数据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AKShare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股 (CSI300)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日线 OHLCV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免费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备用数据源；中国网络环境下的回退方案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Parquet 缓存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全部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日线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免费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L2 磁盘缓存，最大时效 24h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数据质量验证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失败时操作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验证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必须包含 6 个必填列；价格为 float64，成交量为 int64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抛出 DataSchemaError；不缓存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完整性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任何股票不得有超过 3 个交易日的缺口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缺口≤3天前向填充；&gt;3天拒绝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价格合理性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close&gt;0; high≥low; high≥open; volume≥0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删除违规行并记录日志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时效性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最新日期≥上一个交易日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返回数据但标记为“过时”；发出 WARN 告警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2.3 特征工程</w:t>
      </w:r>
    </w:p>
    <w:p>
      <w:pPr>
        <w:spacing w:after="120"/>
      </w:pPr>
      <w:r>
        <w:rPr>
          <w:b/>
          <w:bCs/>
        </w:rPr>
        <w:t xml:space="preserve">第一层 – 核心特征（已实现）：</w:t>
      </w:r>
      <w:r>
        <w:t xml:space="preserve">log_return, volatility_20d, rsi_14, macd_norm, bollinger_pctb</w:t>
      </w:r>
    </w:p>
    <w:p>
      <w:pPr>
        <w:spacing w:after="120"/>
      </w:pPr>
      <w:r>
        <w:rPr>
          <w:b/>
          <w:bCs/>
        </w:rPr>
        <w:t xml:space="preserve">第二层 – 扩展特征（新增）：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成交量分析：</w:t>
      </w:r>
      <w:r>
        <w:t xml:space="preserve">vwap_deviation, volume_zscore, obv_slope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微观结构代理：</w:t>
      </w:r>
      <w:r>
        <w:t xml:space="preserve">amihud_illiquidity (Amihud 2002), roll_spread (Roll 1984)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跨资产信号：</w:t>
      </w:r>
      <w:r>
        <w:t xml:space="preserve">sp500_beta (滚动 60 日 OLS beta), sector_momentum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日历特征：</w:t>
      </w:r>
      <w:r>
        <w:t xml:space="preserve">day_of_week, month, is_month_end</w:t>
      </w:r>
    </w:p>
    <w:p>
      <w:pPr>
        <w:spacing w:after="60"/>
      </w:pPr>
    </w:p>
    <w:p>
      <w:pPr>
        <w:pStyle w:val="Heading2"/>
      </w:pPr>
      <w:r>
        <w:t xml:space="preserve">2.4 验收标准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60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标准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AC-2.1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获取 3 只股票 3 年日线数据：yfinance 冷启动 &lt;6s，Parquet 缓存 &lt;500ms。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性能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AC-2.2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数据质量验证捕获：(a) 缺少“close”列抛出 DataSchemaError，(b) 5天缺口触发 WARNING 并前向填充，(c) close=-1 的行被删除并记录。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AC-2.3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第一层特征与现有 compute_features() 的输出在浮点容差 1e-8 内一致。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回归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AC-2.4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第二层特征：vwap_deviation 与次日收益的相关性&gt;0.3（S&amp;P 500 Top-50，2022-2024）。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信号质量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AC-2.5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当 yfinance 不可达时，系统优雅回退到缓存数据，数据质量报告显示“degraded”状态。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容错</w:t>
            </w:r>
          </w:p>
        </w:tc>
      </w:tr>
    </w:tbl>
    <w:p>
      <w:r>
        <w:br w:type="page"/>
      </w:r>
    </w:p>
    <w:p>
      <w:pPr>
        <w:pStyle w:val="Heading1"/>
      </w:pPr>
      <w:bookmarkStart w:name="bm_203" w:id="13"/>
      <w:r>
        <w:t xml:space="preserve">模块 3：模型推理与状态 (Model Inference &amp; State)</w:t>
      </w:r>
      <w:bookmarkEnd w:id="13"/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目的：</w:t>
      </w:r>
      <w:r>
        <w:t xml:space="preserve">执行 ML 模型推理，产生市场体制分类（HMM）、方向预测（XGBoost, LSTM）和融合共识信号。这是 Alpha Core 的「大脑」。</w:t>
      </w:r>
    </w:p>
    <w:p>
      <w:pPr>
        <w:spacing w:after="120"/>
      </w:pPr>
      <w:r>
        <w:rPr>
          <w:b/>
          <w:bCs/>
        </w:rPr>
        <w:t xml:space="preserve">当前状态：</w:t>
      </w:r>
      <w:r>
        <w:t xml:space="preserve">已完成约70%。HMM 4状态体制检测、GradientBoostingClassifier、MLPClassifier 和加权融合均已运行。主要缺口：(1) 无模型性能监控，(2) 无自动重训练触发，(3) 融合权重硬编码，(4) 无置信度校准。</w:t>
      </w:r>
    </w:p>
    <w:p>
      <w:pPr>
        <w:spacing w:after="60"/>
      </w:pPr>
    </w:p>
    <w:p>
      <w:pPr>
        <w:pStyle w:val="Heading2"/>
      </w:pPr>
      <w:r>
        <w:t xml:space="preserve">3.1 HMM 体制检测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660"/>
        <w:gridCol w:w="240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体制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特征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交易含义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分配启发式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趋势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高收益、低波动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趋势跟随策略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收益均值第3四分位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震荡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低收益、低波动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均值回归、区间策略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收益均值第2四分位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套利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最高收益、混合波动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动量捕获、配对交易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收益均值第4四分位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暴跌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负收益、高波动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防御性、减少暴露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收益均值第1四分位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融合引擎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第一阶段（当前）：</w:t>
      </w:r>
      <w:r>
        <w:t xml:space="preserve">静态加权平均。XGBoost 0.45, LSTM 0.35, HMM 0.20。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第二阶段（目标）：</w:t>
      </w:r>
      <w:r>
        <w:t xml:space="preserve">动态元学习器。轻量 LogisticRegression 在滚动 60 天窗口上训练，权重隐式学习。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置信度校准：</w:t>
      </w:r>
      <w:r>
        <w:t xml:space="preserve">用 Platt scaling 或 isotonic regression 校准原始融合概率，使“70% 置信度”在 100 次滚动预测中经验上等于 ~70% 准确率。</w:t>
      </w:r>
    </w:p>
    <w:p>
      <w:pPr>
        <w:spacing w:after="60"/>
      </w:pPr>
    </w:p>
    <w:p>
      <w:pPr>
        <w:pStyle w:val="Heading2"/>
      </w:pPr>
      <w:r>
        <w:t xml:space="preserve">3.3 验收标准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60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标准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AC-3.1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HMM 在合成数据上正确识别至少 3/4 个体制。连续 5 次重训练标签稳定（无标签交换）。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模型质量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AC-3.2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XGBoost 和 LSTM 在 20% 测试集上方向准确率 &gt;52%（二项检验 p&lt;0.05）。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模型质量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AC-3.3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融合引擎产生的预测在任何滚动 60 天窗口内至少与最佳单模型持平。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融合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AC-3.4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置信度校准后，各概率区间的观测准确率与区间中心偏差 &lt;±10个百分点。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校准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AC-3.5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滚动 20 天准确率降至 48% 以下时触发 WARN；连续 5 天低于 45% 时自动重训练。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监控</w:t>
            </w:r>
          </w:p>
        </w:tc>
      </w:tr>
    </w:tbl>
    <w:p>
      <w:r>
        <w:br w:type="page"/>
      </w:r>
    </w:p>
    <w:p>
      <w:pPr>
        <w:pStyle w:val="Heading1"/>
      </w:pPr>
      <w:bookmarkStart w:name="bm_204" w:id="14"/>
      <w:r>
        <w:t xml:space="preserve">模块 4：Alpha 策略实验室 (Alpha Strategy Lab)</w:t>
      </w:r>
      <w:bookmarkEnd w:id="14"/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目的：</w:t>
      </w:r>
      <w:r>
        <w:t xml:space="preserve">提供完整的因子研究环境：生成 Alpha 假设、用 DSL 表达、回测、统计显著性评估、去重注册。这是 Alpha Core 的「研究引擎」。</w:t>
      </w:r>
    </w:p>
    <w:p>
      <w:pPr>
        <w:spacing w:after="60"/>
      </w:pPr>
    </w:p>
    <w:p>
      <w:pPr>
        <w:pStyle w:val="Heading2"/>
      </w:pPr>
      <w:r>
        <w:t xml:space="preserve">4.1 因子 DSL 与解析器</w:t>
      </w:r>
    </w:p>
    <w:p>
      <w:pPr>
        <w:spacing w:after="120"/>
      </w:pPr>
      <w:r>
        <w:t xml:space="preserve">递归下降解析器支持 Qlib 兼容的表达式：时间序列算子（Ref, Mean, Sum, Std, EMA, Corr 等）、截面算子（Rank, Zscore）、元素算子（Abs, Sign, Log, If）。支持完整中缀算术与正确的运算符优先级。</w:t>
      </w:r>
    </w:p>
    <w:p>
      <w:pPr>
        <w:spacing w:after="60"/>
      </w:pPr>
    </w:p>
    <w:p>
      <w:pPr>
        <w:pStyle w:val="Heading2"/>
      </w:pPr>
      <w:r>
        <w:t xml:space="preserve">4.2 回测引擎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数据窗口：</w:t>
      </w:r>
      <w:r>
        <w:t xml:space="preserve">默认 2022-01-01 至 2024-12-31。训练/测试分割：前 80% / 后 20%，时间序分割、禁止 shuffle。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前向收益：</w:t>
      </w:r>
      <w:r>
        <w:t xml:space="preserve">多周期：1, 2, 3, 5, 10, 20 交易日。按日期截面分组。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IC 信息系数：</w:t>
      </w:r>
      <w:r>
        <w:t xml:space="preserve">Pearson IC、Spearman Rank IC、ICIR (IC均值/IC标准差)。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多空组合：</w:t>
      </w:r>
      <w:r>
        <w:t xml:space="preserve">等权五分位策略：做多因子值前 20%，做空后 20%。Sharpe、最大回撤、换手率。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Alpha 衰减：</w:t>
      </w:r>
      <w:r>
        <w:t xml:space="preserve">跟踪 IC 在各前向周期的衰减曲线。第5天 IC 降至第1天的 &lt;50% 则标记为“短命”。</w:t>
      </w:r>
    </w:p>
    <w:p>
      <w:pPr>
        <w:spacing w:after="60"/>
      </w:pPr>
    </w:p>
    <w:p>
      <w:pPr>
        <w:pStyle w:val="Heading2"/>
      </w:pPr>
      <w:r>
        <w:t xml:space="preserve">4.3 P&amp;L 图表规格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X轴：</w:t>
      </w:r>
      <w:r>
        <w:t xml:space="preserve">交易日时间线，与市场日历对齐。粒度：每日。范围与回测窗口一致。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Y轴：</w:t>
      </w:r>
      <w:r>
        <w:t xml:space="preserve">累计收益率（%），从 0% 开始。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策略曲线（绿色 #4ade80）：</w:t>
      </w:r>
      <w:r>
        <w:t xml:space="preserve">多空五分位组合的累计 P&amp;L。2px 线宽，填充区域 10% 透明度。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基准曲线（红色 #ef4444）：</w:t>
      </w:r>
      <w:r>
        <w:t xml:space="preserve">S&amp;P 500 (SPY) 累计收益。真实数据（来自 yfinance），非合成。虚线 1.5px。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十字线交互：</w:t>
      </w:r>
      <w:r>
        <w:t xml:space="preserve">鼠标水平移动时纵向线跟随。Tooltip 显示：日期、策略累计收益%、基准累计收益%、超额收益、当前回撤%。跟随延迟 &lt;50ms。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指标徽章：</w:t>
      </w:r>
      <w:r>
        <w:t xml:space="preserve">图表右上角显示 Sharpe, Max Drawdown, Annual Return, IC Mean, ICIR。</w:t>
      </w:r>
    </w:p>
    <w:p>
      <w:pPr>
        <w:spacing w:after="60"/>
      </w:pPr>
    </w:p>
    <w:p>
      <w:pPr>
        <w:pStyle w:val="Heading2"/>
      </w:pPr>
      <w:r>
        <w:t xml:space="preserve">4.4 LLM 研究循环（API 接入）</w:t>
      </w:r>
    </w:p>
    <w:p>
      <w:pPr>
        <w:spacing w:after="120"/>
      </w:pPr>
      <w:r>
        <w:rPr>
          <w:b/>
          <w:bCs/>
        </w:rPr>
        <w:t xml:space="preserve">核心变更：</w:t>
      </w:r>
      <w:r>
        <w:t xml:space="preserve">不再租用独立 GPU 服务器部署 Gemma 4 26B。通过开发者已订阅的模型公司 Coding Plan 接入 API（OpenAI / Anthropic / DeepSeek 等），经由 LLMClientFactory 统一调度。无需更改任何业务代码，仅切换 .env 配置即可。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HypothesisAgent：</w:t>
      </w:r>
      <w:r>
        <w:t xml:space="preserve">接收自然语言查询，生成 3-5 个结构化假设。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FactorAgent：</w:t>
      </w:r>
      <w:r>
        <w:t xml:space="preserve">将假设转化为 DSL 表达式，每个假设 1-3 个。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BacktestAgent：</w:t>
      </w:r>
      <w:r>
        <w:t xml:space="preserve">对每个因子表达式执行回测，收集所有指标。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EvalAgent：</w:t>
      </w:r>
      <w:r>
        <w:t xml:space="preserve">评审回测结果。决策：ACCEPT (IC&gt;0.03, ICIR&gt;0.5, Sharpe&gt;0.5), REJECT, 或 REFINE。</w:t>
      </w:r>
    </w:p>
    <w:p>
      <w:pPr>
        <w:spacing w:after="60"/>
      </w:pPr>
    </w:p>
    <w:p>
      <w:pPr>
        <w:pStyle w:val="Heading2"/>
      </w:pPr>
      <w:r>
        <w:t xml:space="preserve">4.5 验收标准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60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标准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AC-4.1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P&amp;L 图表渲染：(a) 绿色策略线+红色虚线基准，(b) 基准数据为真实 SPY 数据，(c) 十字线显示 5 个 tooltip 值，(d) tooltip 跟随延迟 &lt;50ms。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AC-4.2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回测引擎 IC 值与参考 pandas 计算偏差 &lt;1e-6。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数值精度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AC-4.3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研究循环在 3 分钟内完成。至少生成 2 个因子并完成回测评估。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端到端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AC-4.4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因子注册表去重：提交 Rank(-Delta($close,5)) 和 Rank(Delta($close,5)*-1) 只产生 1 条记录。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去重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AC-4.5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DSL 编辑器提供语法高亮（函数名蓝色、$特征橙色、数字绿色）。解析错误显示红色下划线。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UX</w:t>
            </w:r>
          </w:p>
        </w:tc>
      </w:tr>
    </w:tbl>
    <w:p>
      <w:r>
        <w:br w:type="page"/>
      </w:r>
    </w:p>
    <w:p>
      <w:pPr>
        <w:pStyle w:val="Heading1"/>
      </w:pPr>
      <w:bookmarkStart w:name="bm_205" w:id="15"/>
      <w:r>
        <w:t xml:space="preserve">模块 5：组合与风控引擎 (Portfolio &amp; Risk Engine)</w:t>
      </w:r>
      <w:bookmarkEnd w:id="15"/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目的：</w:t>
      </w:r>
      <w:r>
        <w:t xml:space="preserve">将模型信号和 Alpha 因子转化为具体的组合仓位，实施风控约束，提供综合风控仪表盘。模拟仓位严格按照真实资本管理标准设计。</w:t>
      </w:r>
    </w:p>
    <w:p>
      <w:pPr>
        <w:spacing w:after="60"/>
      </w:pPr>
    </w:p>
    <w:p>
      <w:pPr>
        <w:pStyle w:val="Heading2"/>
      </w:pPr>
      <w:r>
        <w:t xml:space="preserve">5.1 组合构建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信号加权分配：</w:t>
      </w:r>
      <w:r>
        <w:t xml:space="preserve">仓位权重 = 信号得分 / 绝对值之和。正信号做多，负信号做空。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风险平价调整：</w:t>
      </w:r>
      <w:r>
        <w:t xml:space="preserve">权重与实现波动率反比。目标：每个仓位的风险贡献相等。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约束实施：</w:t>
      </w:r>
      <w:r>
        <w:t xml:space="preserve">单一仓位上限 15%；总毛暴露上限 200%；单行业暴露上限 30%；最少 5 多 + 5 空。</w:t>
      </w:r>
    </w:p>
    <w:p>
      <w:pPr>
        <w:spacing w:after="60"/>
      </w:pPr>
    </w:p>
    <w:p>
      <w:pPr>
        <w:pStyle w:val="Heading2"/>
      </w:pPr>
      <w:r>
        <w:t xml:space="preserve">5.2 风控指标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计算方法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目标/阈值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组合波动率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日收益年化标准差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显示；目标 &lt;15%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(年化收益 - Rf) / 年化波动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显示；目标 &gt;1.0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最大回撤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累计收益峰值到谷值的最大降幅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硬限制：-20% 触发自动减仓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 (95%)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252日滚动收益的第5百分位数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显示；VaR超过 3% 时告警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Beta to SPY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滚动 60 日 OLS 回归斜率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目标：|β|&lt;0.3（市场中性）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集中度 (HHI)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仓位权重的平方和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HHI&gt;0.15 时告警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5.3 验收标准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60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标准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AC-5.1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组合权重总毛暴露≤200%，单一仓位≤15%。边界条件验证：全部多头信号/单一极端信号/小宇宙场景。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约束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AC-5.2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风险平价的边际风险贡献变异系数 &lt;0.3（等权约 ~0.5）。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组合构建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AC-5.3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累计收益达 -20% 时自动将所有仓位减至 50%，并发出 CRITICAL 告警。回撤恢复至 -10% 前不增仓。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风控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AC-5.4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Treemap 正确显示比例大小、配色和 hover tooltip。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AC-5.5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全部 7 个风控指标与参考实现一致。VaR(95%) 与 scipy 计算偏差 &lt;0.1%。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数值精度</w:t>
            </w:r>
          </w:p>
        </w:tc>
      </w:tr>
    </w:tbl>
    <w:p>
      <w:r>
        <w:br w:type="page"/>
      </w:r>
    </w:p>
    <w:p>
      <w:pPr>
        <w:pStyle w:val="Heading1"/>
      </w:pPr>
      <w:bookmarkStart w:name="bm_206" w:id="16"/>
      <w:r>
        <w:t xml:space="preserve">模块 6：订单执行网关 (Order Execution Gateway)</w:t>
      </w:r>
      <w:bookmarkEnd w:id="16"/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目的：</w:t>
      </w:r>
      <w:r>
        <w:t xml:space="preserve">将组合目标权重转化为可执行的订单指令，实施事前风控门控（多时间框架确认），模拟订单成交。模拟盘模式，但架构支持未来接入真实 broker。</w:t>
      </w:r>
    </w:p>
    <w:p>
      <w:pPr>
        <w:spacing w:after="60"/>
      </w:pPr>
    </w:p>
    <w:p>
      <w:pPr>
        <w:pStyle w:val="Heading2"/>
      </w:pPr>
      <w:r>
        <w:t xml:space="preserve">6.1 订单状态机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可转换至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PENDING_GATE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等待多时间框架门控评估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GATE_PASSED, GATE_REJECTED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GATE_PASSED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所有时间框架门控通过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SUBMITTED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GATE_REJECTED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一个或多个门控失败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PENDING_GATE, CANCELLED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SUBMITTED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已发送至模拟执行引擎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FILLED, PARTIALLY_FILLED, REJECTED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FILLED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订单完全成交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终态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CANCELLED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用户/风控/超时取消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终态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6.2 多时间框架门控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4H 趋势门控 (权重 0.4)：</w:t>
      </w:r>
      <w:r>
        <w:t xml:space="preserve">EMA(8) vs EMA(21) 日线交叉。通过阈值：0.5。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1H 动量门控 (权重 0.35)：</w:t>
      </w:r>
      <w:r>
        <w:t xml:space="preserve">RSI(14) 小时线。通过阈值：0.5。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15M 入场门控 (权重 0.25)：</w:t>
      </w:r>
      <w:r>
        <w:t xml:space="preserve">MACD 信号交叉 15分钟线。通过阈值：0.5。</w:t>
      </w:r>
    </w:p>
    <w:p>
      <w:pPr>
        <w:spacing w:after="120"/>
      </w:pPr>
      <w:r>
        <w:rPr>
          <w:b/>
          <w:bCs/>
        </w:rPr>
        <w:t xml:space="preserve">门控逻辑：</w:t>
      </w:r>
      <w:r>
        <w:t xml:space="preserve">所有 3 个门控必须单独通过 (得分≥0.5) 且加权综合得分超过 0.5。方向冲突时拒绝订单。</w:t>
      </w:r>
    </w:p>
    <w:p>
      <w:pPr>
        <w:spacing w:after="60"/>
      </w:pPr>
    </w:p>
    <w:p>
      <w:pPr>
        <w:pStyle w:val="Heading2"/>
      </w:pPr>
      <w:r>
        <w:t xml:space="preserve">6.3 成交模拟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市价单：</w:t>
      </w:r>
      <w:r>
        <w:t xml:space="preserve">最新价格 ± 滑点。滑点模型：0.05% 基础 + 市场冲击 = 0.1 * sqrt(订单股数 / 日均成交量)。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限价单：</w:t>
      </w:r>
      <w:r>
        <w:t xml:space="preserve">仅在模拟日内价格穿越限价时成交。使用日内高低价均匀分布模拟。</w:t>
      </w:r>
    </w:p>
    <w:p>
      <w:pPr>
        <w:spacing w:after="60"/>
      </w:pPr>
    </w:p>
    <w:p>
      <w:pPr>
        <w:pStyle w:val="Heading2"/>
      </w:pPr>
      <w:r>
        <w:t xml:space="preserve">6.4 验收标准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60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标准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AC-6.1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订单状态机转换正确：覆盖全部 6 个状态和 10 个转换的单元测试。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状态机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AC-6.2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门控得分与现有 gate.py 偏差 &lt;0.01。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回归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AC-6.3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1000股市价单滑点在 0.05%±0.01% 范围内（100次模拟统计检验）。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模拟质量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AC-6.4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方向冲突检测：4H 趋势看空时下买单触发“方向冲突”警告并进入 GATE_REJECTED。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风控门控</w:t>
            </w:r>
          </w:p>
        </w:tc>
      </w:tr>
    </w:tbl>
    <w:p>
      <w:r>
        <w:br w:type="page"/>
      </w:r>
    </w:p>
    <w:p>
      <w:pPr>
        <w:pStyle w:val="Heading1"/>
      </w:pPr>
      <w:bookmarkStart w:name="bm_207" w:id="17"/>
      <w:r>
        <w:t xml:space="preserve">模块 7：交易审计日志 (Trading Audit Log)</w:t>
      </w:r>
      <w:bookmarkEnd w:id="17"/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目的：</w:t>
      </w:r>
      <w:r>
        <w:t xml:space="preserve">维护系统每个决策的完整、不可变、可查询的记录。服务三个目的：(1) 研究可复现性，(2) 合规文档，(3) 系统调试。</w:t>
      </w:r>
    </w:p>
    <w:p>
      <w:pPr>
        <w:spacing w:after="60"/>
      </w:pPr>
    </w:p>
    <w:p>
      <w:pPr>
        <w:pStyle w:val="Heading2"/>
      </w:pPr>
      <w:r>
        <w:t xml:space="preserve">7.1 审计事件模型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v4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全局唯一事件标识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event_type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MODEL_PREDICTION / GATE_EVALUATION / ORDER_STATE_CHANGE / RISK_ALERT / PORTFOLIO_REBALANCE / SYSTEM_EVENT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 8601 (UTC)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事件创建时间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 | null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股票代码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source_module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生成事件的模块名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payload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事件专属数据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decision_chain_id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v4 | null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关联同一决策链中的所有事件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7.2 决策链追踪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正向追踪：</w:t>
      </w:r>
      <w:r>
        <w:t xml:space="preserve">给定模型预测，找到由此产生的门控评估、订单和成交。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反向追踪：</w:t>
      </w:r>
      <w:r>
        <w:t xml:space="preserve">给定已成交订单，回溯到产生信号的模型预测和特征值。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差异分析：</w:t>
      </w:r>
      <w:r>
        <w:t xml:space="preserve">比较同一股票连续两天的决策链，识别哪个输入变化导致了不同结果。</w:t>
      </w:r>
    </w:p>
    <w:p>
      <w:pPr>
        <w:spacing w:after="60"/>
      </w:pPr>
    </w:p>
    <w:p>
      <w:pPr>
        <w:pStyle w:val="Heading2"/>
      </w:pPr>
      <w:r>
        <w:t xml:space="preserve">7.3 验收标准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60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标准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AC-7.1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完整管线运行产生预期数量的审计事件，所有事件共享同一 decision_chain_id。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事件完整性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AC-7.2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审计事件真正不可变：DELETE 请求返回 HTTP 405。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不可变性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AC-7.3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决策链追踪端到端有效：给定已成交订单 event_id，API 返回包含触发模型预测的完整链。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可追溯性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AC-7.4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查询性能：最近 1000 条事件 &lt;100ms；决策链重建 &lt;50ms。基于 100,000+ 条事件的数据库测量。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性能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AC-7.5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CSV 导出 10,000 条筛选事件 &lt;3s，生成有效 CSV。JSON payload 展平为独立列。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导出</w:t>
            </w:r>
          </w:p>
        </w:tc>
      </w:tr>
    </w:tbl>
    <w:p>
      <w:r>
        <w:br w:type="page"/>
      </w:r>
    </w:p>
    <w:p>
      <w:pPr>
        <w:pStyle w:val="Heading1"/>
      </w:pPr>
      <w:bookmarkStart w:name="bm_208" w:id="18"/>
      <w:r>
        <w:t xml:space="preserve">网络安全架构</w:t>
      </w:r>
      <w:bookmarkEnd w:id="18"/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核心原则：</w:t>
      </w:r>
      <w:r>
        <w:t xml:space="preserve">最小暴露面、纵深防御、默认拒绝。</w:t>
      </w:r>
    </w:p>
    <w:p>
      <w:pPr>
        <w:spacing w:after="60"/>
      </w:pPr>
    </w:p>
    <w:p>
      <w:pPr>
        <w:pStyle w:val="Heading2"/>
      </w:pPr>
      <w:r>
        <w:t xml:space="preserve">端口与暴露管理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560"/>
        <w:gridCol w:w="300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端口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暴露范围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安全措施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6008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后端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仅内网 / 反向代理后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禁止直接公网访问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前端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经反向代理暴露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Nginx/Caddy TLS 终结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 入口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公网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强制 HTTPS；HSTS；TLSv1.3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开发者模式防护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生产环境禁用 DEBUG：</w:t>
      </w:r>
      <w:r>
        <w:t xml:space="preserve">FastAPI debug=False；所有异常返回通用错误消息，不泄露堆栈跟踪或内部路径。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移除 /docs 和 /redoc：</w:t>
      </w:r>
      <w:r>
        <w:t xml:space="preserve">生产环境不暴露 Swagger UI。配置：app = FastAPI(docs_url=None, redoc_url=None)。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响应头硬化：</w:t>
      </w:r>
      <w:r>
        <w:t xml:space="preserve">移除 Server 头；添加 X-Content-Type-Options: nosniff, X-Frame-Options: DENY, Content-Security-Policy。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CORS 收紧：</w:t>
      </w:r>
      <w:r>
        <w:t xml:space="preserve">当前 allow_origins=["*"] 必须改为白名单域名。仅允许 GET 方法。</w:t>
      </w:r>
    </w:p>
    <w:p>
      <w:pPr>
        <w:spacing w:after="60"/>
      </w:pPr>
    </w:p>
    <w:p>
      <w:pPr>
        <w:pStyle w:val="Heading2"/>
      </w:pPr>
      <w:r>
        <w:t xml:space="preserve">访问频率限制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端点类型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限制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超限行为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读取端点 (/api/*)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 IP 60次/分钟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返回 HTTP 429，响应头包含 Retry-After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计算密集型 (/api/inference)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 IP 10次/分钟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返回 HTTP 429 + 缓存提示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端点 (/api/decision)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 IP 5次/分钟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返回 HTTP 429 + 队列建议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静态资源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无限制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CDN 缓存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可疑连接封禁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自动封禁规则：</w:t>
      </w:r>
      <w:r>
        <w:t xml:space="preserve">单 IP 在 5 分钟内触发 &gt;20 次 429 响应，自动封禁 30 分钟。通过 FastAPI 中间件或 Nginx fail2ban 实现。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 密钥认证：</w:t>
      </w:r>
      <w:r>
        <w:t xml:space="preserve">全链路产品化后，所有非静态端点需要 Bearer Token 认证。Token 经由注册/登录流程签发，存储在 httpOnly cookie 中。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审计日志集成：</w:t>
      </w:r>
      <w:r>
        <w:t xml:space="preserve">所有被封禁的 IP 和触发频率限制的请求记录到审计日志（Module 7），事件类型为 SYSTEM_EVENT。</w:t>
      </w:r>
    </w:p>
    <w:p>
      <w:pPr>
        <w:spacing w:after="60"/>
      </w:pPr>
    </w:p>
    <w:p>
      <w:pPr>
        <w:pStyle w:val="Heading2"/>
      </w:pPr>
      <w:r>
        <w:t xml:space="preserve">安全验收标准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60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标准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AC-S.1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生产环境访问 /docs 或 /redoc 返回 404。异常响应不包含堆栈跟踪、文件路径或模块名。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信息泄露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AC-S.2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单 IP 在 60秒内发送 61 个请求到 /api/market 时，第 61 个返回 HTTP 429 并包含 Retry-After 头。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频率限制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AC-S.3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触发 &gt;20 次 429 后，IP 被自动封禁 30 分钟。封禁期间所有请求返回 HTTP 403。封禁事件记录在审计日志中。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封禁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AC-S.4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CORS 仅允许白名单域名。来自未授权源的请求被拒绝，无 CORS 头返回。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</w:tr>
    </w:tbl>
    <w:p>
      <w:r>
        <w:br w:type="page"/>
      </w:r>
    </w:p>
    <w:p>
      <w:pPr>
        <w:pStyle w:val="Heading1"/>
      </w:pPr>
      <w:bookmarkStart w:name="bm_209" w:id="19"/>
      <w:r>
        <w:t xml:space="preserve">LLM 接入架构（API 订阅模式）</w:t>
      </w:r>
      <w:bookmarkEnd w:id="19"/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核心变更：</w:t>
      </w:r>
      <w:r>
        <w:t xml:space="preserve">放弃租用独立 GPU 服务器部署开源模型（Gemma 4 26B + Ollama）。改为通过开发者已订阅的模型公司 Coding Plan 接入 API。</w:t>
      </w:r>
    </w:p>
    <w:p>
      <w:pPr>
        <w:spacing w:after="60"/>
      </w:pPr>
    </w:p>
    <w:p>
      <w:pPr>
        <w:pStyle w:val="Heading2"/>
      </w:pPr>
      <w:r>
        <w:t xml:space="preserve">成本对比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360"/>
        <w:gridCol w:w="200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月成本估算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劣势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原方案：AutoDL RTX 5090 + Ollama + Gemma 4 26B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¥800-1200/月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完全私有、无限调用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GPU 空闲浪费、需维护 SSH 隧道、模型更新慢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新方案：Coding Plan API 订阅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$20-100/月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即用即付、无维护、自动升级最新模型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依赖第三方可用性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实现方案</w:t>
      </w:r>
    </w:p>
    <w:p>
      <w:pPr>
        <w:spacing w:after="120"/>
      </w:pPr>
      <w:r>
        <w:t xml:space="preserve">已有的 LLMClientFactory 支持通过 .env 配置切换，无需更改任何业务代码：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提供商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.env 配置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推荐模型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OpenAI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LLM_PROVIDER=openai
OPENAI_API_KEY=sk-...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gpt-4o 或 gpt-4o-mini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Anthropic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LLM_PROVIDER=openai
OPENAI_BASE_URL=https://api.anthropic.com/v1
OPENAI_API_KEY=sk-ant-...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claude-sonnet-4-20250514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DeepSeek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LLM_PROVIDER=openai
OPENAI_BASE_URL=https://api.deepseek.com
OPENAI_API_KEY=sk-...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deepseek-chat</w:t>
            </w:r>
          </w:p>
        </w:tc>
      </w:tr>
    </w:tbl>
    <w:p>
      <w:pPr>
        <w:spacing w:after="120"/>
      </w:pPr>
      <w:r>
        <w:rPr>
          <w:b/>
          <w:bCs/>
        </w:rPr>
        <w:t xml:space="preserve">注意：</w:t>
      </w:r>
      <w:r>
        <w:t xml:space="preserve">所有提供商均通过 OpenAI-compatible 接口接入。LLMClientFactory 读取 LLM_PROVIDER，自动选择客户端。API 密钥存储在 .env 文件中，不进入源代码。</w:t>
      </w:r>
    </w:p>
    <w:p>
      <w:r>
        <w:br w:type="page"/>
      </w:r>
    </w:p>
    <w:p>
      <w:pPr>
        <w:pStyle w:val="Heading1"/>
      </w:pPr>
      <w:bookmarkStart w:name="bm_210" w:id="20"/>
      <w:r>
        <w:t xml:space="preserve">分阶段交付计划</w:t>
      </w:r>
      <w:bookmarkEnd w:id="20"/>
    </w:p>
    <w:p>
      <w:pPr>
        <w:spacing w:after="80"/>
      </w:pPr>
    </w:p>
    <w:p>
      <w:pPr>
        <w:spacing w:after="120"/>
      </w:pPr>
      <w:r>
        <w:t xml:space="preserve">七个模块分四个阶段交付，每个阶段产出可测试的 MVP 增量：</w:t>
      </w:r>
    </w:p>
    <w:p>
      <w:pPr>
        <w:spacing w:after="60"/>
      </w:pPr>
    </w:p>
    <w:p>
      <w:pPr>
        <w:pStyle w:val="Heading2"/>
      </w:pPr>
      <w:r>
        <w:t xml:space="preserve">第一阶段：基础加固（第1-3周）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560"/>
        <w:gridCol w:w="280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关键验收标准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M2: 市场数据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统一 DataProvider、数据质量验证、L1/L2 缓存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AC-2.1, AC-2.2, AC-2.5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M2+M3: 特征+模型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第二层特征、模型性能监控、置信度校准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AC-2.3, AC-2.4, AC-3.2, AC-3.4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M1: 系统总线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健康检测、管线延迟指标、告警系统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AC-1.1, AC-1.2, AC-1.4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第二阶段：研究引擎（第4-6周）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560"/>
        <w:gridCol w:w="240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关键验收标准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M4: Alpha 实验室（后端）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回测引擎增强、因子注册表改进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AC-4.2, AC-4.4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M4: LLM 循环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完整 4-Agent 管线集成（通过 API 订阅）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AC-4.3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M4: UI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P&amp;L 图表、DSL 编辑器、指标仪表盘、因子注册表表格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AC-4.1, AC-4.5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第三阶段：组合与执行（第7-9周）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560"/>
        <w:gridCol w:w="240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关键验收标准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M5: 组合引擎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信号加权分配、风险平价、约束实施、风控指标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AC-5.1, AC-5.2, AC-5.5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M6: 执行网关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订单状态机、门控集成、滑点模拟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AC-6.1, AC-6.2, AC-6.3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M5+M6: UI+集成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Treemap、风控仪表盘、订单簿、端到端模拟盘流程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AC-5.4, AC-6.4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第四阶段：审计与招印（第10-12周）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560"/>
        <w:gridCol w:w="240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关键验收标准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M7: 审计日志 + 安全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事件模型、SQLite 存储、决策链追踪、安全加固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AC-7.1–AC-7.4, AC-S.1–AC-S.4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前端迁移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React/Next.js 应用、全部 7 个模块标签页、暗色/亮色主题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全部 UI 验收标准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集成与 QA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端到端测试、性能基准、文档、部署脚本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AC-7.5, 全回归套件</w:t>
            </w:r>
          </w:p>
        </w:tc>
      </w:tr>
    </w:tbl>
    <w:p>
      <w:r>
        <w:br w:type="page"/>
      </w:r>
    </w:p>
    <w:p>
      <w:pPr>
        <w:pStyle w:val="Heading1"/>
      </w:pPr>
      <w:bookmarkStart w:name="bm_211" w:id="21"/>
      <w:r>
        <w:t xml:space="preserve">前端迁移：React/Next.js 架构</w:t>
      </w:r>
      <w:bookmarkEnd w:id="21"/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23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框架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数据源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关键库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布局外壳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App Router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CSS, shadcn/ui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侧边栏导航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+ 路由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/api/system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Lucide icons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系统总线监控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/api/system (10s 轮询)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Recharts, react-hot-toast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市场数据图表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/api/market (60s 轮询)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Charts (TradingView)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特征热力图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/api/market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D3.js 或 Nivo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推理仪表盘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/api/inference (30s 轮询)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Recharts, 自定义 gauge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Alpha 工作台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/api/alpha + WebSocket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Monaco Editor, Recharts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组合 Treemap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/api/portfolio (60s 轮询)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D3 treemap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订单簿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/api/orders (5s 轮询)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TanStack Table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审计日志流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/api/audit (SSE/10s 轮询)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react-window, JSON viewer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状态管理：</w:t>
      </w:r>
      <w:r>
        <w:t xml:space="preserve">React Query (TanStack Query) 管理服务器状态。无需 Redux。局部 UI 状态用 React Context。</w:t>
      </w:r>
    </w:p>
    <w:p>
      <w:pPr>
        <w:spacing w:after="120"/>
      </w:pPr>
      <w:r>
        <w:rPr>
          <w:b/>
          <w:bCs/>
        </w:rPr>
        <w:t xml:space="preserve">API 层：</w:t>
      </w:r>
      <w:r>
        <w:t xml:space="preserve">从 FastAPI 自动生成 OpenAPI schema，用 openapi-typescript-codegen 生成类型安全的前端客户端。</w:t>
      </w:r>
    </w:p>
    <w:p>
      <w:r>
        <w:br w:type="page"/>
      </w:r>
    </w:p>
    <w:p>
      <w:pPr>
        <w:pStyle w:val="Heading1"/>
      </w:pPr>
      <w:bookmarkStart w:name="bm_212" w:id="22"/>
      <w:r>
        <w:t xml:space="preserve">技术参考与开源基础</w:t>
      </w:r>
      <w:bookmarkEnd w:id="22"/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与 Alpha Core 的关系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核心借鉴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Qlib (Microsoft)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因子研究框架，Alpha158 特征集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因子 DSL 设计、IC/ICIR 评估方法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Zipline (Quantopian)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事件驱动回测引擎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 架构、DataPortal 抽象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Backtrader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回测库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Broker 模拟、订单类型、滑点模型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VectorBT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向量化回测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向量化组合指标、快速 P&amp;L 计算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OpenBB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开源 Bloomberg 终端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多数据源聚合、终端 UI 模式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学术参考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参考文献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在 Alpha Core 中的应用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Amihud (2002) 《Illiquidity and stock returns》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Amihud 非流动性比率，第二层特征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Roll (1984) 《Effective bid-ask spread》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Roll 估计器，第二层特征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Roncalli (2013) 《Risk Parity and Budgeting》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风险平价组合构建方法论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Kelly (1956) 《Information rate》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Kelly 准则仓位大小算法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López de Prado (2018) 《Advances in Financial ML》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三重屏障方法、金融交叉验证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bookmarkStart w:name="bm_213" w:id="23"/>
      <w:r>
        <w:t xml:space="preserve">附录：术语表</w:t>
      </w:r>
      <w:bookmarkEnd w:id="23"/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 (信息系数)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因子信号与后续收益的相关性。IC&gt;0.03 被认为有意义。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ICIR (信息比率)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IC均值/IC标准差。衡量信号一致性。ICIR&gt;0.5 为强信号。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HMM (隐马尔可夫模型)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用于市场体制检测的序列统计模型。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DSL (领域特定语言)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定义 Alpha 因子的自定义表达式语言。兼容 Qlib 语法。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OHLCV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开盘价、最高价、最低价、收盘价、成交量。标准 K 线数据格式。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 (风险价值)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给定置信水平下的最大预期损失。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(收益-无风险利率)/波动率。风险调整后收益。&gt;1.0 为良好。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Kelly 准则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基于赢率和赔率的最优仓位大小公式。实践中用半 Kelly 降低方差。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tabs>
        <w:tab w:val="right" w:pos="9360"/>
      </w:tabs>
    </w:pPr>
    <w:r>
      <w:rPr>
        <w:rFonts w:ascii="Arial" w:cs="Arial" w:eastAsia="Arial" w:hAnsi="Arial"/>
        <w:color w:val="999999"/>
        <w:sz w:val="16"/>
        <w:szCs w:val="16"/>
      </w:rPr>
      <w:t xml:space="preserve">Alpha Core — 系统建构蓝图</w:t>
    </w:r>
    <w:r>
      <w:rPr>
        <w:rFonts w:ascii="Arial" w:cs="Arial" w:eastAsia="Arial" w:hAnsi="Arial"/>
        <w:color w:val="999999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2026-04-11T17:25:34.435Z</dcterms:created>
  <dcterms:modified xsi:type="dcterms:W3CDTF">2026-04-11T17:25:34.435Z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