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D7C20A">
      <w:pPr>
        <w:spacing w:after="400"/>
      </w:pPr>
    </w:p>
    <w:p w14:paraId="3DCFBE6F">
      <w:pPr>
        <w:spacing w:after="100"/>
        <w:jc w:val="center"/>
      </w:pPr>
      <w:r>
        <w:rPr>
          <w:rFonts w:ascii="Arial" w:hAnsi="Arial" w:eastAsia="Arial" w:cs="Arial"/>
          <w:b/>
          <w:bCs/>
          <w:color w:val="1B4F72"/>
          <w:sz w:val="60"/>
          <w:szCs w:val="60"/>
        </w:rPr>
        <w:t>ALPHA CORE</w:t>
      </w:r>
    </w:p>
    <w:p w14:paraId="11F5DED2">
      <w:pPr>
        <w:spacing w:after="300"/>
        <w:jc w:val="center"/>
      </w:pPr>
      <w:r>
        <w:rPr>
          <w:rFonts w:ascii="Arial" w:hAnsi="Arial" w:eastAsia="Arial" w:cs="Arial"/>
          <w:color w:val="2E75B6"/>
          <w:sz w:val="32"/>
          <w:szCs w:val="32"/>
        </w:rPr>
        <w:t>量化研究与决策平台</w:t>
      </w:r>
    </w:p>
    <w:p w14:paraId="036FDA08">
      <w:pPr>
        <w:spacing w:after="100"/>
        <w:jc w:val="center"/>
      </w:pPr>
      <w:r>
        <w:rPr>
          <w:rFonts w:ascii="Arial" w:hAnsi="Arial" w:eastAsia="Arial" w:cs="Arial"/>
          <w:sz w:val="28"/>
          <w:szCs w:val="28"/>
        </w:rPr>
        <w:t>系统建构蓝图 v2.0</w:t>
      </w:r>
    </w:p>
    <w:p w14:paraId="55B4F9B0">
      <w:pPr>
        <w:spacing w:after="300"/>
      </w:pPr>
    </w:p>
    <w:p w14:paraId="512FB87E">
      <w:pPr>
        <w:jc w:val="center"/>
      </w:pPr>
      <w:r>
        <w:rPr>
          <w:rFonts w:ascii="Arial" w:hAnsi="Arial" w:eastAsia="Arial" w:cs="Arial"/>
          <w:sz w:val="24"/>
          <w:szCs w:val="24"/>
        </w:rPr>
        <w:t>2026年4月</w:t>
      </w:r>
    </w:p>
    <w:p w14:paraId="3D469990">
      <w:pPr>
        <w:spacing w:after="200"/>
      </w:pPr>
    </w:p>
    <w:p w14:paraId="21C1B1C3">
      <w:pPr>
        <w:jc w:val="center"/>
      </w:pPr>
      <w:r>
        <w:rPr>
          <w:rFonts w:ascii="Arial" w:hAnsi="Arial" w:eastAsia="Arial" w:cs="Arial"/>
          <w:sz w:val="20"/>
          <w:szCs w:val="20"/>
        </w:rPr>
        <w:t>密级：内部机密</w:t>
      </w:r>
    </w:p>
    <w:p w14:paraId="799D30B6">
      <w:pPr>
        <w:spacing w:after="100"/>
      </w:pPr>
    </w:p>
    <w:p w14:paraId="17DA461C">
      <w:pPr>
        <w:jc w:val="center"/>
      </w:pPr>
      <w:r>
        <w:rPr>
          <w:rFonts w:ascii="Arial" w:hAnsi="Arial" w:eastAsia="Arial" w:cs="Arial"/>
          <w:sz w:val="20"/>
          <w:szCs w:val="20"/>
        </w:rPr>
        <w:t>定位：全链路产品化（SaaS-Ready）</w:t>
      </w:r>
    </w:p>
    <w:p w14:paraId="4EF18597">
      <w:pPr>
        <w:spacing w:after="200"/>
      </w:pPr>
      <w:r>
        <w:rPr>
          <w:rFonts w:ascii="Arial" w:hAnsi="Arial" w:eastAsia="Arial" w:cs="Arial"/>
          <w:b/>
          <w:bCs/>
          <w:color w:val="1B4F72"/>
          <w:sz w:val="28"/>
          <w:szCs w:val="28"/>
        </w:rPr>
        <w:t>目录</w:t>
      </w:r>
    </w:p>
    <w:p w14:paraId="3084671C">
      <w:pPr>
        <w:tabs>
          <w:tab w:val="right" w:leader="dot" w:pos="9360"/>
        </w:tabs>
        <w:spacing w:after="80"/>
        <w:ind w:left="0"/>
      </w:pPr>
      <w:r>
        <w:fldChar w:fldCharType="begin"/>
      </w:r>
      <w:r>
        <w:instrText xml:space="preserve"> HYPERLINK \l "bm_500" </w:instrText>
      </w:r>
      <w:r>
        <w:fldChar w:fldCharType="separate"/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t>执行摘要</w:t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  <w:r>
        <w:rPr>
          <w:rFonts w:ascii="Arial" w:hAnsi="Arial" w:eastAsia="Arial" w:cs="Arial"/>
          <w:sz w:val="22"/>
          <w:szCs w:val="22"/>
        </w:rPr>
        <w:ptab w:relativeTo="margin" w:alignment="right" w:leader="dot"/>
      </w:r>
    </w:p>
    <w:p w14:paraId="4D73296B">
      <w:pPr>
        <w:tabs>
          <w:tab w:val="right" w:leader="dot" w:pos="9360"/>
        </w:tabs>
        <w:spacing w:after="80"/>
        <w:ind w:left="0"/>
      </w:pPr>
      <w:r>
        <w:fldChar w:fldCharType="begin"/>
      </w:r>
      <w:r>
        <w:instrText xml:space="preserve"> HYPERLINK \l "bm_501" </w:instrText>
      </w:r>
      <w:r>
        <w:fldChar w:fldCharType="separate"/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t>网络安全架构</w:t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  <w:r>
        <w:rPr>
          <w:rFonts w:ascii="Arial" w:hAnsi="Arial" w:eastAsia="Arial" w:cs="Arial"/>
          <w:sz w:val="22"/>
          <w:szCs w:val="22"/>
        </w:rPr>
        <w:ptab w:relativeTo="margin" w:alignment="right" w:leader="dot"/>
      </w:r>
    </w:p>
    <w:p w14:paraId="457EFA59">
      <w:pPr>
        <w:tabs>
          <w:tab w:val="right" w:leader="dot" w:pos="9360"/>
        </w:tabs>
        <w:spacing w:after="80"/>
        <w:ind w:left="0"/>
      </w:pPr>
      <w:r>
        <w:fldChar w:fldCharType="begin"/>
      </w:r>
      <w:r>
        <w:instrText xml:space="preserve"> HYPERLINK \l "bm_502" </w:instrText>
      </w:r>
      <w:r>
        <w:fldChar w:fldCharType="separate"/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t>LLM 集成架构</w:t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  <w:r>
        <w:rPr>
          <w:rFonts w:ascii="Arial" w:hAnsi="Arial" w:eastAsia="Arial" w:cs="Arial"/>
          <w:sz w:val="22"/>
          <w:szCs w:val="22"/>
        </w:rPr>
        <w:ptab w:relativeTo="margin" w:alignment="right" w:leader="dot"/>
      </w:r>
    </w:p>
    <w:p w14:paraId="237D97D8">
      <w:pPr>
        <w:tabs>
          <w:tab w:val="right" w:leader="dot" w:pos="9360"/>
        </w:tabs>
        <w:spacing w:after="80"/>
        <w:ind w:left="0"/>
      </w:pPr>
      <w:r>
        <w:fldChar w:fldCharType="begin"/>
      </w:r>
      <w:r>
        <w:instrText xml:space="preserve"> HYPERLINK \l "bm_503" </w:instrText>
      </w:r>
      <w:r>
        <w:fldChar w:fldCharType="separate"/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t>数据源策略</w:t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  <w:r>
        <w:rPr>
          <w:rFonts w:ascii="Arial" w:hAnsi="Arial" w:eastAsia="Arial" w:cs="Arial"/>
          <w:sz w:val="22"/>
          <w:szCs w:val="22"/>
        </w:rPr>
        <w:ptab w:relativeTo="margin" w:alignment="right" w:leader="dot"/>
      </w:r>
    </w:p>
    <w:p w14:paraId="7B0BEB79">
      <w:pPr>
        <w:tabs>
          <w:tab w:val="right" w:leader="dot" w:pos="9360"/>
        </w:tabs>
        <w:spacing w:after="80"/>
        <w:ind w:left="0"/>
      </w:pPr>
      <w:r>
        <w:fldChar w:fldCharType="begin"/>
      </w:r>
      <w:r>
        <w:instrText xml:space="preserve"> HYPERLINK \l "bm_504" </w:instrText>
      </w:r>
      <w:r>
        <w:fldChar w:fldCharType="separate"/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t>模块1：系统总线监控</w:t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  <w:r>
        <w:rPr>
          <w:rFonts w:ascii="Arial" w:hAnsi="Arial" w:eastAsia="Arial" w:cs="Arial"/>
          <w:sz w:val="22"/>
          <w:szCs w:val="22"/>
        </w:rPr>
        <w:ptab w:relativeTo="margin" w:alignment="right" w:leader="dot"/>
      </w:r>
    </w:p>
    <w:p w14:paraId="64B49D35">
      <w:pPr>
        <w:tabs>
          <w:tab w:val="right" w:leader="dot" w:pos="9360"/>
        </w:tabs>
        <w:spacing w:after="80"/>
        <w:ind w:left="0"/>
      </w:pPr>
      <w:r>
        <w:fldChar w:fldCharType="begin"/>
      </w:r>
      <w:r>
        <w:instrText xml:space="preserve"> HYPERLINK \l "bm_505" </w:instrText>
      </w:r>
      <w:r>
        <w:fldChar w:fldCharType="separate"/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t>模块2：行情数据与特征工程</w:t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  <w:r>
        <w:rPr>
          <w:rFonts w:ascii="Arial" w:hAnsi="Arial" w:eastAsia="Arial" w:cs="Arial"/>
          <w:sz w:val="22"/>
          <w:szCs w:val="22"/>
        </w:rPr>
        <w:ptab w:relativeTo="margin" w:alignment="right" w:leader="dot"/>
      </w:r>
    </w:p>
    <w:p w14:paraId="45DD469A">
      <w:pPr>
        <w:tabs>
          <w:tab w:val="right" w:leader="dot" w:pos="9360"/>
        </w:tabs>
        <w:spacing w:after="80"/>
        <w:ind w:left="0"/>
      </w:pPr>
      <w:r>
        <w:fldChar w:fldCharType="begin"/>
      </w:r>
      <w:r>
        <w:instrText xml:space="preserve"> HYPERLINK \l "bm_506" </w:instrText>
      </w:r>
      <w:r>
        <w:fldChar w:fldCharType="separate"/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t>模块3：模型推理与状态</w:t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  <w:r>
        <w:rPr>
          <w:rFonts w:ascii="Arial" w:hAnsi="Arial" w:eastAsia="Arial" w:cs="Arial"/>
          <w:sz w:val="22"/>
          <w:szCs w:val="22"/>
        </w:rPr>
        <w:ptab w:relativeTo="margin" w:alignment="right" w:leader="dot"/>
      </w:r>
    </w:p>
    <w:p w14:paraId="74F78526">
      <w:pPr>
        <w:tabs>
          <w:tab w:val="right" w:leader="dot" w:pos="9360"/>
        </w:tabs>
        <w:spacing w:after="80"/>
        <w:ind w:left="0"/>
      </w:pPr>
      <w:r>
        <w:fldChar w:fldCharType="begin"/>
      </w:r>
      <w:r>
        <w:instrText xml:space="preserve"> HYPERLINK \l "bm_507" </w:instrText>
      </w:r>
      <w:r>
        <w:fldChar w:fldCharType="separate"/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t>模块4：Alpha 策略实验室</w:t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  <w:r>
        <w:rPr>
          <w:rFonts w:ascii="Arial" w:hAnsi="Arial" w:eastAsia="Arial" w:cs="Arial"/>
          <w:sz w:val="22"/>
          <w:szCs w:val="22"/>
        </w:rPr>
        <w:ptab w:relativeTo="margin" w:alignment="right" w:leader="dot"/>
      </w:r>
    </w:p>
    <w:p w14:paraId="2EB26A34">
      <w:pPr>
        <w:tabs>
          <w:tab w:val="right" w:leader="dot" w:pos="9360"/>
        </w:tabs>
        <w:spacing w:after="80"/>
        <w:ind w:left="0"/>
      </w:pPr>
      <w:r>
        <w:fldChar w:fldCharType="begin"/>
      </w:r>
      <w:r>
        <w:instrText xml:space="preserve"> HYPERLINK \l "bm_508" </w:instrText>
      </w:r>
      <w:r>
        <w:fldChar w:fldCharType="separate"/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t>模块5：组合与风控引擎</w:t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  <w:r>
        <w:rPr>
          <w:rFonts w:ascii="Arial" w:hAnsi="Arial" w:eastAsia="Arial" w:cs="Arial"/>
          <w:sz w:val="22"/>
          <w:szCs w:val="22"/>
        </w:rPr>
        <w:ptab w:relativeTo="margin" w:alignment="right" w:leader="dot"/>
      </w:r>
    </w:p>
    <w:p w14:paraId="49BEBFC3">
      <w:pPr>
        <w:tabs>
          <w:tab w:val="right" w:leader="dot" w:pos="9360"/>
        </w:tabs>
        <w:spacing w:after="80"/>
        <w:ind w:left="0"/>
      </w:pPr>
      <w:r>
        <w:fldChar w:fldCharType="begin"/>
      </w:r>
      <w:r>
        <w:instrText xml:space="preserve"> HYPERLINK \l "bm_509" </w:instrText>
      </w:r>
      <w:r>
        <w:fldChar w:fldCharType="separate"/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t>模块6：订单执行网关</w:t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  <w:r>
        <w:rPr>
          <w:rFonts w:ascii="Arial" w:hAnsi="Arial" w:eastAsia="Arial" w:cs="Arial"/>
          <w:sz w:val="22"/>
          <w:szCs w:val="22"/>
        </w:rPr>
        <w:ptab w:relativeTo="margin" w:alignment="right" w:leader="dot"/>
      </w:r>
    </w:p>
    <w:p w14:paraId="050542CB">
      <w:pPr>
        <w:tabs>
          <w:tab w:val="right" w:leader="dot" w:pos="9360"/>
        </w:tabs>
        <w:spacing w:after="80"/>
        <w:ind w:left="0"/>
      </w:pPr>
      <w:r>
        <w:fldChar w:fldCharType="begin"/>
      </w:r>
      <w:r>
        <w:instrText xml:space="preserve"> HYPERLINK \l "bm_510" </w:instrText>
      </w:r>
      <w:r>
        <w:fldChar w:fldCharType="separate"/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t>模块7：交易审计日志</w:t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  <w:r>
        <w:rPr>
          <w:rFonts w:ascii="Arial" w:hAnsi="Arial" w:eastAsia="Arial" w:cs="Arial"/>
          <w:sz w:val="22"/>
          <w:szCs w:val="22"/>
        </w:rPr>
        <w:ptab w:relativeTo="margin" w:alignment="right" w:leader="dot"/>
      </w:r>
    </w:p>
    <w:p w14:paraId="7ABA78AF">
      <w:pPr>
        <w:tabs>
          <w:tab w:val="right" w:leader="dot" w:pos="9360"/>
        </w:tabs>
        <w:spacing w:after="80"/>
        <w:ind w:left="0"/>
      </w:pPr>
      <w:r>
        <w:fldChar w:fldCharType="begin"/>
      </w:r>
      <w:r>
        <w:instrText xml:space="preserve"> HYPERLINK \l "bm_511" </w:instrText>
      </w:r>
      <w:r>
        <w:fldChar w:fldCharType="separate"/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t>前端迁移：React/Next.js</w:t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  <w:r>
        <w:rPr>
          <w:rFonts w:ascii="Arial" w:hAnsi="Arial" w:eastAsia="Arial" w:cs="Arial"/>
          <w:sz w:val="22"/>
          <w:szCs w:val="22"/>
        </w:rPr>
        <w:ptab w:relativeTo="margin" w:alignment="right" w:leader="dot"/>
      </w:r>
    </w:p>
    <w:p w14:paraId="5EF66370">
      <w:pPr>
        <w:tabs>
          <w:tab w:val="right" w:leader="dot" w:pos="9360"/>
        </w:tabs>
        <w:spacing w:after="80"/>
        <w:ind w:left="0"/>
      </w:pPr>
      <w:r>
        <w:fldChar w:fldCharType="begin"/>
      </w:r>
      <w:r>
        <w:instrText xml:space="preserve"> HYPERLINK \l "bm_512" </w:instrText>
      </w:r>
      <w:r>
        <w:fldChar w:fldCharType="separate"/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t>分阶段交付计划</w:t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  <w:r>
        <w:rPr>
          <w:rFonts w:ascii="Arial" w:hAnsi="Arial" w:eastAsia="Arial" w:cs="Arial"/>
          <w:sz w:val="22"/>
          <w:szCs w:val="22"/>
        </w:rPr>
        <w:ptab w:relativeTo="margin" w:alignment="right" w:leader="dot"/>
      </w:r>
    </w:p>
    <w:p w14:paraId="7A8C0E53">
      <w:pPr>
        <w:tabs>
          <w:tab w:val="right" w:leader="dot" w:pos="9360"/>
        </w:tabs>
        <w:spacing w:after="80"/>
        <w:ind w:left="0"/>
      </w:pPr>
      <w:r>
        <w:fldChar w:fldCharType="begin"/>
      </w:r>
      <w:r>
        <w:instrText xml:space="preserve"> HYPERLINK \l "bm_513" </w:instrText>
      </w:r>
      <w:r>
        <w:fldChar w:fldCharType="separate"/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t>技术参考</w:t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  <w:r>
        <w:rPr>
          <w:rFonts w:ascii="Arial" w:hAnsi="Arial" w:eastAsia="Arial" w:cs="Arial"/>
          <w:sz w:val="22"/>
          <w:szCs w:val="22"/>
        </w:rPr>
        <w:ptab w:relativeTo="margin" w:alignment="right" w:leader="dot"/>
      </w:r>
    </w:p>
    <w:p w14:paraId="766A1F16">
      <w:pPr>
        <w:tabs>
          <w:tab w:val="right" w:leader="dot" w:pos="9360"/>
        </w:tabs>
        <w:spacing w:after="80"/>
        <w:ind w:left="0"/>
      </w:pPr>
      <w:r>
        <w:fldChar w:fldCharType="begin"/>
      </w:r>
      <w:r>
        <w:instrText xml:space="preserve"> HYPERLINK \l "bm_514" </w:instrText>
      </w:r>
      <w:r>
        <w:fldChar w:fldCharType="separate"/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t>附录：术语表</w:t>
      </w:r>
      <w:r>
        <w:rPr>
          <w:rStyle w:val="14"/>
          <w:rFonts w:ascii="Arial" w:hAnsi="Arial" w:eastAsia="Arial" w:cs="Arial"/>
          <w:color w:val="2E75B6"/>
          <w:sz w:val="22"/>
          <w:szCs w:val="22"/>
          <w:u w:val="single"/>
        </w:rPr>
        <w:fldChar w:fldCharType="end"/>
      </w:r>
      <w:bookmarkStart w:id="106" w:name="_GoBack"/>
      <w:bookmarkEnd w:id="106"/>
      <w:r>
        <w:rPr>
          <w:rFonts w:ascii="Arial" w:hAnsi="Arial" w:eastAsia="Arial" w:cs="Arial"/>
          <w:sz w:val="22"/>
          <w:szCs w:val="22"/>
        </w:rPr>
        <w:ptab w:relativeTo="margin" w:alignment="right" w:leader="dot"/>
      </w:r>
    </w:p>
    <w:p w14:paraId="305C6124">
      <w:pPr>
        <w:pStyle w:val="2"/>
        <w:spacing w:before="200" w:after="120"/>
      </w:pPr>
      <w:bookmarkStart w:id="0" w:name="bm_500"/>
      <w:r>
        <w:t>执行摘要</w:t>
      </w:r>
      <w:bookmarkEnd w:id="0"/>
    </w:p>
    <w:p w14:paraId="662647C8">
      <w:pPr>
        <w:jc w:val="center"/>
      </w:pPr>
      <w:r>
        <w:drawing>
          <wp:inline distT="0" distB="0" distL="0" distR="0">
            <wp:extent cx="6477000" cy="3238500"/>
            <wp:effectExtent l="0" t="0" r="0" b="0"/>
            <wp:docPr id="1" name="pipeline_overview" descr="System architecture and data flow diagram showing all 7 modules" title="Alpha Core Pipeline 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peline_overview" descr="System architecture and data flow diagram showing all 7 modules" title="Alpha Core Pipeline Overview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2FE2">
      <w:pPr>
        <w:spacing w:after="150"/>
      </w:pPr>
    </w:p>
    <w:p w14:paraId="1CE9F195">
      <w:pPr>
        <w:spacing w:after="120"/>
      </w:pPr>
      <w:r>
        <w:rPr>
          <w:b/>
          <w:bCs/>
        </w:rPr>
        <w:t>Alpha Core v2.0</w:t>
      </w:r>
      <w:r>
        <w:t xml:space="preserve"> 是一个全栈量化研究和组合决策平台，专为机构股票交易而设计。本文档规定了完整的技术蓝图，包括详细的UI组件规格、用户体验设计、数据契约和实现要求。</w:t>
      </w:r>
    </w:p>
    <w:p w14:paraId="0C4D5518">
      <w:pPr>
        <w:spacing w:after="120"/>
      </w:pPr>
      <w:r>
        <w:rPr>
          <w:b/>
          <w:bCs/>
        </w:rPr>
        <w:t>v2.0关键改进：</w:t>
      </w:r>
    </w:p>
    <w:p w14:paraId="36ECE183">
      <w:pPr>
        <w:pStyle w:val="16"/>
        <w:numPr>
          <w:ilvl w:val="0"/>
          <w:numId w:val="1"/>
        </w:numPr>
        <w:spacing w:after="60"/>
      </w:pPr>
      <w:r>
        <w:t>增强的组件规格说明，包含视觉设计状态细节</w:t>
      </w:r>
    </w:p>
    <w:p w14:paraId="1059A3C4">
      <w:pPr>
        <w:pStyle w:val="16"/>
        <w:numPr>
          <w:ilvl w:val="0"/>
          <w:numId w:val="1"/>
        </w:numPr>
        <w:spacing w:after="60"/>
      </w:pPr>
      <w:r>
        <w:t>所有7个模块的线框图，包含按比例调整的图像</w:t>
      </w:r>
    </w:p>
    <w:p w14:paraId="6D5D2CB7">
      <w:pPr>
        <w:pStyle w:val="16"/>
        <w:numPr>
          <w:ilvl w:val="0"/>
          <w:numId w:val="1"/>
        </w:numPr>
        <w:spacing w:after="60"/>
      </w:pPr>
      <w:r>
        <w:t>用户心理和交互流程文档</w:t>
      </w:r>
    </w:p>
    <w:p w14:paraId="45DDE4B0">
      <w:pPr>
        <w:pStyle w:val="16"/>
        <w:numPr>
          <w:ilvl w:val="0"/>
          <w:numId w:val="1"/>
        </w:numPr>
        <w:spacing w:after="60"/>
      </w:pPr>
      <w:r>
        <w:t>JSON架构格式的完整API数据契约</w:t>
      </w:r>
    </w:p>
    <w:p w14:paraId="3F17F9FC">
      <w:pPr>
        <w:pStyle w:val="16"/>
        <w:numPr>
          <w:ilvl w:val="0"/>
          <w:numId w:val="1"/>
        </w:numPr>
        <w:spacing w:after="60"/>
      </w:pPr>
      <w:r>
        <w:t>全面的边界场景和错误处理规格</w:t>
      </w:r>
    </w:p>
    <w:p w14:paraId="2B55850E">
      <w:pPr>
        <w:pStyle w:val="16"/>
        <w:numPr>
          <w:ilvl w:val="0"/>
          <w:numId w:val="1"/>
        </w:numPr>
        <w:spacing w:after="60"/>
      </w:pPr>
      <w:r>
        <w:t>带书签链接的手动目录</w:t>
      </w:r>
    </w:p>
    <w:p w14:paraId="496B6FE1">
      <w:pPr>
        <w:spacing w:after="200"/>
      </w:pPr>
    </w:p>
    <w:p w14:paraId="023A3DC4">
      <w:pPr>
        <w:pStyle w:val="3"/>
        <w:spacing w:before="200" w:after="120"/>
      </w:pPr>
      <w:bookmarkStart w:id="1" w:name="bm_501"/>
      <w:r>
        <w:t>平台概览</w:t>
      </w:r>
      <w:bookmarkEnd w:id="1"/>
    </w:p>
    <w:p w14:paraId="682BDEF3">
      <w:pPr>
        <w:spacing w:after="120"/>
      </w:pPr>
      <w:r>
        <w:t>Alpha Core 集成了七个相互连接的模块，涵盖市场数据摄取、机器学习推理、策略研究、组合构建和执行。该系统优先考虑实时性能（每个模块&lt;100ms延迟）、通过决策审计跟踪实现透明度，以及强大的错误处理。</w:t>
      </w:r>
    </w:p>
    <w:p w14:paraId="13258F79">
      <w:pPr>
        <w:spacing w:after="120"/>
      </w:pPr>
      <w:r>
        <w:t>该平台使用微服务架构，包括FastAPI后端、用于市场数据的实时WebSocket流、用于本地状态的SQLite，并集成LLM代理以进行研究增强和决策论证。</w:t>
      </w:r>
    </w:p>
    <w:p w14:paraId="772BFE25">
      <w:pPr>
        <w:pStyle w:val="3"/>
        <w:spacing w:before="200" w:after="120"/>
      </w:pPr>
      <w:bookmarkStart w:id="2" w:name="bm_502"/>
      <w:r>
        <w:t>文档范围</w:t>
      </w:r>
      <w:bookmarkEnd w:id="2"/>
    </w:p>
    <w:p w14:paraId="6E866330">
      <w:pPr>
        <w:spacing w:after="120"/>
      </w:pPr>
      <w:r>
        <w:t>本PRD涵盖了跨7个模块的完整用户界面系统架构，包括：</w:t>
      </w:r>
    </w:p>
    <w:p w14:paraId="13CC8E24">
      <w:pPr>
        <w:pStyle w:val="16"/>
        <w:numPr>
          <w:ilvl w:val="0"/>
          <w:numId w:val="1"/>
        </w:numPr>
        <w:spacing w:after="60"/>
      </w:pPr>
      <w:r>
        <w:t>模块1：系统总线监控 — 实时服务健康状态</w:t>
      </w:r>
    </w:p>
    <w:p w14:paraId="716AF883">
      <w:pPr>
        <w:pStyle w:val="16"/>
        <w:numPr>
          <w:ilvl w:val="0"/>
          <w:numId w:val="1"/>
        </w:numPr>
        <w:spacing w:after="60"/>
      </w:pPr>
      <w:r>
        <w:t>模块2：行情数据与特征工程 — 市场数据和特征计算</w:t>
      </w:r>
    </w:p>
    <w:p w14:paraId="20D39B42">
      <w:pPr>
        <w:pStyle w:val="16"/>
        <w:numPr>
          <w:ilvl w:val="0"/>
          <w:numId w:val="1"/>
        </w:numPr>
        <w:spacing w:after="60"/>
      </w:pPr>
      <w:r>
        <w:t>模块3：模型推理与状态 — 制度检测和方向预测</w:t>
      </w:r>
    </w:p>
    <w:p w14:paraId="3F5B93F5">
      <w:pPr>
        <w:pStyle w:val="16"/>
        <w:numPr>
          <w:ilvl w:val="0"/>
          <w:numId w:val="1"/>
        </w:numPr>
        <w:spacing w:after="60"/>
      </w:pPr>
      <w:r>
        <w:t>模块4：Alpha 策略实验室 — 策略研究、DSL编辑器和回测</w:t>
      </w:r>
    </w:p>
    <w:p w14:paraId="336D3B83">
      <w:pPr>
        <w:pStyle w:val="16"/>
        <w:numPr>
          <w:ilvl w:val="0"/>
          <w:numId w:val="1"/>
        </w:numPr>
        <w:spacing w:after="60"/>
      </w:pPr>
      <w:r>
        <w:t>模块5：组合与风控引擎 — 头寸构建和风险分析</w:t>
      </w:r>
    </w:p>
    <w:p w14:paraId="26995FB5">
      <w:pPr>
        <w:pStyle w:val="16"/>
        <w:numPr>
          <w:ilvl w:val="0"/>
          <w:numId w:val="1"/>
        </w:numPr>
        <w:spacing w:after="60"/>
      </w:pPr>
      <w:r>
        <w:t>模块6：订单执行网关 — 多门槛订单决策</w:t>
      </w:r>
    </w:p>
    <w:p w14:paraId="553EC983">
      <w:pPr>
        <w:pStyle w:val="16"/>
        <w:numPr>
          <w:ilvl w:val="0"/>
          <w:numId w:val="1"/>
        </w:numPr>
        <w:spacing w:after="60"/>
      </w:pPr>
      <w:r>
        <w:t>模块7：交易审计日志 — 事件日志记录和合规追踪</w:t>
      </w:r>
    </w:p>
    <w:p w14:paraId="2E4B3BBF">
      <w:pPr>
        <w:pStyle w:val="2"/>
        <w:spacing w:before="200" w:after="120"/>
      </w:pPr>
      <w:bookmarkStart w:id="3" w:name="bm_503"/>
      <w:r>
        <w:t>网络安全架构</w:t>
      </w:r>
      <w:bookmarkEnd w:id="3"/>
    </w:p>
    <w:p w14:paraId="455E39FB">
      <w:pPr>
        <w:spacing w:after="120"/>
      </w:pPr>
      <w:r>
        <w:t>Alpha Core 采用纵深防御安全模型运作。FastAPI后端运行在反向代理后面，所有端点都通过OAuth2/JWT身份验证。WebSocket连接在流初始化前通过令牌交换进行身份验证。</w:t>
      </w:r>
    </w:p>
    <w:p w14:paraId="1FE95C62">
      <w:pPr>
        <w:pStyle w:val="3"/>
        <w:spacing w:before="200" w:after="120"/>
      </w:pPr>
      <w:bookmarkStart w:id="4" w:name="bm_504"/>
      <w:r>
        <w:t>安全层</w:t>
      </w:r>
      <w:bookmarkEnd w:id="4"/>
    </w:p>
    <w:p w14:paraId="6D5ECE3A">
      <w:pPr>
        <w:pStyle w:val="16"/>
        <w:numPr>
          <w:ilvl w:val="0"/>
          <w:numId w:val="1"/>
        </w:numPr>
        <w:spacing w:after="60"/>
      </w:pPr>
      <w:r>
        <w:t>API身份验证：在每个HTTP请求上验证OAuth2 Bearer令牌</w:t>
      </w:r>
    </w:p>
    <w:p w14:paraId="12DCB255">
      <w:pPr>
        <w:pStyle w:val="16"/>
        <w:numPr>
          <w:ilvl w:val="0"/>
          <w:numId w:val="1"/>
        </w:numPr>
        <w:spacing w:after="60"/>
      </w:pPr>
      <w:r>
        <w:t>WebSocket安全性：令牌交换+每个连接的会话绑定</w:t>
      </w:r>
    </w:p>
    <w:p w14:paraId="253EAE17">
      <w:pPr>
        <w:pStyle w:val="16"/>
        <w:numPr>
          <w:ilvl w:val="0"/>
          <w:numId w:val="1"/>
        </w:numPr>
        <w:spacing w:after="60"/>
      </w:pPr>
      <w:r>
        <w:t>数据加密：传输中使用TLS 1.3；对敏感本地状态使用AES-256</w:t>
      </w:r>
    </w:p>
    <w:p w14:paraId="3A26DE77">
      <w:pPr>
        <w:pStyle w:val="16"/>
        <w:numPr>
          <w:ilvl w:val="0"/>
          <w:numId w:val="1"/>
        </w:numPr>
        <w:spacing w:after="60"/>
      </w:pPr>
      <w:r>
        <w:t>速率限制：令牌桶算法，每个API密钥1000个请求/分钟</w:t>
      </w:r>
    </w:p>
    <w:p w14:paraId="501AB41E">
      <w:pPr>
        <w:pStyle w:val="16"/>
        <w:numPr>
          <w:ilvl w:val="0"/>
          <w:numId w:val="1"/>
        </w:numPr>
        <w:spacing w:after="60"/>
      </w:pPr>
      <w:r>
        <w:t>审计日志：所有数据变更记录，包括用户ID、时间戳和有效载荷哈希</w:t>
      </w:r>
    </w:p>
    <w:p w14:paraId="2D21E794">
      <w:pPr>
        <w:spacing w:after="150"/>
      </w:pPr>
    </w:p>
    <w:p w14:paraId="4099E9C4">
      <w:pPr>
        <w:pStyle w:val="3"/>
        <w:spacing w:before="200" w:after="120"/>
      </w:pPr>
      <w:bookmarkStart w:id="5" w:name="bm_505"/>
      <w:r>
        <w:t>威胁模型</w:t>
      </w:r>
      <w:bookmarkEnd w:id="5"/>
    </w:p>
    <w:p w14:paraId="346DC553">
      <w:pPr>
        <w:spacing w:after="120"/>
      </w:pPr>
      <w:r>
        <w:t>对手可能会尝试：</w:t>
      </w:r>
    </w:p>
    <w:p w14:paraId="5B3269E2">
      <w:pPr>
        <w:pStyle w:val="16"/>
        <w:numPr>
          <w:ilvl w:val="0"/>
          <w:numId w:val="1"/>
        </w:numPr>
        <w:spacing w:after="60"/>
      </w:pPr>
      <w:r>
        <w:t>未授权API访问 → 通过OAuth2+速率限制缓解</w:t>
      </w:r>
    </w:p>
    <w:p w14:paraId="2D1C1FEF">
      <w:pPr>
        <w:pStyle w:val="16"/>
        <w:numPr>
          <w:ilvl w:val="0"/>
          <w:numId w:val="1"/>
        </w:numPr>
        <w:spacing w:after="60"/>
      </w:pPr>
      <w:r>
        <w:t>通过策略泄露进行投资组合领先交易 → 通过审计日志缓解</w:t>
      </w:r>
    </w:p>
    <w:p w14:paraId="3D18A410">
      <w:pPr>
        <w:pStyle w:val="16"/>
        <w:numPr>
          <w:ilvl w:val="0"/>
          <w:numId w:val="1"/>
        </w:numPr>
        <w:spacing w:after="60"/>
      </w:pPr>
      <w:r>
        <w:t>模型推理窃听 → 通过TLS+会话隔离缓解</w:t>
      </w:r>
    </w:p>
    <w:p w14:paraId="028572FA">
      <w:pPr>
        <w:pStyle w:val="16"/>
        <w:numPr>
          <w:ilvl w:val="0"/>
          <w:numId w:val="1"/>
        </w:numPr>
        <w:spacing w:after="60"/>
      </w:pPr>
      <w:r>
        <w:t>通过WebSocket注入订单 → 通过令牌验证+订单签名缓解</w:t>
      </w:r>
    </w:p>
    <w:p w14:paraId="570C28AE">
      <w:pPr>
        <w:pStyle w:val="2"/>
        <w:spacing w:before="200" w:after="120"/>
      </w:pPr>
      <w:bookmarkStart w:id="6" w:name="bm_506"/>
      <w:r>
        <w:t>LLM 集成架构</w:t>
      </w:r>
      <w:bookmarkEnd w:id="6"/>
    </w:p>
    <w:p w14:paraId="651A06FA">
      <w:pPr>
        <w:spacing w:after="120"/>
      </w:pPr>
      <w:r>
        <w:t>Alpha Core 嵌入了四个LLM代理，用于研究增强和决策透明度。每个代理同步集成到模块管道中，具有严格的延迟预算和回退行为。</w:t>
      </w:r>
    </w:p>
    <w:p w14:paraId="1FFB1AC1">
      <w:pPr>
        <w:pStyle w:val="3"/>
        <w:spacing w:before="200" w:after="120"/>
      </w:pPr>
      <w:bookmarkStart w:id="7" w:name="bm_507"/>
      <w:r>
        <w:t>代理1：因子生成器（Alpha 策略实验室）</w:t>
      </w:r>
      <w:bookmarkEnd w:id="7"/>
    </w:p>
    <w:p w14:paraId="06F20646">
      <w:pPr>
        <w:spacing w:after="120"/>
      </w:pPr>
      <w:r>
        <w:t>接收用户DSL并通过少量示例提示生成候选因子。输出：Python AST树+解释+风险警告。</w:t>
      </w:r>
    </w:p>
    <w:p w14:paraId="0BE4E336">
      <w:pPr>
        <w:pStyle w:val="16"/>
        <w:numPr>
          <w:ilvl w:val="0"/>
          <w:numId w:val="1"/>
        </w:numPr>
        <w:spacing w:after="60"/>
      </w:pPr>
      <w:r>
        <w:t>延迟SLA：2秒（超时回退到解析错误）</w:t>
      </w:r>
    </w:p>
    <w:p w14:paraId="3D1237AD">
      <w:pPr>
        <w:pStyle w:val="16"/>
        <w:numPr>
          <w:ilvl w:val="0"/>
          <w:numId w:val="1"/>
        </w:numPr>
        <w:spacing w:after="60"/>
      </w:pPr>
      <w:r>
        <w:t>模型：GPT-4（如果不可用，回退到gpt-3.5-turbo）</w:t>
      </w:r>
    </w:p>
    <w:p w14:paraId="1C1F61E8">
      <w:pPr>
        <w:pStyle w:val="16"/>
        <w:numPr>
          <w:ilvl w:val="0"/>
          <w:numId w:val="1"/>
        </w:numPr>
        <w:spacing w:after="60"/>
      </w:pPr>
      <w:r>
        <w:t>提示模板：少量示例因子+风格指南</w:t>
      </w:r>
    </w:p>
    <w:p w14:paraId="10BA6163">
      <w:pPr>
        <w:spacing w:after="150"/>
      </w:pPr>
    </w:p>
    <w:p w14:paraId="61B935CF">
      <w:pPr>
        <w:pStyle w:val="3"/>
        <w:spacing w:before="200" w:after="120"/>
      </w:pPr>
      <w:bookmarkStart w:id="8" w:name="bm_508"/>
      <w:r>
        <w:t>代理2：研究摘要（审计日志）</w:t>
      </w:r>
      <w:bookmarkEnd w:id="8"/>
    </w:p>
    <w:p w14:paraId="3C2F127C">
      <w:pPr>
        <w:spacing w:after="120"/>
      </w:pPr>
      <w:r>
        <w:t>通过分析完整的决策链（制度、预测、风险评估、执行结果）为交易决策生成人类可读的解释。</w:t>
      </w:r>
    </w:p>
    <w:p w14:paraId="029FDA73">
      <w:pPr>
        <w:pStyle w:val="16"/>
        <w:numPr>
          <w:ilvl w:val="0"/>
          <w:numId w:val="1"/>
        </w:numPr>
        <w:spacing w:after="60"/>
      </w:pPr>
      <w:r>
        <w:t>延迟SLA：1.5秒（超时显示原始JSON）</w:t>
      </w:r>
    </w:p>
    <w:p w14:paraId="3BA7C227">
      <w:pPr>
        <w:pStyle w:val="16"/>
        <w:numPr>
          <w:ilvl w:val="0"/>
          <w:numId w:val="1"/>
        </w:numPr>
        <w:spacing w:after="60"/>
      </w:pPr>
      <w:r>
        <w:t>上下文窗口：~8k令牌（链中最后20个事件）</w:t>
      </w:r>
    </w:p>
    <w:p w14:paraId="204716CF">
      <w:pPr>
        <w:spacing w:after="150"/>
      </w:pPr>
    </w:p>
    <w:p w14:paraId="0852CC94">
      <w:pPr>
        <w:pStyle w:val="3"/>
        <w:spacing w:before="200" w:after="120"/>
      </w:pPr>
      <w:bookmarkStart w:id="9" w:name="bm_509"/>
      <w:r>
        <w:t>代理3：异常检测器（系统监控）</w:t>
      </w:r>
      <w:bookmarkEnd w:id="9"/>
    </w:p>
    <w:p w14:paraId="72669FA4">
      <w:pPr>
        <w:spacing w:after="120"/>
      </w:pPr>
      <w:r>
        <w:t>分析服务健康时间序列以检测异常模式（例如延迟峰值、吞吐量崖）。建议缓解步骤。</w:t>
      </w:r>
    </w:p>
    <w:p w14:paraId="237BF33A">
      <w:pPr>
        <w:pStyle w:val="16"/>
        <w:numPr>
          <w:ilvl w:val="0"/>
          <w:numId w:val="1"/>
        </w:numPr>
        <w:spacing w:after="60"/>
      </w:pPr>
      <w:r>
        <w:t>延迟SLA：3秒（异步运行，用户可以忽略）</w:t>
      </w:r>
    </w:p>
    <w:p w14:paraId="278332A2">
      <w:pPr>
        <w:pStyle w:val="16"/>
        <w:numPr>
          <w:ilvl w:val="0"/>
          <w:numId w:val="1"/>
        </w:numPr>
        <w:spacing w:after="60"/>
      </w:pPr>
      <w:r>
        <w:t>输入：每个服务最后1小时的指标</w:t>
      </w:r>
    </w:p>
    <w:p w14:paraId="78627CE9">
      <w:pPr>
        <w:spacing w:after="150"/>
      </w:pPr>
    </w:p>
    <w:p w14:paraId="12333240">
      <w:pPr>
        <w:pStyle w:val="3"/>
        <w:spacing w:before="200" w:after="120"/>
      </w:pPr>
      <w:bookmarkStart w:id="10" w:name="bm_510"/>
      <w:r>
        <w:t>代理4：风险顾问（投资组合风险）</w:t>
      </w:r>
      <w:bookmarkEnd w:id="10"/>
    </w:p>
    <w:p w14:paraId="53EEF70D">
      <w:pPr>
        <w:spacing w:after="120"/>
      </w:pPr>
      <w:r>
        <w:t>基于当前头寸状态就投资组合再平衡、Kelly准则违规和部门集中度问题提出建议。</w:t>
      </w:r>
    </w:p>
    <w:p w14:paraId="398EB888">
      <w:pPr>
        <w:pStyle w:val="16"/>
        <w:numPr>
          <w:ilvl w:val="0"/>
          <w:numId w:val="1"/>
        </w:numPr>
        <w:spacing w:after="60"/>
      </w:pPr>
      <w:r>
        <w:t>延迟SLA：2.5秒（超时显示基于Kelly的建议）</w:t>
      </w:r>
    </w:p>
    <w:p w14:paraId="589C19B5">
      <w:pPr>
        <w:pStyle w:val="16"/>
        <w:numPr>
          <w:ilvl w:val="0"/>
          <w:numId w:val="1"/>
        </w:numPr>
        <w:spacing w:after="60"/>
      </w:pPr>
      <w:r>
        <w:t>输入：当前头寸、实现波动率、VaR估计值</w:t>
      </w:r>
    </w:p>
    <w:p w14:paraId="6F607517">
      <w:pPr>
        <w:pStyle w:val="2"/>
        <w:spacing w:before="200" w:after="120"/>
      </w:pPr>
      <w:bookmarkStart w:id="11" w:name="bm_511"/>
      <w:r>
        <w:t>数据源策略</w:t>
      </w:r>
      <w:bookmarkEnd w:id="11"/>
    </w:p>
    <w:p w14:paraId="08AFD39E">
      <w:pPr>
        <w:spacing w:after="120"/>
      </w:pPr>
      <w:r>
        <w:t>Alpha Core 从多个提供商摄取市场数据，具有回退逻辑。每个数据源都有一个健康监控器和队列系统，以容忍提供商停机时间。</w:t>
      </w:r>
    </w:p>
    <w:p w14:paraId="12129921">
      <w:pPr>
        <w:pStyle w:val="3"/>
        <w:spacing w:before="200" w:after="120"/>
      </w:pPr>
      <w:bookmarkStart w:id="12" w:name="bm_512"/>
      <w:r>
        <w:t>主要提供商</w:t>
      </w:r>
      <w:bookmarkEnd w:id="12"/>
    </w:p>
    <w:p w14:paraId="19ACC703">
      <w:pPr>
        <w:spacing w:after="120"/>
      </w:pPr>
      <w:r>
        <w:t>yfinance：美国股票1分钟OHLCV，免费层</w:t>
      </w:r>
    </w:p>
    <w:p w14:paraId="7DCF7507">
      <w:pPr>
        <w:spacing w:after="120"/>
      </w:pPr>
      <w:r>
        <w:t>AKShare：中国市场数据（如扩展到中国股票），通过HTTP API</w:t>
      </w:r>
    </w:p>
    <w:p w14:paraId="4234C13B">
      <w:pPr>
        <w:spacing w:after="120"/>
      </w:pPr>
      <w:r>
        <w:t>IB（Interactive Brokers）：实时价格+订单执行（高级版）</w:t>
      </w:r>
    </w:p>
    <w:p w14:paraId="1E84D0DA">
      <w:pPr>
        <w:spacing w:after="150"/>
      </w:pPr>
    </w:p>
    <w:p w14:paraId="7CC3ECE4">
      <w:pPr>
        <w:pStyle w:val="3"/>
        <w:spacing w:before="200" w:after="120"/>
      </w:pPr>
      <w:bookmarkStart w:id="13" w:name="bm_513"/>
      <w:r>
        <w:t>数据质量和验证</w:t>
      </w:r>
      <w:bookmarkEnd w:id="13"/>
    </w:p>
    <w:p w14:paraId="0B87E4B6">
      <w:pPr>
        <w:spacing w:after="120"/>
      </w:pPr>
      <w:r>
        <w:t>每个传入的蜡烛都根据架构进行验证（OHLCV必须为正数，V &gt; 0，O &lt;= H，O &gt;= L等）。失败的蜡烛被隔离和记录。</w:t>
      </w:r>
    </w:p>
    <w:p w14:paraId="5249E96E">
      <w:pPr>
        <w:pStyle w:val="16"/>
        <w:numPr>
          <w:ilvl w:val="0"/>
          <w:numId w:val="1"/>
        </w:numPr>
        <w:spacing w:after="60"/>
      </w:pPr>
      <w:r>
        <w:t>重复检测：(timestamp, ticker, OHLCV)的CRC32哈希</w:t>
      </w:r>
    </w:p>
    <w:p w14:paraId="64662945">
      <w:pPr>
        <w:pStyle w:val="16"/>
        <w:numPr>
          <w:ilvl w:val="0"/>
          <w:numId w:val="1"/>
        </w:numPr>
        <w:spacing w:after="60"/>
      </w:pPr>
      <w:r>
        <w:t>间隙检测：缺失的1分钟蜡烛用NaN插值</w:t>
      </w:r>
    </w:p>
    <w:p w14:paraId="615979E4">
      <w:pPr>
        <w:pStyle w:val="16"/>
        <w:numPr>
          <w:ilvl w:val="0"/>
          <w:numId w:val="1"/>
        </w:numPr>
        <w:spacing w:after="60"/>
      </w:pPr>
      <w:r>
        <w:t>离群值检测：价格变动&gt;5个标准差触发警报+手动审查</w:t>
      </w:r>
    </w:p>
    <w:p w14:paraId="40C1C633">
      <w:pPr>
        <w:spacing w:after="150"/>
      </w:pPr>
    </w:p>
    <w:p w14:paraId="7547F2AC">
      <w:pPr>
        <w:pStyle w:val="3"/>
        <w:spacing w:before="200" w:after="120"/>
      </w:pPr>
      <w:bookmarkStart w:id="14" w:name="bm_514"/>
      <w:r>
        <w:t>存储和缓存</w:t>
      </w:r>
      <w:bookmarkEnd w:id="14"/>
    </w:p>
    <w:p w14:paraId="60C68C3B">
      <w:pPr>
        <w:spacing w:after="120"/>
      </w:pPr>
      <w:r>
        <w:t>最近的数据（最后30天）缓存在SQLite中，具有(ticker, timestamp)索引。较旧的数据存档到S3。特征计算缓存，TTL为5分钟。</w:t>
      </w:r>
    </w:p>
    <w:p w14:paraId="4EB23D82">
      <w:pPr>
        <w:pStyle w:val="2"/>
        <w:spacing w:before="200" w:after="120"/>
      </w:pPr>
      <w:bookmarkStart w:id="15" w:name="bm_515"/>
      <w:r>
        <w:t>模块1：系统总线监控</w:t>
      </w:r>
      <w:bookmarkEnd w:id="15"/>
    </w:p>
    <w:p w14:paraId="214AAF4E">
      <w:pPr>
        <w:jc w:val="center"/>
      </w:pPr>
      <w:r>
        <w:drawing>
          <wp:inline distT="0" distB="0" distL="0" distR="0">
            <wp:extent cx="6477000" cy="3600450"/>
            <wp:effectExtent l="0" t="0" r="0" b="0"/>
            <wp:docPr id="2" name="mod1_wireframe" descr="Real-time health dashboard showing 6 service status cards, latency breakdown, and alert feed" title="System Bus Monitor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d1_wireframe" descr="Real-time health dashboard showing 6 service status cards, latency breakdown, and alert feed" title="System Bus Monitor Wirefram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B2A1">
      <w:pPr>
        <w:spacing w:after="150"/>
      </w:pPr>
    </w:p>
    <w:p w14:paraId="344A853F">
      <w:pPr>
        <w:pStyle w:val="3"/>
        <w:spacing w:before="200" w:after="120"/>
      </w:pPr>
      <w:bookmarkStart w:id="16" w:name="bm_516"/>
      <w:r>
        <w:t>设计理念与用户心理</w:t>
      </w:r>
      <w:bookmarkEnd w:id="16"/>
    </w:p>
    <w:p w14:paraId="78D6C4C4">
      <w:pPr>
        <w:spacing w:after="120"/>
      </w:pPr>
      <w:r>
        <w:t>系统总线监控是交易员每天早上打开的第一个视图。该设计优先考虑平静的安心：绿色指示灯、最少的红色警报和清晰的"一目了然诊断"布局。用户需要在信任其交易信号之前确信系统是健康的。</w:t>
      </w:r>
    </w:p>
    <w:p w14:paraId="213F2F74">
      <w:pPr>
        <w:spacing w:after="120"/>
      </w:pPr>
      <w:r>
        <w:t>警报提要（样式像彭博社）为交易员提供了基础设施问题的实时可见性。关键服务停机可能使交易规则无效——审计跟踪必须无可挑剔。此模块通过证明所有依赖关系全天候受到监控来缓解焦虑。</w:t>
      </w:r>
    </w:p>
    <w:p w14:paraId="676C9312">
      <w:pPr>
        <w:spacing w:after="150"/>
      </w:pPr>
    </w:p>
    <w:p w14:paraId="137A5E63">
      <w:pPr>
        <w:pStyle w:val="3"/>
        <w:spacing w:before="200" w:after="120"/>
      </w:pPr>
      <w:bookmarkStart w:id="17" w:name="bm_517"/>
      <w:r>
        <w:t>组件清单</w:t>
      </w:r>
      <w:bookmarkEnd w:id="17"/>
    </w:p>
    <w:p w14:paraId="3EB33D08">
      <w:pPr>
        <w:spacing w:after="120"/>
      </w:pPr>
      <w:r>
        <w:t>系统总线监控包含4个主要UI组件：</w:t>
      </w:r>
    </w:p>
    <w:tbl>
      <w:tblPr>
        <w:tblStyle w:val="11"/>
        <w:tblW w:w="8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23"/>
        <w:gridCol w:w="1580"/>
        <w:gridCol w:w="3269"/>
        <w:gridCol w:w="1728"/>
      </w:tblGrid>
      <w:tr w14:paraId="0B21E886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886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组件名称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A3F2D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632F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数据绑定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74132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交互</w:t>
            </w:r>
          </w:p>
        </w:tc>
      </w:tr>
      <w:tr w14:paraId="3A6CF350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4A41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服务健康卡片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0B9C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卡片+状态指示灯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E13C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/api/v1/services/{service_id}/health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1239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点击展开24小时时间线</w:t>
            </w:r>
          </w:p>
        </w:tc>
      </w:tr>
      <w:tr w14:paraId="7F647C6B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2C73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延迟分解图表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38FF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水平堆叠条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CF3E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/api/v1/pipelines/latency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E5E6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悬停查看段细分</w:t>
            </w:r>
          </w:p>
        </w:tc>
      </w:tr>
      <w:tr w14:paraId="6E750C2E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0175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警报提要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76A7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虚拟滚动列表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4A7E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WebSocket /ws/alerts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E3B8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点击警报→向下钻取详情</w:t>
            </w:r>
          </w:p>
        </w:tc>
      </w:tr>
      <w:tr w14:paraId="02190003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5F27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吞吐量指标卡片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D10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KPI卡片</w:t>
            </w:r>
          </w:p>
        </w:tc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0FCB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/api/v1/metrics/throughput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8F20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点击查看小时趋势</w:t>
            </w:r>
          </w:p>
        </w:tc>
      </w:tr>
    </w:tbl>
    <w:p w14:paraId="3D181B46">
      <w:pPr>
        <w:spacing w:after="150"/>
      </w:pPr>
    </w:p>
    <w:p w14:paraId="04A72C94">
      <w:pPr>
        <w:pStyle w:val="4"/>
        <w:spacing w:before="200" w:after="120"/>
      </w:pPr>
      <w:bookmarkStart w:id="18" w:name="bm_518"/>
      <w:r>
        <w:t>服务健康卡片</w:t>
      </w:r>
      <w:bookmarkEnd w:id="18"/>
    </w:p>
    <w:p w14:paraId="485B9DCF">
      <w:pPr>
        <w:spacing w:after="120"/>
      </w:pPr>
      <w:r>
        <w:t>布局：6个卡片排成2行×3列，每个280px宽×160px高</w:t>
      </w:r>
    </w:p>
    <w:p w14:paraId="5DAFD85E">
      <w:pPr>
        <w:pStyle w:val="16"/>
        <w:numPr>
          <w:ilvl w:val="0"/>
          <w:numId w:val="1"/>
        </w:numPr>
        <w:spacing w:after="60"/>
      </w:pPr>
      <w:r>
        <w:t>数据源：每2秒轮询一次GET /api/v1/services/{service_id}/health</w:t>
      </w:r>
    </w:p>
    <w:p w14:paraId="34B2A3D9">
      <w:pPr>
        <w:pStyle w:val="16"/>
        <w:numPr>
          <w:ilvl w:val="0"/>
          <w:numId w:val="1"/>
        </w:numPr>
        <w:spacing w:after="60"/>
      </w:pPr>
      <w:r>
        <w:t>字段消耗：status（枚举：green/yellow/red）、latency_p95_ms、uptime_pct_24h、last_check_at</w:t>
      </w:r>
    </w:p>
    <w:p w14:paraId="355C9AF4">
      <w:pPr>
        <w:pStyle w:val="16"/>
        <w:numPr>
          <w:ilvl w:val="0"/>
          <w:numId w:val="1"/>
        </w:numPr>
        <w:spacing w:after="60"/>
      </w:pPr>
      <w:r>
        <w:t>视觉状态：</w:t>
      </w:r>
    </w:p>
    <w:p w14:paraId="1D1C841A">
      <w:pPr>
        <w:pStyle w:val="16"/>
        <w:numPr>
          <w:ilvl w:val="0"/>
          <w:numId w:val="1"/>
        </w:numPr>
        <w:spacing w:after="60"/>
      </w:pPr>
      <w:r>
        <w:t xml:space="preserve">  • 正常：绿色点+服务名称+'延迟：42ms'+正常运行时间%</w:t>
      </w:r>
    </w:p>
    <w:p w14:paraId="05839D85">
      <w:pPr>
        <w:pStyle w:val="16"/>
        <w:numPr>
          <w:ilvl w:val="0"/>
          <w:numId w:val="1"/>
        </w:numPr>
        <w:spacing w:after="60"/>
      </w:pPr>
      <w:r>
        <w:t xml:space="preserve">  • 警告：黄色点+延迟以橙色突出显示</w:t>
      </w:r>
    </w:p>
    <w:p w14:paraId="17F40EB7">
      <w:pPr>
        <w:pStyle w:val="16"/>
        <w:numPr>
          <w:ilvl w:val="0"/>
          <w:numId w:val="1"/>
        </w:numPr>
        <w:spacing w:after="60"/>
      </w:pPr>
      <w:r>
        <w:t xml:space="preserve">  • 严重：红色点+闪烁边框+红色文字</w:t>
      </w:r>
    </w:p>
    <w:p w14:paraId="18E4CCE2">
      <w:pPr>
        <w:pStyle w:val="16"/>
        <w:numPr>
          <w:ilvl w:val="0"/>
          <w:numId w:val="1"/>
        </w:numPr>
        <w:spacing w:after="60"/>
      </w:pPr>
      <w:r>
        <w:t>悬停：在工具提示中显示24小时迷你火花线（延迟随时间变化）</w:t>
      </w:r>
    </w:p>
    <w:p w14:paraId="348026B6">
      <w:pPr>
        <w:pStyle w:val="16"/>
        <w:numPr>
          <w:ilvl w:val="0"/>
          <w:numId w:val="1"/>
        </w:numPr>
        <w:spacing w:after="60"/>
      </w:pPr>
      <w:r>
        <w:t>点击：展开到完整24小时时间线图表+该服务的事件日志</w:t>
      </w:r>
    </w:p>
    <w:p w14:paraId="7708A8B6">
      <w:pPr>
        <w:spacing w:after="150"/>
      </w:pPr>
    </w:p>
    <w:p w14:paraId="54BE77DE">
      <w:pPr>
        <w:pStyle w:val="4"/>
        <w:spacing w:before="200" w:after="120"/>
      </w:pPr>
      <w:bookmarkStart w:id="19" w:name="bm_519"/>
      <w:r>
        <w:t>延迟分解图表</w:t>
      </w:r>
      <w:bookmarkEnd w:id="19"/>
    </w:p>
    <w:p w14:paraId="06364140">
      <w:pPr>
        <w:spacing w:after="120"/>
      </w:pPr>
      <w:r>
        <w:t>水平堆叠条显示端到端延迟分解。段：yfinance获取（蓝色）、特征计算（绿色）、推理（橙色）、投资组合计算（红色）、总延迟&gt;=300ms突出显示。</w:t>
      </w:r>
    </w:p>
    <w:p w14:paraId="68565770">
      <w:pPr>
        <w:pStyle w:val="16"/>
        <w:numPr>
          <w:ilvl w:val="0"/>
          <w:numId w:val="1"/>
        </w:numPr>
        <w:spacing w:after="60"/>
      </w:pPr>
      <w:r>
        <w:t>数据源：GET /api/v1/pipelines/latency，每5秒轮询一次</w:t>
      </w:r>
    </w:p>
    <w:p w14:paraId="70778E07">
      <w:pPr>
        <w:pStyle w:val="16"/>
        <w:numPr>
          <w:ilvl w:val="0"/>
          <w:numId w:val="1"/>
        </w:numPr>
        <w:spacing w:after="60"/>
      </w:pPr>
      <w:r>
        <w:t>交互：在段上悬停→工具提示显示毫秒值+占总数的百分比</w:t>
      </w:r>
    </w:p>
    <w:p w14:paraId="456937DC">
      <w:pPr>
        <w:pStyle w:val="16"/>
        <w:numPr>
          <w:ilvl w:val="0"/>
          <w:numId w:val="1"/>
        </w:numPr>
        <w:spacing w:after="60"/>
      </w:pPr>
      <w:r>
        <w:t>颜色编码：绿色（&lt;50ms）、黄色（50–100ms）、红色（&gt;100ms）按段</w:t>
      </w:r>
    </w:p>
    <w:p w14:paraId="081A7596">
      <w:pPr>
        <w:spacing w:after="150"/>
      </w:pPr>
    </w:p>
    <w:p w14:paraId="3CCE6979">
      <w:pPr>
        <w:pStyle w:val="4"/>
        <w:spacing w:before="200" w:after="120"/>
      </w:pPr>
      <w:bookmarkStart w:id="20" w:name="bm_520"/>
      <w:r>
        <w:t>警报提要</w:t>
      </w:r>
      <w:bookmarkEnd w:id="20"/>
    </w:p>
    <w:p w14:paraId="5E02502B">
      <w:pPr>
        <w:spacing w:after="120"/>
      </w:pPr>
      <w:r>
        <w:t>实时滚动的系统警报列表，按严重程度着色。</w:t>
      </w:r>
    </w:p>
    <w:p w14:paraId="612F974E">
      <w:pPr>
        <w:pStyle w:val="16"/>
        <w:numPr>
          <w:ilvl w:val="0"/>
          <w:numId w:val="1"/>
        </w:numPr>
        <w:spacing w:after="60"/>
      </w:pPr>
      <w:r>
        <w:t>数据源：WebSocket /ws/alerts（新警报推送追加）</w:t>
      </w:r>
    </w:p>
    <w:p w14:paraId="5D5C706D">
      <w:pPr>
        <w:pStyle w:val="16"/>
        <w:numPr>
          <w:ilvl w:val="0"/>
          <w:numId w:val="1"/>
        </w:numPr>
        <w:spacing w:after="60"/>
      </w:pPr>
      <w:r>
        <w:t>警报结构：{ timestamp, severity (INFO/WARN/ERROR/CRITICAL), service, message, action_url }</w:t>
      </w:r>
    </w:p>
    <w:p w14:paraId="5E4098FC">
      <w:pPr>
        <w:pStyle w:val="16"/>
        <w:numPr>
          <w:ilvl w:val="0"/>
          <w:numId w:val="1"/>
        </w:numPr>
        <w:spacing w:after="60"/>
      </w:pPr>
      <w:r>
        <w:t>视觉状态：INFO=蓝色、WARN=黄色、ERROR=红色、CRITICAL=闪烁红色</w:t>
      </w:r>
    </w:p>
    <w:p w14:paraId="1018CB49">
      <w:pPr>
        <w:pStyle w:val="16"/>
        <w:numPr>
          <w:ilvl w:val="0"/>
          <w:numId w:val="1"/>
        </w:numPr>
        <w:spacing w:after="60"/>
      </w:pPr>
      <w:r>
        <w:t>交互：点击警报→导航到/audit/{event_id}进行完整向下钻取</w:t>
      </w:r>
    </w:p>
    <w:p w14:paraId="53C762BC">
      <w:pPr>
        <w:pStyle w:val="16"/>
        <w:numPr>
          <w:ilvl w:val="0"/>
          <w:numId w:val="1"/>
        </w:numPr>
        <w:spacing w:after="60"/>
      </w:pPr>
      <w:r>
        <w:t>虚拟滚动：一次只渲染20个可见警报</w:t>
      </w:r>
    </w:p>
    <w:p w14:paraId="09C45885">
      <w:pPr>
        <w:spacing w:after="150"/>
      </w:pPr>
    </w:p>
    <w:p w14:paraId="291F2382">
      <w:pPr>
        <w:pStyle w:val="4"/>
        <w:spacing w:before="200" w:after="120"/>
      </w:pPr>
      <w:bookmarkStart w:id="21" w:name="bm_521"/>
      <w:r>
        <w:t>吞吐量指标卡片</w:t>
      </w:r>
      <w:bookmarkEnd w:id="21"/>
    </w:p>
    <w:p w14:paraId="4C48A948">
      <w:pPr>
        <w:spacing w:after="120"/>
      </w:pPr>
      <w:r>
        <w:t>KPI卡片显示价格级别的吞吐量：tickers/秒、trades/秒、features/秒</w:t>
      </w:r>
    </w:p>
    <w:p w14:paraId="0107530E">
      <w:pPr>
        <w:pStyle w:val="16"/>
        <w:numPr>
          <w:ilvl w:val="0"/>
          <w:numId w:val="1"/>
        </w:numPr>
        <w:spacing w:after="60"/>
      </w:pPr>
      <w:r>
        <w:t>数据源：每10秒GET /api/v1/metrics/throughput</w:t>
      </w:r>
    </w:p>
    <w:p w14:paraId="0A026BBD">
      <w:pPr>
        <w:pStyle w:val="16"/>
        <w:numPr>
          <w:ilvl w:val="0"/>
          <w:numId w:val="1"/>
        </w:numPr>
        <w:spacing w:after="60"/>
      </w:pPr>
      <w:r>
        <w:t>视觉：大数字+趋势箭头（↑/↓）+迷你1小时火花线</w:t>
      </w:r>
    </w:p>
    <w:p w14:paraId="605ECD66">
      <w:pPr>
        <w:pStyle w:val="16"/>
        <w:numPr>
          <w:ilvl w:val="0"/>
          <w:numId w:val="1"/>
        </w:numPr>
        <w:spacing w:after="60"/>
      </w:pPr>
      <w:r>
        <w:t>点击：展开到小时条形图+与7天平均值的比较</w:t>
      </w:r>
    </w:p>
    <w:p w14:paraId="35DEE656">
      <w:pPr>
        <w:spacing w:after="150"/>
      </w:pPr>
    </w:p>
    <w:p w14:paraId="33C32F6C">
      <w:pPr>
        <w:pStyle w:val="3"/>
        <w:spacing w:before="200" w:after="120"/>
      </w:pPr>
      <w:bookmarkStart w:id="22" w:name="bm_522"/>
      <w:r>
        <w:t>数据契约</w:t>
      </w:r>
      <w:bookmarkEnd w:id="22"/>
    </w:p>
    <w:p w14:paraId="0BD0CC1D">
      <w:pPr>
        <w:spacing w:after="120"/>
      </w:pPr>
      <w:r>
        <w:t>健康状态响应：</w:t>
      </w:r>
    </w:p>
    <w:p w14:paraId="5434DDEE">
      <w:pPr>
        <w:spacing w:after="120"/>
      </w:pPr>
      <w:r>
        <w:t>{
  "services": [
    {
      "service_id": "fastapi",
      "status": "green",
      "latency_p95_ms": 42,
      "uptime_pct_24h": 99.98,
      "last_check_at": "2026-04-12T14:30:15Z",
      "last_error_at": null
    },
    { "service_id": "llm_api", "status": "yellow", "latency_p95_ms": 1850, ... }
  ],
  "timestamp": "2026-04-12T14:30:15Z"
}</w:t>
      </w:r>
    </w:p>
    <w:p w14:paraId="256AFCF2">
      <w:pPr>
        <w:spacing w:after="150"/>
      </w:pPr>
    </w:p>
    <w:p w14:paraId="495D1DFC">
      <w:pPr>
        <w:pStyle w:val="3"/>
        <w:spacing w:before="200" w:after="120"/>
      </w:pPr>
      <w:bookmarkStart w:id="23" w:name="bm_523"/>
      <w:r>
        <w:t>验收标准</w:t>
      </w:r>
      <w:bookmarkEnd w:id="23"/>
    </w:p>
    <w:tbl>
      <w:tblPr>
        <w:tblStyle w:val="11"/>
        <w:tblW w:w="6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4000"/>
      </w:tblGrid>
      <w:tr w14:paraId="3D81033E"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0F8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标准</w:t>
            </w:r>
          </w:p>
        </w:tc>
        <w:tc>
          <w:tcPr>
            <w:tcW w:w="4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C77E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14:paraId="6551AAA4"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710D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1. 服务卡片更新</w:t>
            </w:r>
          </w:p>
        </w:tc>
        <w:tc>
          <w:tcPr>
            <w:tcW w:w="4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414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后端状态变化后2秒内更新</w:t>
            </w:r>
          </w:p>
        </w:tc>
      </w:tr>
      <w:tr w14:paraId="5455E35B"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2F1D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2. 延迟图表刷新</w:t>
            </w:r>
          </w:p>
        </w:tc>
        <w:tc>
          <w:tcPr>
            <w:tcW w:w="4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D742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每5秒，动画段宽度变化</w:t>
            </w:r>
          </w:p>
        </w:tc>
      </w:tr>
      <w:tr w14:paraId="472B230B"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9D8E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3. 警报提要实时</w:t>
            </w:r>
          </w:p>
        </w:tc>
        <w:tc>
          <w:tcPr>
            <w:tcW w:w="4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4159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新警报在WebSocket推送后&lt;500ms出现</w:t>
            </w:r>
          </w:p>
        </w:tc>
      </w:tr>
      <w:tr w14:paraId="7084C503"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CA42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4. 吞吐量KPI</w:t>
            </w:r>
          </w:p>
        </w:tc>
        <w:tc>
          <w:tcPr>
            <w:tcW w:w="4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714C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在指标发出后10秒内显示</w:t>
            </w:r>
          </w:p>
        </w:tc>
      </w:tr>
      <w:tr w14:paraId="0050A30A"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DF1E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5. 展开动画</w:t>
            </w:r>
          </w:p>
        </w:tc>
        <w:tc>
          <w:tcPr>
            <w:tcW w:w="4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BC4F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卡片展开/收起在&lt;300ms内</w:t>
            </w:r>
          </w:p>
        </w:tc>
      </w:tr>
      <w:tr w14:paraId="5D266508"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788C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6. 移动响应性</w:t>
            </w:r>
          </w:p>
        </w:tc>
        <w:tc>
          <w:tcPr>
            <w:tcW w:w="4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2B02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平板电脑：2×3网格→1×6列布局</w:t>
            </w:r>
          </w:p>
        </w:tc>
      </w:tr>
    </w:tbl>
    <w:p w14:paraId="34079C55">
      <w:pPr>
        <w:spacing w:after="150"/>
      </w:pPr>
    </w:p>
    <w:p w14:paraId="6CE0ABEF">
      <w:pPr>
        <w:pStyle w:val="3"/>
        <w:spacing w:before="200" w:after="120"/>
      </w:pPr>
      <w:bookmarkStart w:id="24" w:name="bm_524"/>
      <w:r>
        <w:t>边界场景与错误处理</w:t>
      </w:r>
      <w:bookmarkEnd w:id="24"/>
    </w:p>
    <w:p w14:paraId="7D227059">
      <w:pPr>
        <w:pStyle w:val="16"/>
        <w:numPr>
          <w:ilvl w:val="0"/>
          <w:numId w:val="1"/>
        </w:numPr>
        <w:spacing w:after="60"/>
      </w:pPr>
      <w:r>
        <w:t>API延迟&gt;2s：显示'加载中...'骨架+3s后超时消息</w:t>
      </w:r>
    </w:p>
    <w:p w14:paraId="171C6B5F">
      <w:pPr>
        <w:pStyle w:val="16"/>
        <w:numPr>
          <w:ilvl w:val="0"/>
          <w:numId w:val="1"/>
        </w:numPr>
        <w:spacing w:after="60"/>
      </w:pPr>
      <w:r>
        <w:t>所有服务都宕机：显示突出的红色横幅'系统离线'+回退到缓存指标</w:t>
      </w:r>
    </w:p>
    <w:p w14:paraId="1E1F7739">
      <w:pPr>
        <w:pStyle w:val="16"/>
        <w:numPr>
          <w:ilvl w:val="0"/>
          <w:numId w:val="1"/>
        </w:numPr>
        <w:spacing w:after="60"/>
      </w:pPr>
      <w:r>
        <w:t>WebSocket断开连接：自动重新连接，指数退避，显示'警报提要连接中...'覆盖层</w:t>
      </w:r>
    </w:p>
    <w:p w14:paraId="1B82A02A">
      <w:pPr>
        <w:pStyle w:val="16"/>
        <w:numPr>
          <w:ilvl w:val="0"/>
          <w:numId w:val="1"/>
        </w:numPr>
        <w:spacing w:after="60"/>
      </w:pPr>
      <w:r>
        <w:t>数据过期（&gt;10s无更新）：暗化卡片不透明度+显示'最后看到23秒前'警告文本</w:t>
      </w:r>
    </w:p>
    <w:p w14:paraId="7C4902A2">
      <w:pPr>
        <w:pStyle w:val="16"/>
        <w:numPr>
          <w:ilvl w:val="0"/>
          <w:numId w:val="1"/>
        </w:numPr>
        <w:spacing w:after="60"/>
      </w:pPr>
      <w:r>
        <w:t>延迟值中的NaN：渲染为'—'（长破折号）+记录异常以供调查</w:t>
      </w:r>
    </w:p>
    <w:p w14:paraId="7A6FD3FD">
      <w:pPr>
        <w:pStyle w:val="2"/>
        <w:spacing w:before="200" w:after="120"/>
      </w:pPr>
      <w:bookmarkStart w:id="25" w:name="bm_525"/>
      <w:r>
        <w:t>模块2：行情数据与特征工程</w:t>
      </w:r>
      <w:bookmarkEnd w:id="25"/>
    </w:p>
    <w:p w14:paraId="5D0A5705">
      <w:pPr>
        <w:jc w:val="center"/>
      </w:pPr>
      <w:r>
        <w:drawing>
          <wp:inline distT="0" distB="0" distL="0" distR="0">
            <wp:extent cx="6477000" cy="3600450"/>
            <wp:effectExtent l="0" t="0" r="0" b="0"/>
            <wp:docPr id="3" name="mod2_wireframe" descr="Ticker selector, OHLCV candlestick chart, feature heatmap, and data quality panel" title="Market Feed &amp; Features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d2_wireframe" descr="Ticker selector, OHLCV candlestick chart, feature heatmap, and data quality panel" title="Market Feed &amp; Features Wirefram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036EF">
      <w:pPr>
        <w:spacing w:after="150"/>
      </w:pPr>
    </w:p>
    <w:p w14:paraId="6F902050">
      <w:pPr>
        <w:pStyle w:val="3"/>
        <w:spacing w:before="200" w:after="120"/>
      </w:pPr>
      <w:bookmarkStart w:id="26" w:name="bm_526"/>
      <w:r>
        <w:t>设计理念与用户心理</w:t>
      </w:r>
      <w:bookmarkEnd w:id="26"/>
    </w:p>
    <w:p w14:paraId="3E1886B6">
      <w:pPr>
        <w:spacing w:after="120"/>
      </w:pPr>
      <w:r>
        <w:t>交易员最基本的任务是阅读市场数据并提取含义。模块2将原始价格行为（蜡烛图）与计算的特征（热力图）结合在一个统一的视图中。设计理念是极简主义：网格线细微、蜡烛突出、颜色保留用于特征信号。</w:t>
      </w:r>
    </w:p>
    <w:p w14:paraId="685E6030">
      <w:pPr>
        <w:spacing w:after="120"/>
      </w:pPr>
      <w:r>
        <w:t>特征热力图让交易员可以立即看到哪50多个计算特征在投资组合中是异常的（z得分着色）。红色单元格=该特征距离其平均值2.5σ。这回答了交易员的潜意识问题：'现在市场有什么奇怪的地方吗？'</w:t>
      </w:r>
    </w:p>
    <w:p w14:paraId="0A221287">
      <w:pPr>
        <w:spacing w:after="150"/>
      </w:pPr>
    </w:p>
    <w:p w14:paraId="2017A981">
      <w:pPr>
        <w:pStyle w:val="3"/>
        <w:spacing w:before="200" w:after="120"/>
      </w:pPr>
      <w:bookmarkStart w:id="27" w:name="bm_527"/>
      <w:r>
        <w:t>组件清单</w:t>
      </w:r>
      <w:bookmarkEnd w:id="27"/>
    </w:p>
    <w:p w14:paraId="1D391CBF">
      <w:pPr>
        <w:spacing w:after="120"/>
      </w:pPr>
      <w:r>
        <w:t>市场数据包含5个主要组件：</w:t>
      </w:r>
    </w:p>
    <w:tbl>
      <w:tblPr>
        <w:tblStyle w:val="11"/>
        <w:tblW w:w="9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72"/>
        <w:gridCol w:w="1753"/>
        <w:gridCol w:w="2973"/>
        <w:gridCol w:w="2302"/>
      </w:tblGrid>
      <w:tr w14:paraId="24DCD768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3000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组件名称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289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4CA6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数据绑定</w:t>
            </w:r>
          </w:p>
        </w:tc>
        <w:tc>
          <w:tcPr>
            <w:tcW w:w="21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60F1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交互</w:t>
            </w:r>
          </w:p>
        </w:tc>
      </w:tr>
      <w:tr w14:paraId="7C8F5878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3321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代码选择器栏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EDA2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水平选项卡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2825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/api/v1/tickers/watchlist</w:t>
            </w:r>
          </w:p>
        </w:tc>
        <w:tc>
          <w:tcPr>
            <w:tcW w:w="21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A26A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点击选项卡→切换图表和热力图</w:t>
            </w:r>
          </w:p>
        </w:tc>
      </w:tr>
      <w:tr w14:paraId="4AED127B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EFE9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蜡烛图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F429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TradingView Lightweight Charts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DF4D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WebSocket /ws/ohlcv/{ticker}</w:t>
            </w:r>
          </w:p>
        </w:tc>
        <w:tc>
          <w:tcPr>
            <w:tcW w:w="21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56D7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滚动/缩放、十字线、点击蜡烛</w:t>
            </w:r>
          </w:p>
        </w:tc>
      </w:tr>
      <w:tr w14:paraId="2CD98A33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453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特征热力图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9C00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D3/Nivo网格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7944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/api/v1/features/state</w:t>
            </w:r>
          </w:p>
        </w:tc>
        <w:tc>
          <w:tcPr>
            <w:tcW w:w="21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594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悬停单元格→工具提示显示z-score</w:t>
            </w:r>
          </w:p>
        </w:tc>
      </w:tr>
      <w:tr w14:paraId="5ACF1B14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557F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数据质量面板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D02E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验证检查表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6225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/api/v1/data/quality/{ticker}</w:t>
            </w:r>
          </w:p>
        </w:tc>
        <w:tc>
          <w:tcPr>
            <w:tcW w:w="21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0DE0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点击行→向下钻取验证规则</w:t>
            </w:r>
          </w:p>
        </w:tc>
      </w:tr>
      <w:tr w14:paraId="60C7B2D6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D2F8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特征统计表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7E83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可排序表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F19A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/api/v1/features/stats/{ticker}</w:t>
            </w:r>
          </w:p>
        </w:tc>
        <w:tc>
          <w:tcPr>
            <w:tcW w:w="21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5E19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点击列标题排序</w:t>
            </w:r>
          </w:p>
        </w:tc>
      </w:tr>
    </w:tbl>
    <w:p w14:paraId="2ED37A4D">
      <w:pPr>
        <w:spacing w:after="150"/>
      </w:pPr>
    </w:p>
    <w:p w14:paraId="77C7F9BD">
      <w:pPr>
        <w:pStyle w:val="4"/>
        <w:spacing w:before="200" w:after="120"/>
      </w:pPr>
      <w:bookmarkStart w:id="28" w:name="bm_528"/>
      <w:r>
        <w:t>代码选择器栏</w:t>
      </w:r>
      <w:bookmarkEnd w:id="28"/>
    </w:p>
    <w:p w14:paraId="609433F7">
      <w:pPr>
        <w:spacing w:after="120"/>
      </w:pPr>
      <w:r>
        <w:t>用于同时观看多个代码的水平可滚动选项卡。</w:t>
      </w:r>
    </w:p>
    <w:p w14:paraId="0FDCC378">
      <w:pPr>
        <w:pStyle w:val="16"/>
        <w:numPr>
          <w:ilvl w:val="0"/>
          <w:numId w:val="1"/>
        </w:numPr>
        <w:spacing w:after="60"/>
      </w:pPr>
      <w:r>
        <w:t>数据源：加载时GET /api/v1/tickers/watchlist，订阅/ws/watchlist_changes</w:t>
      </w:r>
    </w:p>
    <w:p w14:paraId="499A9F9F">
      <w:pPr>
        <w:pStyle w:val="16"/>
        <w:numPr>
          <w:ilvl w:val="0"/>
          <w:numId w:val="1"/>
        </w:numPr>
        <w:spacing w:after="60"/>
      </w:pPr>
      <w:r>
        <w:t>视觉：活跃选项卡有蓝色下划线，无效选项卡为浅灰色文本</w:t>
      </w:r>
    </w:p>
    <w:p w14:paraId="13545B57">
      <w:pPr>
        <w:pStyle w:val="16"/>
        <w:numPr>
          <w:ilvl w:val="0"/>
          <w:numId w:val="1"/>
        </w:numPr>
        <w:spacing w:after="60"/>
      </w:pPr>
      <w:r>
        <w:t>交互：点击选项卡→为该代码加载图表+热力图（0.5秒过渡）</w:t>
      </w:r>
    </w:p>
    <w:p w14:paraId="484D7DE5">
      <w:pPr>
        <w:pStyle w:val="16"/>
        <w:numPr>
          <w:ilvl w:val="0"/>
          <w:numId w:val="1"/>
        </w:numPr>
        <w:spacing w:after="60"/>
      </w:pPr>
      <w:r>
        <w:t>键盘：箭头键导航选项卡，Enter选择</w:t>
      </w:r>
    </w:p>
    <w:p w14:paraId="12C17654">
      <w:pPr>
        <w:spacing w:after="150"/>
      </w:pPr>
    </w:p>
    <w:p w14:paraId="7B489ACA">
      <w:pPr>
        <w:pStyle w:val="4"/>
        <w:spacing w:before="200" w:after="120"/>
      </w:pPr>
      <w:bookmarkStart w:id="29" w:name="bm_529"/>
      <w:r>
        <w:t>蜡烛图</w:t>
      </w:r>
      <w:bookmarkEnd w:id="29"/>
    </w:p>
    <w:p w14:paraId="7446A17E">
      <w:pPr>
        <w:spacing w:after="120"/>
      </w:pPr>
      <w:r>
        <w:t>TradingView Lightweight Charts库，通过WebSocket流式传输OHLCV更新。</w:t>
      </w:r>
    </w:p>
    <w:p w14:paraId="76B6EFFB">
      <w:pPr>
        <w:pStyle w:val="16"/>
        <w:numPr>
          <w:ilvl w:val="0"/>
          <w:numId w:val="1"/>
        </w:numPr>
        <w:spacing w:after="60"/>
      </w:pPr>
      <w:r>
        <w:t>数据源：WebSocket /ws/ohlcv/{ticker}，每分钟发出新蜡烛</w:t>
      </w:r>
    </w:p>
    <w:p w14:paraId="2A46B57F">
      <w:pPr>
        <w:pStyle w:val="16"/>
        <w:numPr>
          <w:ilvl w:val="0"/>
          <w:numId w:val="1"/>
        </w:numPr>
        <w:spacing w:after="60"/>
      </w:pPr>
      <w:r>
        <w:t>交互：十字线显示光标处的OHLCV+体积；延迟必须&lt;50ms移动</w:t>
      </w:r>
    </w:p>
    <w:p w14:paraId="560CAC6B">
      <w:pPr>
        <w:pStyle w:val="16"/>
        <w:numPr>
          <w:ilvl w:val="0"/>
          <w:numId w:val="1"/>
        </w:numPr>
        <w:spacing w:after="60"/>
      </w:pPr>
      <w:r>
        <w:t>滚动：在时间上左右平移；用鼠标滚轮或捏缩放进出</w:t>
      </w:r>
    </w:p>
    <w:p w14:paraId="6F1E85EE">
      <w:pPr>
        <w:pStyle w:val="16"/>
        <w:numPr>
          <w:ilvl w:val="0"/>
          <w:numId w:val="1"/>
        </w:numPr>
        <w:spacing w:after="60"/>
      </w:pPr>
      <w:r>
        <w:t>点击蜡烛：显示完整蜡烛详情{ open, high, low, close, volume, hl2 }</w:t>
      </w:r>
    </w:p>
    <w:p w14:paraId="1769E934">
      <w:pPr>
        <w:pStyle w:val="16"/>
        <w:numPr>
          <w:ilvl w:val="0"/>
          <w:numId w:val="1"/>
        </w:numPr>
        <w:spacing w:after="60"/>
      </w:pPr>
      <w:r>
        <w:t>视觉：牛蜡烛=绿色（收盘&gt;开盘）、熊蜡烛=红色、无变化=灰色</w:t>
      </w:r>
    </w:p>
    <w:p w14:paraId="3006C498">
      <w:pPr>
        <w:spacing w:after="150"/>
      </w:pPr>
    </w:p>
    <w:p w14:paraId="64002343">
      <w:pPr>
        <w:pStyle w:val="4"/>
        <w:spacing w:before="200" w:after="120"/>
      </w:pPr>
      <w:bookmarkStart w:id="30" w:name="bm_530"/>
      <w:r>
        <w:t>特征热力图</w:t>
      </w:r>
      <w:bookmarkEnd w:id="30"/>
    </w:p>
    <w:p w14:paraId="6498186D">
      <w:pPr>
        <w:spacing w:after="120"/>
      </w:pPr>
      <w:r>
        <w:t>特征（行）×代码（列）网格，每个单元格按特征z-score着色（红色=极端、绿色=正常、蓝色=相反极端）。</w:t>
      </w:r>
    </w:p>
    <w:p w14:paraId="74424625">
      <w:pPr>
        <w:pStyle w:val="16"/>
        <w:numPr>
          <w:ilvl w:val="0"/>
          <w:numId w:val="1"/>
        </w:numPr>
        <w:spacing w:after="60"/>
      </w:pPr>
      <w:r>
        <w:t>数据源：GET /api/v1/features/state?tickers=AAPL,MSFT,...每30秒轮询一次</w:t>
      </w:r>
    </w:p>
    <w:p w14:paraId="1303976A">
      <w:pPr>
        <w:pStyle w:val="16"/>
        <w:numPr>
          <w:ilvl w:val="0"/>
          <w:numId w:val="1"/>
        </w:numPr>
        <w:spacing w:after="60"/>
      </w:pPr>
      <w:r>
        <w:t>特征列表：动量（10天、20天、60天）、波动率、均值回归得分、与SPY的相关性、部门动量、体积异常、其他</w:t>
      </w:r>
    </w:p>
    <w:p w14:paraId="7CF04805">
      <w:pPr>
        <w:pStyle w:val="16"/>
        <w:numPr>
          <w:ilvl w:val="0"/>
          <w:numId w:val="1"/>
        </w:numPr>
        <w:spacing w:after="60"/>
      </w:pPr>
      <w:r>
        <w:t>颜色映射：z-score &lt; -2.5→深蓝、-2.5至-1→浅蓝、-1至1→白色、1至2.5→浅红、&gt; 2.5→深红</w:t>
      </w:r>
    </w:p>
    <w:p w14:paraId="5BBEFB4D">
      <w:pPr>
        <w:pStyle w:val="16"/>
        <w:numPr>
          <w:ilvl w:val="0"/>
          <w:numId w:val="1"/>
        </w:numPr>
        <w:spacing w:after="60"/>
      </w:pPr>
      <w:r>
        <w:t>悬停：工具提示显示特征名称+值+z-score+解释</w:t>
      </w:r>
    </w:p>
    <w:p w14:paraId="1540ACFB">
      <w:pPr>
        <w:pStyle w:val="16"/>
        <w:numPr>
          <w:ilvl w:val="0"/>
          <w:numId w:val="1"/>
        </w:numPr>
        <w:spacing w:after="60"/>
      </w:pPr>
      <w:r>
        <w:t>点击单元格：导航到/features/{feature_id}/{ticker}获取完整历史记录</w:t>
      </w:r>
    </w:p>
    <w:p w14:paraId="1A84D71A">
      <w:pPr>
        <w:spacing w:after="150"/>
      </w:pPr>
    </w:p>
    <w:p w14:paraId="241437F6">
      <w:pPr>
        <w:pStyle w:val="4"/>
        <w:spacing w:before="200" w:after="120"/>
      </w:pPr>
      <w:bookmarkStart w:id="31" w:name="bm_531"/>
      <w:r>
        <w:t>数据质量面板</w:t>
      </w:r>
      <w:bookmarkEnd w:id="31"/>
    </w:p>
    <w:p w14:paraId="6B34AE5C">
      <w:pPr>
        <w:spacing w:after="120"/>
      </w:pPr>
      <w:r>
        <w:t>当前代码数据验证规则的检查表。</w:t>
      </w:r>
    </w:p>
    <w:p w14:paraId="58F870FB">
      <w:pPr>
        <w:pStyle w:val="16"/>
        <w:numPr>
          <w:ilvl w:val="0"/>
          <w:numId w:val="1"/>
        </w:numPr>
        <w:spacing w:after="60"/>
      </w:pPr>
      <w:r>
        <w:t>数据源：GET /api/v1/data/quality/{ticker}，每60秒刷新一次</w:t>
      </w:r>
    </w:p>
    <w:p w14:paraId="2F163168">
      <w:pPr>
        <w:pStyle w:val="16"/>
        <w:numPr>
          <w:ilvl w:val="0"/>
          <w:numId w:val="1"/>
        </w:numPr>
        <w:spacing w:after="60"/>
      </w:pPr>
      <w:r>
        <w:t>规则：OHLCV非负、O &lt;= H、O &gt;= L、体积&gt; 0、无重复时间戳、无间隙&gt;5分钟、价格非NaN</w:t>
      </w:r>
    </w:p>
    <w:p w14:paraId="3A3772AF">
      <w:pPr>
        <w:pStyle w:val="16"/>
        <w:numPr>
          <w:ilvl w:val="0"/>
          <w:numId w:val="1"/>
        </w:numPr>
        <w:spacing w:after="60"/>
      </w:pPr>
      <w:r>
        <w:t>视觉：通过=绿色复选标记、失败=红色X、警告=黄色！</w:t>
      </w:r>
    </w:p>
    <w:p w14:paraId="5B933BD7">
      <w:pPr>
        <w:pStyle w:val="16"/>
        <w:numPr>
          <w:ilvl w:val="0"/>
          <w:numId w:val="1"/>
        </w:numPr>
        <w:spacing w:after="60"/>
      </w:pPr>
      <w:r>
        <w:t>点击行：显示验证错误详情+受影响的蜡烛+重新处理建议</w:t>
      </w:r>
    </w:p>
    <w:p w14:paraId="23F4236D">
      <w:pPr>
        <w:spacing w:after="150"/>
      </w:pPr>
    </w:p>
    <w:p w14:paraId="5CB16229">
      <w:pPr>
        <w:pStyle w:val="4"/>
        <w:spacing w:before="200" w:after="120"/>
      </w:pPr>
      <w:bookmarkStart w:id="32" w:name="bm_532"/>
      <w:r>
        <w:t>特征统计表</w:t>
      </w:r>
      <w:bookmarkEnd w:id="32"/>
    </w:p>
    <w:p w14:paraId="399A407B">
      <w:pPr>
        <w:spacing w:after="120"/>
      </w:pPr>
      <w:r>
        <w:t>当前代码所有特征的汇总统计数据。</w:t>
      </w:r>
    </w:p>
    <w:p w14:paraId="12F953F6">
      <w:pPr>
        <w:pStyle w:val="16"/>
        <w:numPr>
          <w:ilvl w:val="0"/>
          <w:numId w:val="1"/>
        </w:numPr>
        <w:spacing w:after="60"/>
      </w:pPr>
      <w:r>
        <w:t>列：特征、值、平均值、标准差、最小值、最大值、更新时间戳</w:t>
      </w:r>
    </w:p>
    <w:p w14:paraId="0F023BFF">
      <w:pPr>
        <w:pStyle w:val="16"/>
        <w:numPr>
          <w:ilvl w:val="0"/>
          <w:numId w:val="1"/>
        </w:numPr>
        <w:spacing w:after="60"/>
      </w:pPr>
      <w:r>
        <w:t>数据源：GET /api/v1/features/stats/{ticker}，每5分钟刷新一次</w:t>
      </w:r>
    </w:p>
    <w:p w14:paraId="52CB7663">
      <w:pPr>
        <w:pStyle w:val="16"/>
        <w:numPr>
          <w:ilvl w:val="0"/>
          <w:numId w:val="1"/>
        </w:numPr>
        <w:spacing w:after="60"/>
      </w:pPr>
      <w:r>
        <w:t>可排序：点击列标题升序/降序排序</w:t>
      </w:r>
    </w:p>
    <w:p w14:paraId="55F27687">
      <w:pPr>
        <w:pStyle w:val="16"/>
        <w:numPr>
          <w:ilvl w:val="0"/>
          <w:numId w:val="1"/>
        </w:numPr>
        <w:spacing w:after="60"/>
      </w:pPr>
      <w:r>
        <w:t>突出显示：如果值&gt; 2σ从平均值，单元格背景为浅红+粗体文本</w:t>
      </w:r>
    </w:p>
    <w:p w14:paraId="1C620546">
      <w:pPr>
        <w:spacing w:after="150"/>
      </w:pPr>
    </w:p>
    <w:p w14:paraId="1922C3CB">
      <w:pPr>
        <w:pStyle w:val="3"/>
        <w:spacing w:before="200" w:after="120"/>
      </w:pPr>
      <w:bookmarkStart w:id="33" w:name="bm_533"/>
      <w:r>
        <w:t>数据契约</w:t>
      </w:r>
      <w:bookmarkEnd w:id="33"/>
    </w:p>
    <w:p w14:paraId="31837909">
      <w:pPr>
        <w:spacing w:after="120"/>
      </w:pPr>
      <w:r>
        <w:t>特征状态响应：</w:t>
      </w:r>
    </w:p>
    <w:p w14:paraId="2D176631">
      <w:pPr>
        <w:spacing w:after="120"/>
      </w:pPr>
      <w:r>
        <w:t>{
  "ticker": "AAPL",
  "timestamp": "2026-04-12T14:30:00Z",
  "features": [
    { "name": "momentum_10d", "value": 0.0234, "z_score": 1.2, "percentile": 0.88 },
    { "name": "volatility_20d", "value": 0.162, "z_score": -0.3, "percentile": 0.38 },
    { "name": "meanreversion_score", "value": 0.65, "z_score": 2.1, "percentile": 0.98 }
  ]
}</w:t>
      </w:r>
    </w:p>
    <w:p w14:paraId="6927C24B">
      <w:pPr>
        <w:spacing w:after="150"/>
      </w:pPr>
    </w:p>
    <w:p w14:paraId="67D297B1">
      <w:pPr>
        <w:pStyle w:val="3"/>
        <w:spacing w:before="200" w:after="120"/>
      </w:pPr>
      <w:bookmarkStart w:id="34" w:name="bm_534"/>
      <w:r>
        <w:t>验收标准</w:t>
      </w:r>
      <w:bookmarkEnd w:id="34"/>
    </w:p>
    <w:tbl>
      <w:tblPr>
        <w:tblStyle w:val="11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</w:tblGrid>
      <w:tr w14:paraId="0ECC798E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D4A9A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标准</w:t>
            </w:r>
          </w:p>
        </w:tc>
        <w:tc>
          <w:tcPr>
            <w:tcW w:w="4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E18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14:paraId="4D5AAC64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706F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1. 十字线延迟</w:t>
            </w:r>
          </w:p>
        </w:tc>
        <w:tc>
          <w:tcPr>
            <w:tcW w:w="4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1BFA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鼠标移动到OHLCV更新&lt; 50ms</w:t>
            </w:r>
          </w:p>
        </w:tc>
      </w:tr>
      <w:tr w14:paraId="12C355F8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8052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2. 蜡烛流式传输</w:t>
            </w:r>
          </w:p>
        </w:tc>
        <w:tc>
          <w:tcPr>
            <w:tcW w:w="4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5920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新蜡烛在市场数据接收后&lt;2s出现</w:t>
            </w:r>
          </w:p>
        </w:tc>
      </w:tr>
      <w:tr w14:paraId="25398775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39DC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3. 热力图颜色准确度</w:t>
            </w:r>
          </w:p>
        </w:tc>
        <w:tc>
          <w:tcPr>
            <w:tcW w:w="4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AA60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z-score着色与公式匹配，在0.1σ内</w:t>
            </w:r>
          </w:p>
        </w:tc>
      </w:tr>
      <w:tr w14:paraId="56401C4C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9C64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4. 特征统计</w:t>
            </w:r>
          </w:p>
        </w:tc>
        <w:tc>
          <w:tcPr>
            <w:tcW w:w="4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50B0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头部点击时正确排序，&lt;300ms动画</w:t>
            </w:r>
          </w:p>
        </w:tc>
      </w:tr>
      <w:tr w14:paraId="4CFC23F3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E204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5. 代码选项卡切换</w:t>
            </w:r>
          </w:p>
        </w:tc>
        <w:tc>
          <w:tcPr>
            <w:tcW w:w="4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28FD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新图表在1秒内加载，无闪烁</w:t>
            </w:r>
          </w:p>
        </w:tc>
      </w:tr>
      <w:tr w14:paraId="17FEFC96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C779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6. 数据质量验证</w:t>
            </w:r>
          </w:p>
        </w:tc>
        <w:tc>
          <w:tcPr>
            <w:tcW w:w="4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FCB0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所有7条规则在100ms内执行，立即显示结果</w:t>
            </w:r>
          </w:p>
        </w:tc>
      </w:tr>
    </w:tbl>
    <w:p w14:paraId="7C79D2C7">
      <w:pPr>
        <w:spacing w:after="150"/>
      </w:pPr>
    </w:p>
    <w:p w14:paraId="280EE63F">
      <w:pPr>
        <w:pStyle w:val="3"/>
        <w:spacing w:before="200" w:after="120"/>
      </w:pPr>
      <w:bookmarkStart w:id="35" w:name="bm_535"/>
      <w:r>
        <w:t>边界场景与错误处理</w:t>
      </w:r>
      <w:bookmarkEnd w:id="35"/>
    </w:p>
    <w:p w14:paraId="386A2FB5">
      <w:pPr>
        <w:pStyle w:val="16"/>
        <w:numPr>
          <w:ilvl w:val="0"/>
          <w:numId w:val="1"/>
        </w:numPr>
        <w:spacing w:after="60"/>
      </w:pPr>
      <w:r>
        <w:t>WebSocket断开连接：显示'图表断开连接'覆盖层，队列传入刻度，自动重新连接</w:t>
      </w:r>
    </w:p>
    <w:p w14:paraId="33E4AD71">
      <w:pPr>
        <w:pStyle w:val="16"/>
        <w:numPr>
          <w:ilvl w:val="0"/>
          <w:numId w:val="1"/>
        </w:numPr>
        <w:spacing w:after="60"/>
      </w:pPr>
      <w:r>
        <w:t>没有代码数据：显示'没有可用的市场数据'+建议选择不同的代码</w:t>
      </w:r>
    </w:p>
    <w:p w14:paraId="3AA9B0E2">
      <w:pPr>
        <w:pStyle w:val="16"/>
        <w:numPr>
          <w:ilvl w:val="0"/>
          <w:numId w:val="1"/>
        </w:numPr>
        <w:spacing w:after="60"/>
      </w:pPr>
      <w:r>
        <w:t>特征计算超时(&gt;3s)：显示'计算中...'旋转器，5秒后回退到缓存值</w:t>
      </w:r>
    </w:p>
    <w:p w14:paraId="57DD63A7">
      <w:pPr>
        <w:pStyle w:val="16"/>
        <w:numPr>
          <w:ilvl w:val="0"/>
          <w:numId w:val="1"/>
        </w:numPr>
        <w:spacing w:after="60"/>
      </w:pPr>
      <w:r>
        <w:t>缺少特征的热力图：显示缺失单元格的'—'，记录为数据质量问题</w:t>
      </w:r>
    </w:p>
    <w:p w14:paraId="4385B4A2">
      <w:pPr>
        <w:pStyle w:val="16"/>
        <w:numPr>
          <w:ilvl w:val="0"/>
          <w:numId w:val="1"/>
        </w:numPr>
        <w:spacing w:after="60"/>
      </w:pPr>
      <w:r>
        <w:t>检测到重复蜡烛：忽略，记录CRC32哈希冲突警告</w:t>
      </w:r>
    </w:p>
    <w:p w14:paraId="287CE825">
      <w:pPr>
        <w:pStyle w:val="2"/>
        <w:spacing w:before="200" w:after="120"/>
      </w:pPr>
      <w:bookmarkStart w:id="36" w:name="bm_536"/>
      <w:r>
        <w:t>模块3：模型推理与状态</w:t>
      </w:r>
      <w:bookmarkEnd w:id="36"/>
    </w:p>
    <w:p w14:paraId="1CB9ED23">
      <w:pPr>
        <w:jc w:val="center"/>
      </w:pPr>
      <w:r>
        <w:drawing>
          <wp:inline distT="0" distB="0" distL="0" distR="0">
            <wp:extent cx="6477000" cy="3600450"/>
            <wp:effectExtent l="0" t="0" r="0" b="0"/>
            <wp:docPr id="4" name="mod3_wireframe" descr="HMM regime bars, direction prediction grid, fusion results, and performance charts" title="Model Inference &amp; Stat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d3_wireframe" descr="HMM regime bars, direction prediction grid, fusion results, and performance charts" title="Model Inference &amp; State Wirefram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57ACA">
      <w:pPr>
        <w:spacing w:after="150"/>
      </w:pPr>
    </w:p>
    <w:p w14:paraId="41E3BE44">
      <w:pPr>
        <w:pStyle w:val="3"/>
        <w:spacing w:before="200" w:after="120"/>
      </w:pPr>
      <w:bookmarkStart w:id="37" w:name="bm_537"/>
      <w:r>
        <w:t>设计理念与用户心理</w:t>
      </w:r>
      <w:bookmarkEnd w:id="37"/>
    </w:p>
    <w:p w14:paraId="475ADF92">
      <w:pPr>
        <w:spacing w:after="120"/>
      </w:pPr>
      <w:r>
        <w:t>模型输出是交易员做决定所需的单一最重要信号。模块3展示了三个推理层：制度检测（我们处于什么环境？）、每模型方向预测（每个模型认为什么？）和融合输出（我们集体相信什么？）。</w:t>
      </w:r>
    </w:p>
    <w:p w14:paraId="30AEC2D3">
      <w:pPr>
        <w:spacing w:after="120"/>
      </w:pPr>
      <w:r>
        <w:t>该设计为HMM制度使用大型、清晰的概率条。92%'上升趋势'制度的概率在视觉上是显而易见的。融合结果徽章（牛市/熊市/中立）是焦点，着色和图标繁重，所以交易员可以在&lt;1秒内做出直觉决定。</w:t>
      </w:r>
    </w:p>
    <w:p w14:paraId="1BB2F6E1">
      <w:pPr>
        <w:spacing w:after="150"/>
      </w:pPr>
    </w:p>
    <w:p w14:paraId="701E80C8">
      <w:pPr>
        <w:pStyle w:val="3"/>
        <w:spacing w:before="200" w:after="120"/>
      </w:pPr>
      <w:bookmarkStart w:id="38" w:name="bm_538"/>
      <w:r>
        <w:t>组件清单</w:t>
      </w:r>
      <w:bookmarkEnd w:id="38"/>
    </w:p>
    <w:tbl>
      <w:tblPr>
        <w:tblStyle w:val="11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9"/>
        <w:gridCol w:w="1880"/>
        <w:gridCol w:w="3251"/>
        <w:gridCol w:w="1880"/>
      </w:tblGrid>
      <w:tr w14:paraId="7F25751C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A482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组件名称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0EB0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AF4F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数据绑定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F21A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交互</w:t>
            </w:r>
          </w:p>
        </w:tc>
      </w:tr>
      <w:tr w14:paraId="0B6F63AE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6DF8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HMM 制度概率条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EF0A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水平条形图（4个条）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1AF3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/api/v1/inference/hmm/state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1950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悬停→制度解释</w:t>
            </w:r>
          </w:p>
        </w:tc>
      </w:tr>
      <w:tr w14:paraId="12318992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741C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方向预测网格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327E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表（3个模型×N个代码）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A90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/api/v1/inference/predictions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BA3A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点击单元格→模型可解释性</w:t>
            </w:r>
          </w:p>
        </w:tc>
      </w:tr>
      <w:tr w14:paraId="77F4F94B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516C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融合结果卡片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86FA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卡片+徽章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B4AF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/api/v1/inference/fusion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CE7A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点击→详细评分细分</w:t>
            </w:r>
          </w:p>
        </w:tc>
      </w:tr>
      <w:tr w14:paraId="4B854FF6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73E8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性能滚动准确度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5A38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折线图（30天）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EB2F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/api/v1/inference/accuracy/rolling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E58E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悬停→每日准确度值</w:t>
            </w:r>
          </w:p>
        </w:tc>
      </w:tr>
      <w:tr w14:paraId="175FCFB0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5F06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置信度校准面板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8B9B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预期校准误差可视化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90EE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/api/v1/inference/calibration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37D8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悬停→置信度桶详情</w:t>
            </w:r>
          </w:p>
        </w:tc>
      </w:tr>
    </w:tbl>
    <w:p w14:paraId="5195C4D5">
      <w:pPr>
        <w:spacing w:after="150"/>
      </w:pPr>
    </w:p>
    <w:p w14:paraId="7192825A">
      <w:pPr>
        <w:pStyle w:val="4"/>
        <w:spacing w:before="200" w:after="120"/>
      </w:pPr>
      <w:bookmarkStart w:id="39" w:name="bm_539"/>
      <w:r>
        <w:t>HMM 制度概率条</w:t>
      </w:r>
      <w:bookmarkEnd w:id="39"/>
    </w:p>
    <w:p w14:paraId="23ECF026">
      <w:pPr>
        <w:spacing w:after="120"/>
      </w:pPr>
      <w:r>
        <w:t>4条水平条表示制度概率：上升趋势、下降趋势、均值回归、危机。</w:t>
      </w:r>
    </w:p>
    <w:p w14:paraId="4124AC58">
      <w:pPr>
        <w:pStyle w:val="16"/>
        <w:numPr>
          <w:ilvl w:val="0"/>
          <w:numId w:val="1"/>
        </w:numPr>
        <w:spacing w:after="60"/>
      </w:pPr>
      <w:r>
        <w:t>数据源：GET /api/v1/inference/hmm/state，每5秒轮询一次</w:t>
      </w:r>
    </w:p>
    <w:p w14:paraId="16BBEE70">
      <w:pPr>
        <w:pStyle w:val="16"/>
        <w:numPr>
          <w:ilvl w:val="0"/>
          <w:numId w:val="1"/>
        </w:numPr>
        <w:spacing w:after="60"/>
      </w:pPr>
      <w:r>
        <w:t>视觉：条长与概率成正比；当前制度有粗蓝边框</w:t>
      </w:r>
    </w:p>
    <w:p w14:paraId="35C6FF61">
      <w:pPr>
        <w:pStyle w:val="16"/>
        <w:numPr>
          <w:ilvl w:val="0"/>
          <w:numId w:val="1"/>
        </w:numPr>
        <w:spacing w:after="60"/>
      </w:pPr>
      <w:r>
        <w:t>颜色映射：上升趋势=绿色、下降趋势=红色、均值回归=蓝色、危机=深红/黑</w:t>
      </w:r>
    </w:p>
    <w:p w14:paraId="0ED65258">
      <w:pPr>
        <w:pStyle w:val="16"/>
        <w:numPr>
          <w:ilvl w:val="0"/>
          <w:numId w:val="1"/>
        </w:numPr>
        <w:spacing w:after="60"/>
      </w:pPr>
      <w:r>
        <w:t>悬停：工具提示显示制度名称+概率%+解释（例如，'制度：上升趋势（92%）。市场处于强劲上升趋势，动量为正。'）</w:t>
      </w:r>
    </w:p>
    <w:p w14:paraId="0811A6B9">
      <w:pPr>
        <w:pStyle w:val="16"/>
        <w:numPr>
          <w:ilvl w:val="0"/>
          <w:numId w:val="1"/>
        </w:numPr>
        <w:spacing w:after="60"/>
      </w:pPr>
      <w:r>
        <w:t>动画：概率变化时条平滑过渡</w:t>
      </w:r>
    </w:p>
    <w:p w14:paraId="4C11ECC6">
      <w:pPr>
        <w:spacing w:after="150"/>
      </w:pPr>
    </w:p>
    <w:p w14:paraId="61F4D1CF">
      <w:pPr>
        <w:pStyle w:val="4"/>
        <w:spacing w:before="200" w:after="120"/>
      </w:pPr>
      <w:bookmarkStart w:id="40" w:name="bm_540"/>
      <w:r>
        <w:t>方向预测网格</w:t>
      </w:r>
      <w:bookmarkEnd w:id="40"/>
    </w:p>
    <w:p w14:paraId="19530696">
      <w:pPr>
        <w:spacing w:after="120"/>
      </w:pPr>
      <w:r>
        <w:t>表：行=3种模型类型（LSTM、XGBoost、集合），列=观察表中的代码。</w:t>
      </w:r>
    </w:p>
    <w:p w14:paraId="63E050F2">
      <w:pPr>
        <w:pStyle w:val="16"/>
        <w:numPr>
          <w:ilvl w:val="0"/>
          <w:numId w:val="1"/>
        </w:numPr>
        <w:spacing w:after="60"/>
      </w:pPr>
      <w:r>
        <w:t>数据源：GET /api/v1/inference/predictions?models=lstm,xgboost,ensemble</w:t>
      </w:r>
    </w:p>
    <w:p w14:paraId="0D41D763">
      <w:pPr>
        <w:pStyle w:val="16"/>
        <w:numPr>
          <w:ilvl w:val="0"/>
          <w:numId w:val="1"/>
        </w:numPr>
        <w:spacing w:after="60"/>
      </w:pPr>
      <w:r>
        <w:t>单元格值：牛市（+1）、中立（0）、熊市（-1），带概率（例如，'牛市87%'）</w:t>
      </w:r>
    </w:p>
    <w:p w14:paraId="1D52E47C">
      <w:pPr>
        <w:pStyle w:val="16"/>
        <w:numPr>
          <w:ilvl w:val="0"/>
          <w:numId w:val="1"/>
        </w:numPr>
        <w:spacing w:after="60"/>
      </w:pPr>
      <w:r>
        <w:t>颜色映射：牛市=绿色、中立=灰色、熊市=红色，强度=置信水平</w:t>
      </w:r>
    </w:p>
    <w:p w14:paraId="56861E0A">
      <w:pPr>
        <w:pStyle w:val="16"/>
        <w:numPr>
          <w:ilvl w:val="0"/>
          <w:numId w:val="1"/>
        </w:numPr>
        <w:spacing w:after="60"/>
      </w:pPr>
      <w:r>
        <w:t>点击单元格：打开显示模型可解释性的面板（特征重要性+决策边界）</w:t>
      </w:r>
    </w:p>
    <w:p w14:paraId="5144967B">
      <w:pPr>
        <w:pStyle w:val="16"/>
        <w:numPr>
          <w:ilvl w:val="0"/>
          <w:numId w:val="1"/>
        </w:numPr>
        <w:spacing w:after="60"/>
      </w:pPr>
      <w:r>
        <w:t>排序：点击列标题按置信度降序排序（最有信心的预测优先）</w:t>
      </w:r>
    </w:p>
    <w:p w14:paraId="4D195F0E">
      <w:pPr>
        <w:spacing w:after="150"/>
      </w:pPr>
    </w:p>
    <w:p w14:paraId="5B832D6E">
      <w:pPr>
        <w:pStyle w:val="4"/>
        <w:spacing w:before="200" w:after="120"/>
      </w:pPr>
      <w:bookmarkStart w:id="41" w:name="bm_541"/>
      <w:r>
        <w:t>融合结果卡片</w:t>
      </w:r>
      <w:bookmarkEnd w:id="41"/>
    </w:p>
    <w:p w14:paraId="1241A407">
      <w:pPr>
        <w:spacing w:after="120"/>
      </w:pPr>
      <w:r>
        <w:t>对于每个代码，显示集合融合输出的卡片：牛市/中立/熊市徽章+置信度%+所有3个模型投票。</w:t>
      </w:r>
    </w:p>
    <w:p w14:paraId="2EBD7C5F">
      <w:pPr>
        <w:pStyle w:val="16"/>
        <w:numPr>
          <w:ilvl w:val="0"/>
          <w:numId w:val="1"/>
        </w:numPr>
        <w:spacing w:after="60"/>
      </w:pPr>
      <w:r>
        <w:t>数据源：GET /api/v1/inference/fusion，每10秒轮询一次</w:t>
      </w:r>
    </w:p>
    <w:p w14:paraId="0434DBFD">
      <w:pPr>
        <w:pStyle w:val="16"/>
        <w:numPr>
          <w:ilvl w:val="0"/>
          <w:numId w:val="1"/>
        </w:numPr>
        <w:spacing w:after="60"/>
      </w:pPr>
      <w:r>
        <w:t>视觉：带图标的大徽章（↑表示牛市、=表示中立、↓表示熊市）+与预测匹配的背景颜色</w:t>
      </w:r>
    </w:p>
    <w:p w14:paraId="351EDFDF">
      <w:pPr>
        <w:pStyle w:val="16"/>
        <w:numPr>
          <w:ilvl w:val="0"/>
          <w:numId w:val="1"/>
        </w:numPr>
        <w:spacing w:after="60"/>
      </w:pPr>
      <w:r>
        <w:t>置信度：显示为%+圆形进度环（100%填满整个圆）</w:t>
      </w:r>
    </w:p>
    <w:p w14:paraId="353507A5">
      <w:pPr>
        <w:pStyle w:val="16"/>
        <w:numPr>
          <w:ilvl w:val="0"/>
          <w:numId w:val="1"/>
        </w:numPr>
        <w:spacing w:after="60"/>
      </w:pPr>
      <w:r>
        <w:t>点击卡片：展开显示投票细分（例如，2个模型牛市、1个中立）+置信度分数</w:t>
      </w:r>
    </w:p>
    <w:p w14:paraId="67504F80">
      <w:pPr>
        <w:spacing w:after="150"/>
      </w:pPr>
    </w:p>
    <w:p w14:paraId="634E357A">
      <w:pPr>
        <w:pStyle w:val="4"/>
        <w:spacing w:before="200" w:after="120"/>
      </w:pPr>
      <w:bookmarkStart w:id="42" w:name="bm_542"/>
      <w:r>
        <w:t>性能滚动准确度</w:t>
      </w:r>
      <w:bookmarkEnd w:id="42"/>
    </w:p>
    <w:p w14:paraId="7DC9D349">
      <w:pPr>
        <w:spacing w:after="120"/>
      </w:pPr>
      <w:r>
        <w:t>折线图显示预测准确度（%正确调用）在过去30天。</w:t>
      </w:r>
    </w:p>
    <w:p w14:paraId="56BFCD89">
      <w:pPr>
        <w:pStyle w:val="16"/>
        <w:numPr>
          <w:ilvl w:val="0"/>
          <w:numId w:val="1"/>
        </w:numPr>
        <w:spacing w:after="60"/>
      </w:pPr>
      <w:r>
        <w:t>数据源：GET /api/v1/inference/accuracy/rolling，每小时刷新一次</w:t>
      </w:r>
    </w:p>
    <w:p w14:paraId="02BF5F12">
      <w:pPr>
        <w:pStyle w:val="16"/>
        <w:numPr>
          <w:ilvl w:val="0"/>
          <w:numId w:val="1"/>
        </w:numPr>
        <w:spacing w:after="60"/>
      </w:pPr>
      <w:r>
        <w:t>定义：准确度=正确方向调用数/总方向调用数（超过1天窗口）</w:t>
      </w:r>
    </w:p>
    <w:p w14:paraId="09EAACB1">
      <w:pPr>
        <w:pStyle w:val="16"/>
        <w:numPr>
          <w:ilvl w:val="0"/>
          <w:numId w:val="1"/>
        </w:numPr>
        <w:spacing w:after="60"/>
      </w:pPr>
      <w:r>
        <w:t>视觉：带3个系列的折线图（LSTM准确度、XGBoost、集合）+阴影区域显示基准（买入并持有）</w:t>
      </w:r>
    </w:p>
    <w:p w14:paraId="0E71B628">
      <w:pPr>
        <w:pStyle w:val="16"/>
        <w:numPr>
          <w:ilvl w:val="0"/>
          <w:numId w:val="1"/>
        </w:numPr>
        <w:spacing w:after="60"/>
      </w:pPr>
      <w:r>
        <w:t>悬停：显示日期+每个模型的准确度%+基准</w:t>
      </w:r>
    </w:p>
    <w:p w14:paraId="624C0208">
      <w:pPr>
        <w:spacing w:after="150"/>
      </w:pPr>
    </w:p>
    <w:p w14:paraId="797D0194">
      <w:pPr>
        <w:pStyle w:val="4"/>
        <w:spacing w:before="200" w:after="120"/>
      </w:pPr>
      <w:bookmarkStart w:id="43" w:name="bm_543"/>
      <w:r>
        <w:t>置信度校准面板</w:t>
      </w:r>
      <w:bookmarkEnd w:id="43"/>
    </w:p>
    <w:p w14:paraId="025915BF">
      <w:pPr>
        <w:spacing w:after="120"/>
      </w:pPr>
      <w:r>
        <w:t>预期校准误差（ECE）的可视化：x轴=模型置信度桶（0-10%、10-20%、...、90-100%），y轴=该桶中的观察准确度。完美的校准是45°对角线。</w:t>
      </w:r>
    </w:p>
    <w:p w14:paraId="17502E1B">
      <w:pPr>
        <w:pStyle w:val="16"/>
        <w:numPr>
          <w:ilvl w:val="0"/>
          <w:numId w:val="1"/>
        </w:numPr>
        <w:spacing w:after="60"/>
      </w:pPr>
      <w:r>
        <w:t>数据源：GET /api/v1/inference/calibration，每小时刷新一次</w:t>
      </w:r>
    </w:p>
    <w:p w14:paraId="751C78DC">
      <w:pPr>
        <w:pStyle w:val="16"/>
        <w:numPr>
          <w:ilvl w:val="0"/>
          <w:numId w:val="1"/>
        </w:numPr>
        <w:spacing w:after="60"/>
      </w:pPr>
      <w:r>
        <w:t>解释：如果模型说80%有信心但只有60%正确，模型过度自信；ECE &gt; 0.05触发警告徽章</w:t>
      </w:r>
    </w:p>
    <w:p w14:paraId="7F932572">
      <w:pPr>
        <w:pStyle w:val="16"/>
        <w:numPr>
          <w:ilvl w:val="0"/>
          <w:numId w:val="1"/>
        </w:numPr>
        <w:spacing w:after="60"/>
      </w:pPr>
      <w:r>
        <w:t>视觉：散点图+理想对角线（浅灰）+实际校准曲线（蓝色）</w:t>
      </w:r>
    </w:p>
    <w:p w14:paraId="0F37FFEC">
      <w:pPr>
        <w:spacing w:after="150"/>
      </w:pPr>
    </w:p>
    <w:p w14:paraId="2C7E06BB">
      <w:pPr>
        <w:pStyle w:val="3"/>
        <w:spacing w:before="200" w:after="120"/>
      </w:pPr>
      <w:bookmarkStart w:id="44" w:name="bm_544"/>
      <w:r>
        <w:t>数据契约</w:t>
      </w:r>
      <w:bookmarkEnd w:id="44"/>
    </w:p>
    <w:p w14:paraId="1CA91F14">
      <w:pPr>
        <w:spacing w:after="120"/>
      </w:pPr>
      <w:r>
        <w:t>HMM 状态响应：</w:t>
      </w:r>
    </w:p>
    <w:p w14:paraId="478070A4">
      <w:pPr>
        <w:spacing w:after="120"/>
      </w:pPr>
      <w:r>
        <w:t>{
  "regimes": [
    { "name": "trending_up", "probability": 0.68, "interpreted": "强劲上升趋势" },
    { "name": "trending_down", "probability": 0.12, "interpreted": "弱下降趋势" },
    { "name": "mean_revert", "probability": 0.15, "interpreted": "区间波动" },
    { "name": "crisis", "probability": 0.05, "interpreted": "潜在波动率峰值" }
  ],
  "current_regime": "trending_up",
  "timestamp": "2026-04-12T14:30:15Z"
}</w:t>
      </w:r>
    </w:p>
    <w:p w14:paraId="02123586">
      <w:pPr>
        <w:spacing w:after="150"/>
      </w:pPr>
    </w:p>
    <w:p w14:paraId="5123A5A2">
      <w:pPr>
        <w:pStyle w:val="3"/>
        <w:spacing w:before="200" w:after="120"/>
      </w:pPr>
      <w:bookmarkStart w:id="45" w:name="bm_545"/>
      <w:r>
        <w:t>验收标准</w:t>
      </w:r>
      <w:bookmarkEnd w:id="45"/>
    </w:p>
    <w:tbl>
      <w:tblPr>
        <w:tblStyle w:val="11"/>
        <w:tblW w:w="5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3500"/>
      </w:tblGrid>
      <w:tr w14:paraId="5F698797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0EBF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标准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65CD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14:paraId="318B0EB3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6777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1. 制度条动画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B3A8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概率变化在&lt;500ms内平滑动画</w:t>
            </w:r>
          </w:p>
        </w:tc>
      </w:tr>
      <w:tr w14:paraId="510EE2E2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374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2. 预测网格排序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33FC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点击标题，网格在&lt;300ms内重新排序</w:t>
            </w:r>
          </w:p>
        </w:tc>
      </w:tr>
      <w:tr w14:paraId="11907236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0430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3. 融合卡片展开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7C2D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点击卡片，面板在&lt;400ms内滑出</w:t>
            </w:r>
          </w:p>
        </w:tc>
      </w:tr>
      <w:tr w14:paraId="5763C504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B74E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4. 准确度图表刷新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F7B2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每小时更新，无需页面重新加载</w:t>
            </w:r>
          </w:p>
        </w:tc>
      </w:tr>
      <w:tr w14:paraId="0B970F63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B8BD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5. 校准ECE计算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B2F5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与手动计算匹配，误差&lt;0.001</w:t>
            </w:r>
          </w:p>
        </w:tc>
      </w:tr>
      <w:tr w14:paraId="48D95CF9"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F9D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6. 模型投票显示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5B78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融合卡片展开中显示所有3个投票</w:t>
            </w:r>
          </w:p>
        </w:tc>
      </w:tr>
    </w:tbl>
    <w:p w14:paraId="29D1214C">
      <w:pPr>
        <w:spacing w:after="150"/>
      </w:pPr>
    </w:p>
    <w:p w14:paraId="4541D0EE">
      <w:pPr>
        <w:pStyle w:val="3"/>
        <w:spacing w:before="200" w:after="120"/>
      </w:pPr>
      <w:bookmarkStart w:id="46" w:name="bm_546"/>
      <w:r>
        <w:t>边界场景与错误处理</w:t>
      </w:r>
      <w:bookmarkEnd w:id="46"/>
    </w:p>
    <w:p w14:paraId="7B0AF008">
      <w:pPr>
        <w:pStyle w:val="16"/>
        <w:numPr>
          <w:ilvl w:val="0"/>
          <w:numId w:val="1"/>
        </w:numPr>
        <w:spacing w:after="60"/>
      </w:pPr>
      <w:r>
        <w:t>模型推理超时(&gt;2s)：显示'计算中...'旋转器，显示最后有效预测+年龄（例如，'5分钟前'）</w:t>
      </w:r>
    </w:p>
    <w:p w14:paraId="0C09D25D">
      <w:pPr>
        <w:pStyle w:val="16"/>
        <w:numPr>
          <w:ilvl w:val="0"/>
          <w:numId w:val="1"/>
        </w:numPr>
        <w:spacing w:after="60"/>
      </w:pPr>
      <w:r>
        <w:t>制度概率NaN或和≠1.0：记录数据质量问题，显示警告横幅</w:t>
      </w:r>
    </w:p>
    <w:p w14:paraId="65FC53F6">
      <w:pPr>
        <w:pStyle w:val="16"/>
        <w:numPr>
          <w:ilvl w:val="0"/>
          <w:numId w:val="1"/>
        </w:numPr>
        <w:spacing w:after="60"/>
      </w:pPr>
      <w:r>
        <w:t>预测分歧&gt;2个模型：以粗体突出显示，添加工具提示'集合对此调用不确定'</w:t>
      </w:r>
    </w:p>
    <w:p w14:paraId="28996951">
      <w:pPr>
        <w:pStyle w:val="16"/>
        <w:numPr>
          <w:ilvl w:val="0"/>
          <w:numId w:val="1"/>
        </w:numPr>
        <w:spacing w:after="60"/>
      </w:pPr>
      <w:r>
        <w:t>准确度&lt; 40%：显示警告徽章'模型表现不足'，建议审查</w:t>
      </w:r>
    </w:p>
    <w:p w14:paraId="64050516">
      <w:pPr>
        <w:pStyle w:val="16"/>
        <w:numPr>
          <w:ilvl w:val="0"/>
          <w:numId w:val="1"/>
        </w:numPr>
        <w:spacing w:after="60"/>
      </w:pPr>
      <w:r>
        <w:t>ECE &gt; 0.1：显示警告徽章'校准不佳'+推荐重新训练</w:t>
      </w:r>
    </w:p>
    <w:p w14:paraId="3CE990EE">
      <w:pPr>
        <w:pStyle w:val="2"/>
        <w:spacing w:before="200" w:after="120"/>
      </w:pPr>
      <w:bookmarkStart w:id="47" w:name="bm_547"/>
      <w:r>
        <w:t>模块4：Alpha 策略实验室</w:t>
      </w:r>
      <w:bookmarkEnd w:id="47"/>
    </w:p>
    <w:p w14:paraId="1656D199">
      <w:pPr>
        <w:jc w:val="center"/>
      </w:pPr>
      <w:r>
        <w:drawing>
          <wp:inline distT="0" distB="0" distL="0" distR="0">
            <wp:extent cx="6477000" cy="3600450"/>
            <wp:effectExtent l="0" t="0" r="0" b="0"/>
            <wp:docPr id="5" name="mod4_wireframe" descr="Factor DSL editor, parse status, backtest results, and LLM research visualization" title="Alpha Lab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od4_wireframe" descr="Factor DSL editor, parse status, backtest results, and LLM research visualization" title="Alpha Lab Wirefram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8FDC5">
      <w:pPr>
        <w:spacing w:after="150"/>
      </w:pPr>
    </w:p>
    <w:p w14:paraId="0FBA1026">
      <w:pPr>
        <w:pStyle w:val="3"/>
        <w:spacing w:before="200" w:after="120"/>
      </w:pPr>
      <w:bookmarkStart w:id="48" w:name="bm_548"/>
      <w:r>
        <w:t>设计理念与用户心理</w:t>
      </w:r>
      <w:bookmarkEnd w:id="48"/>
    </w:p>
    <w:p w14:paraId="0DC55564">
      <w:pPr>
        <w:spacing w:after="120"/>
      </w:pPr>
      <w:r>
        <w:t>Alpha实验室是研究人员尝试新因子和策略的地方。该设计弥合了代码和直觉之间的差距：交易员在熟悉的编辑器中编写DSL，接收即时解析反馈，在&lt;5秒内运行回测，并在显示alpha衰减、周转成本和制度依赖关系的图表中看到结果。</w:t>
      </w:r>
    </w:p>
    <w:p w14:paraId="35BD14D2">
      <w:pPr>
        <w:spacing w:after="120"/>
      </w:pPr>
      <w:r>
        <w:t>LLM研究循环可视化是关键——它向研究人员展示了生成过程（因子想法→生成候选→评估→完善），并为建议建立信心。研究人员在理解推理链时更信任建议。</w:t>
      </w:r>
    </w:p>
    <w:p w14:paraId="3D54411F">
      <w:pPr>
        <w:spacing w:after="150"/>
      </w:pPr>
    </w:p>
    <w:p w14:paraId="6E1D81AA">
      <w:pPr>
        <w:pStyle w:val="3"/>
        <w:spacing w:before="200" w:after="120"/>
      </w:pPr>
      <w:bookmarkStart w:id="49" w:name="bm_549"/>
      <w:r>
        <w:t>组件清单</w:t>
      </w:r>
      <w:bookmarkEnd w:id="49"/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61"/>
        <w:gridCol w:w="1820"/>
        <w:gridCol w:w="2999"/>
        <w:gridCol w:w="1820"/>
      </w:tblGrid>
      <w:tr w14:paraId="119CBBEB">
        <w:tc>
          <w:tcPr>
            <w:tcW w:w="1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7FF1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组件名称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03D8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C356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数据绑定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9027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交互</w:t>
            </w:r>
          </w:p>
        </w:tc>
      </w:tr>
      <w:tr w14:paraId="63EC9095">
        <w:tc>
          <w:tcPr>
            <w:tcW w:w="1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47F8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因子DSL编辑器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A1E4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Monaco编辑器（代码编辑器）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C55D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客户端（用户输入）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AA51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输入代码，Ctrl+Enter运行</w:t>
            </w:r>
          </w:p>
        </w:tc>
      </w:tr>
      <w:tr w14:paraId="7ACDB6FA">
        <w:tc>
          <w:tcPr>
            <w:tcW w:w="1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2269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解析状态指示灯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D28F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内联错误标记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FB08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POST /api/v1/dsl/parse（变更时）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05C2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显示AST验证+错误</w:t>
            </w:r>
          </w:p>
        </w:tc>
      </w:tr>
      <w:tr w14:paraId="6C0C8AB3">
        <w:tc>
          <w:tcPr>
            <w:tcW w:w="1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3433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回测结果面板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EA6A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指标卡片+表格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59FF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POST /api/v1/backtest（异步作业）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176E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点击指标了解时间序列向下钻取</w:t>
            </w:r>
          </w:p>
        </w:tc>
      </w:tr>
      <w:tr w14:paraId="681B727F">
        <w:tc>
          <w:tcPr>
            <w:tcW w:w="1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1998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P&amp;L累积图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C41E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折线图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09687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/api/v1/backtest/{job_id}/pnl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1D6C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悬停→每日收益+夏普比率</w:t>
            </w:r>
          </w:p>
        </w:tc>
      </w:tr>
      <w:tr w14:paraId="1523D188">
        <w:tc>
          <w:tcPr>
            <w:tcW w:w="19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3FFC4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LLM 研究循环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8DF7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动画过程图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EF0F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WebSocket /ws/research/{job_id}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42E1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实时观看代理进度</w:t>
            </w:r>
          </w:p>
        </w:tc>
      </w:tr>
    </w:tbl>
    <w:p w14:paraId="3A347528">
      <w:pPr>
        <w:spacing w:after="150"/>
      </w:pPr>
    </w:p>
    <w:p w14:paraId="5A9DA903">
      <w:pPr>
        <w:pStyle w:val="4"/>
        <w:spacing w:before="200" w:after="120"/>
      </w:pPr>
      <w:bookmarkStart w:id="50" w:name="bm_550"/>
      <w:r>
        <w:t>因子DSL编辑器</w:t>
      </w:r>
      <w:bookmarkEnd w:id="50"/>
    </w:p>
    <w:p w14:paraId="3112960E">
      <w:pPr>
        <w:spacing w:after="120"/>
      </w:pPr>
      <w:r>
        <w:t>Monaco编辑器实例，具有Alpha Core DSL的自定义语法高亮。</w:t>
      </w:r>
    </w:p>
    <w:p w14:paraId="03DDB0D2">
      <w:pPr>
        <w:pStyle w:val="16"/>
        <w:numPr>
          <w:ilvl w:val="0"/>
          <w:numId w:val="1"/>
        </w:numPr>
        <w:spacing w:after="60"/>
      </w:pPr>
      <w:r>
        <w:t>语言：Python风格的DSL，带有关键字[def、momentum、zscore、crossover、regime、if、return]</w:t>
      </w:r>
    </w:p>
    <w:p w14:paraId="1D15F324">
      <w:pPr>
        <w:pStyle w:val="16"/>
        <w:numPr>
          <w:ilvl w:val="0"/>
          <w:numId w:val="1"/>
        </w:numPr>
        <w:spacing w:after="60"/>
      </w:pPr>
      <w:r>
        <w:t>功能：语法高亮、行号、自动缩进、括号匹配、Ctrl+Enter =运行</w:t>
      </w:r>
    </w:p>
    <w:p w14:paraId="09ABCF15">
      <w:pPr>
        <w:pStyle w:val="16"/>
        <w:numPr>
          <w:ilvl w:val="0"/>
          <w:numId w:val="1"/>
        </w:numPr>
        <w:spacing w:after="60"/>
      </w:pPr>
      <w:r>
        <w:t>示例代码片段：</w:t>
      </w:r>
    </w:p>
    <w:p w14:paraId="7AFA13F2">
      <w:pPr>
        <w:spacing w:after="120"/>
      </w:pPr>
      <w:r>
        <w:t>def strategy():
  m10 = momentum(close, 10)
  m20 = momentum(close, 20)
  signal = zscore(m10 - m20)
  return signal &gt; 0.5</w:t>
      </w:r>
    </w:p>
    <w:p w14:paraId="1E5618C1">
      <w:pPr>
        <w:spacing w:after="150"/>
      </w:pPr>
    </w:p>
    <w:p w14:paraId="4D5E8B77">
      <w:pPr>
        <w:pStyle w:val="4"/>
        <w:spacing w:before="200" w:after="120"/>
      </w:pPr>
      <w:bookmarkStart w:id="51" w:name="bm_551"/>
      <w:r>
        <w:t>解析状态指示灯</w:t>
      </w:r>
      <w:bookmarkEnd w:id="51"/>
    </w:p>
    <w:p w14:paraId="0F579E15">
      <w:pPr>
        <w:spacing w:after="120"/>
      </w:pPr>
      <w:r>
        <w:t>实时DSL解析器反馈。当用户输入时，代码会根据AST语法进行验证。</w:t>
      </w:r>
    </w:p>
    <w:p w14:paraId="734ABAD8">
      <w:pPr>
        <w:pStyle w:val="16"/>
        <w:numPr>
          <w:ilvl w:val="0"/>
          <w:numId w:val="1"/>
        </w:numPr>
        <w:spacing w:after="60"/>
      </w:pPr>
      <w:r>
        <w:t>数据源：POST /api/v1/dsl/parse，抖动（最后一次按键后500ms）</w:t>
      </w:r>
    </w:p>
    <w:p w14:paraId="674D857B">
      <w:pPr>
        <w:pStyle w:val="16"/>
        <w:numPr>
          <w:ilvl w:val="0"/>
          <w:numId w:val="1"/>
        </w:numPr>
        <w:spacing w:after="60"/>
      </w:pPr>
      <w:r>
        <w:t>视觉状态：绿色复选标记=有效、红色X=解析错误，包含行号+消息</w:t>
      </w:r>
    </w:p>
    <w:p w14:paraId="242A958D">
      <w:pPr>
        <w:pStyle w:val="16"/>
        <w:numPr>
          <w:ilvl w:val="0"/>
          <w:numId w:val="1"/>
        </w:numPr>
        <w:spacing w:after="60"/>
      </w:pPr>
      <w:r>
        <w:t>错误：显示内联（红色波浪下划线）+编辑器下方的详细错误面板</w:t>
      </w:r>
    </w:p>
    <w:p w14:paraId="041F17C8">
      <w:pPr>
        <w:pStyle w:val="16"/>
        <w:numPr>
          <w:ilvl w:val="0"/>
          <w:numId w:val="1"/>
        </w:numPr>
        <w:spacing w:after="60"/>
      </w:pPr>
      <w:r>
        <w:t>性能：解析器在&lt;100ms内完成，用户无感知延迟</w:t>
      </w:r>
    </w:p>
    <w:p w14:paraId="023D526A">
      <w:pPr>
        <w:spacing w:after="150"/>
      </w:pPr>
    </w:p>
    <w:p w14:paraId="75D0E9C1">
      <w:pPr>
        <w:pStyle w:val="4"/>
        <w:spacing w:before="200" w:after="120"/>
      </w:pPr>
      <w:bookmarkStart w:id="52" w:name="bm_552"/>
      <w:r>
        <w:t>回测结果面板</w:t>
      </w:r>
      <w:bookmarkEnd w:id="52"/>
    </w:p>
    <w:p w14:paraId="5221EC46">
      <w:pPr>
        <w:spacing w:after="120"/>
      </w:pPr>
      <w:r>
        <w:t>作业完成后显示关键回测指标。</w:t>
      </w:r>
    </w:p>
    <w:p w14:paraId="7E1A691D">
      <w:pPr>
        <w:pStyle w:val="16"/>
        <w:numPr>
          <w:ilvl w:val="0"/>
          <w:numId w:val="1"/>
        </w:numPr>
        <w:spacing w:after="60"/>
      </w:pPr>
      <w:r>
        <w:t>显示的指标：IC（信息系数）、ICIR、Sharpe比率、Max DD、周转率%、Alpha衰减</w:t>
      </w:r>
    </w:p>
    <w:p w14:paraId="61E2E92A">
      <w:pPr>
        <w:pStyle w:val="16"/>
        <w:numPr>
          <w:ilvl w:val="0"/>
          <w:numId w:val="1"/>
        </w:numPr>
        <w:spacing w:after="60"/>
      </w:pPr>
      <w:r>
        <w:t>数据源：异步作业完成后GET /api/v1/backtest/{job_id}/results</w:t>
      </w:r>
    </w:p>
    <w:p w14:paraId="472B6D46">
      <w:pPr>
        <w:pStyle w:val="16"/>
        <w:numPr>
          <w:ilvl w:val="0"/>
          <w:numId w:val="1"/>
        </w:numPr>
        <w:spacing w:after="60"/>
      </w:pPr>
      <w:r>
        <w:t>作业状态：已排队→计算中→完成，带进度条+ETA</w:t>
      </w:r>
    </w:p>
    <w:p w14:paraId="3F514515">
      <w:pPr>
        <w:pStyle w:val="16"/>
        <w:numPr>
          <w:ilvl w:val="0"/>
          <w:numId w:val="1"/>
        </w:numPr>
        <w:spacing w:after="60"/>
      </w:pPr>
      <w:r>
        <w:t>视觉：网格中的指标卡片，按质量着色（绿色=好、红色=差）</w:t>
      </w:r>
    </w:p>
    <w:p w14:paraId="5E1E921F">
      <w:pPr>
        <w:pStyle w:val="16"/>
        <w:numPr>
          <w:ilvl w:val="0"/>
          <w:numId w:val="1"/>
        </w:numPr>
        <w:spacing w:after="60"/>
      </w:pPr>
      <w:r>
        <w:t>点击指标：展开显示时间序列（每日IC、每日Sharpe等）</w:t>
      </w:r>
    </w:p>
    <w:p w14:paraId="7837885A">
      <w:pPr>
        <w:spacing w:after="150"/>
      </w:pPr>
    </w:p>
    <w:p w14:paraId="2DA685B6">
      <w:pPr>
        <w:pStyle w:val="4"/>
        <w:spacing w:before="200" w:after="120"/>
      </w:pPr>
      <w:bookmarkStart w:id="53" w:name="bm_553"/>
      <w:r>
        <w:t>P&amp;L 累积图</w:t>
      </w:r>
      <w:bookmarkEnd w:id="53"/>
    </w:p>
    <w:p w14:paraId="291963A6">
      <w:pPr>
        <w:spacing w:after="120"/>
      </w:pPr>
      <w:r>
        <w:t>折线图显示累积策略P&amp;L对基准（SPY买入并持有）。</w:t>
      </w:r>
    </w:p>
    <w:p w14:paraId="2F4F6DDD">
      <w:pPr>
        <w:pStyle w:val="16"/>
        <w:numPr>
          <w:ilvl w:val="0"/>
          <w:numId w:val="1"/>
        </w:numPr>
        <w:spacing w:after="60"/>
      </w:pPr>
      <w:r>
        <w:t>数据源：GET /api/v1/backtest/{job_id}/pnl，返回每日收益数组</w:t>
      </w:r>
    </w:p>
    <w:p w14:paraId="383AD441">
      <w:pPr>
        <w:pStyle w:val="16"/>
        <w:numPr>
          <w:ilvl w:val="0"/>
          <w:numId w:val="1"/>
        </w:numPr>
        <w:spacing w:after="60"/>
      </w:pPr>
      <w:r>
        <w:t>视觉：2条线（策略用蓝色、基准用灰色），超额表现的阴影区域</w:t>
      </w:r>
    </w:p>
    <w:p w14:paraId="0273C7A5">
      <w:pPr>
        <w:pStyle w:val="16"/>
        <w:numPr>
          <w:ilvl w:val="0"/>
          <w:numId w:val="1"/>
        </w:numPr>
        <w:spacing w:after="60"/>
      </w:pPr>
      <w:r>
        <w:t>悬停：工具提示显示日期+策略收益+基准收益+每日超额</w:t>
      </w:r>
    </w:p>
    <w:p w14:paraId="15965193">
      <w:pPr>
        <w:pStyle w:val="16"/>
        <w:numPr>
          <w:ilvl w:val="0"/>
          <w:numId w:val="1"/>
        </w:numPr>
        <w:spacing w:after="60"/>
      </w:pPr>
      <w:r>
        <w:t>时间段：可通过日期选择器配置（默认：回测最后1年）</w:t>
      </w:r>
    </w:p>
    <w:p w14:paraId="0773F65A">
      <w:pPr>
        <w:spacing w:after="150"/>
      </w:pPr>
    </w:p>
    <w:p w14:paraId="7D3F6657">
      <w:pPr>
        <w:pStyle w:val="4"/>
        <w:spacing w:before="200" w:after="120"/>
      </w:pPr>
      <w:bookmarkStart w:id="54" w:name="bm_554"/>
      <w:r>
        <w:t>LLM 研究循环可视化</w:t>
      </w:r>
      <w:bookmarkEnd w:id="54"/>
    </w:p>
    <w:p w14:paraId="7825FB4F">
      <w:pPr>
        <w:spacing w:after="120"/>
      </w:pPr>
      <w:r>
        <w:t>动画4步工作流，实时显示LLM代理的研究过程。</w:t>
      </w:r>
    </w:p>
    <w:p w14:paraId="6AD5CF6D">
      <w:pPr>
        <w:pStyle w:val="16"/>
        <w:numPr>
          <w:ilvl w:val="0"/>
          <w:numId w:val="1"/>
        </w:numPr>
        <w:spacing w:after="60"/>
      </w:pPr>
      <w:r>
        <w:t>步骤：(1)因子想法→(2)生成候选→(3)评估→(4)完善</w:t>
      </w:r>
    </w:p>
    <w:p w14:paraId="69CB8BD2">
      <w:pPr>
        <w:pStyle w:val="16"/>
        <w:numPr>
          <w:ilvl w:val="0"/>
          <w:numId w:val="1"/>
        </w:numPr>
        <w:spacing w:after="60"/>
      </w:pPr>
      <w:r>
        <w:t>数据源：WebSocket /ws/research/{job_id}/progress，在代理步骤完成时发出更新</w:t>
      </w:r>
    </w:p>
    <w:p w14:paraId="5912AC50">
      <w:pPr>
        <w:pStyle w:val="16"/>
        <w:numPr>
          <w:ilvl w:val="0"/>
          <w:numId w:val="1"/>
        </w:numPr>
        <w:spacing w:after="60"/>
      </w:pPr>
      <w:r>
        <w:t>视觉：4个框图，带箭头；当前步骤突出显示为蓝色，完成的步骤为绿色，未来的步骤为灰色</w:t>
      </w:r>
    </w:p>
    <w:p w14:paraId="06DE9AB4">
      <w:pPr>
        <w:pStyle w:val="16"/>
        <w:numPr>
          <w:ilvl w:val="0"/>
          <w:numId w:val="1"/>
        </w:numPr>
        <w:spacing w:after="60"/>
      </w:pPr>
      <w:r>
        <w:t>交互：点击步骤→在侧面板中显示LLM提示+输出记录</w:t>
      </w:r>
    </w:p>
    <w:p w14:paraId="5611C1B4">
      <w:pPr>
        <w:pStyle w:val="16"/>
        <w:numPr>
          <w:ilvl w:val="0"/>
          <w:numId w:val="1"/>
        </w:numPr>
        <w:spacing w:after="60"/>
      </w:pPr>
      <w:r>
        <w:t>动画：每个步骤完成触发复选标记动画+500ms持续时间</w:t>
      </w:r>
    </w:p>
    <w:p w14:paraId="039FA4F7">
      <w:pPr>
        <w:spacing w:after="150"/>
      </w:pPr>
    </w:p>
    <w:p w14:paraId="3692142D">
      <w:pPr>
        <w:pStyle w:val="3"/>
        <w:spacing w:before="200" w:after="120"/>
      </w:pPr>
      <w:bookmarkStart w:id="55" w:name="bm_555"/>
      <w:r>
        <w:t>数据契约</w:t>
      </w:r>
      <w:bookmarkEnd w:id="55"/>
    </w:p>
    <w:p w14:paraId="14165FC6">
      <w:pPr>
        <w:spacing w:after="120"/>
      </w:pPr>
      <w:r>
        <w:t>DSL 解析响应：</w:t>
      </w:r>
    </w:p>
    <w:p w14:paraId="7CD0900C">
      <w:pPr>
        <w:spacing w:after="120"/>
      </w:pPr>
      <w:r>
        <w:t>{
  "valid": true,
  "ast": {
    "type": "FunctionDef",
    "name": "strategy",
    "body": [
      { "type": "Assignment", "target": "m10", "value": { "type": "Call", "func": "momentum", "args": ["close", 10] } }
    ]
  },
  "errors": [],
  "warnings": []
}</w:t>
      </w:r>
    </w:p>
    <w:p w14:paraId="504A075F">
      <w:pPr>
        <w:spacing w:after="150"/>
      </w:pPr>
    </w:p>
    <w:p w14:paraId="5369E0EF">
      <w:pPr>
        <w:pStyle w:val="3"/>
        <w:spacing w:before="200" w:after="120"/>
      </w:pPr>
      <w:bookmarkStart w:id="56" w:name="bm_556"/>
      <w:r>
        <w:t>回测作业响应</w:t>
      </w:r>
      <w:bookmarkEnd w:id="56"/>
    </w:p>
    <w:p w14:paraId="5517D04C">
      <w:pPr>
        <w:spacing w:after="120"/>
      </w:pPr>
      <w:r>
        <w:t>{
  "job_id": "bt_abc123",
  "status": "completed",
  "created_at": "2026-04-12T14:30:00Z",
  "completed_at": "2026-04-12T14:30:15Z",
  "results": {
    "ic": 0.087,
    "icir": 1.23,
    "sharpe": 1.54,
    "max_drawdown": -0.12,
    "turnover_pct": 15.3,
    "alpha_decay": 0.05,
    "total_return": 0.18,
    "annual_return": 0.18,
    "annual_volatility": 0.12
  }
}</w:t>
      </w:r>
    </w:p>
    <w:p w14:paraId="1724C14D">
      <w:pPr>
        <w:spacing w:after="150"/>
      </w:pPr>
    </w:p>
    <w:p w14:paraId="02253486">
      <w:pPr>
        <w:pStyle w:val="3"/>
        <w:spacing w:before="200" w:after="120"/>
      </w:pPr>
      <w:bookmarkStart w:id="57" w:name="bm_557"/>
      <w:r>
        <w:t>验收标准</w:t>
      </w:r>
      <w:bookmarkEnd w:id="57"/>
    </w:p>
    <w:tbl>
      <w:tblPr>
        <w:tblStyle w:val="11"/>
        <w:tblW w:w="5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500"/>
      </w:tblGrid>
      <w:tr w14:paraId="030ED484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82AC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标准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88725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14:paraId="76BB5861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64D2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1. 解析延迟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DCAC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从按键到错误显示&lt; 100ms</w:t>
            </w:r>
          </w:p>
        </w:tc>
      </w:tr>
      <w:tr w14:paraId="00D7F255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1CAA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2. 回测运行时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D8AB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SPY+10个特征的1年回测&lt; 5秒</w:t>
            </w:r>
          </w:p>
        </w:tc>
      </w:tr>
      <w:tr w14:paraId="0BB7D2FD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9A73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3. 结果准确度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D279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指标与离线计算匹配，误差&lt;0.001</w:t>
            </w:r>
          </w:p>
        </w:tc>
      </w:tr>
      <w:tr w14:paraId="02912AE4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BFA0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4. 图表渲染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17218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P&amp;L图表在作业完成后1秒内出现</w:t>
            </w:r>
          </w:p>
        </w:tc>
      </w:tr>
      <w:tr w14:paraId="5BB58884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67CE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5. LLM循环可视化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0D7E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当代理进展时实时更新</w:t>
            </w:r>
          </w:p>
        </w:tc>
      </w:tr>
      <w:tr w14:paraId="38487E2C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F6A6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6. 编辑器响应性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95F0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输入代码无延迟，Monaco在60fps处平滑渲染</w:t>
            </w:r>
          </w:p>
        </w:tc>
      </w:tr>
    </w:tbl>
    <w:p w14:paraId="5E55742E">
      <w:pPr>
        <w:spacing w:after="150"/>
      </w:pPr>
    </w:p>
    <w:p w14:paraId="3F05EA99">
      <w:pPr>
        <w:pStyle w:val="3"/>
        <w:spacing w:before="200" w:after="120"/>
      </w:pPr>
      <w:bookmarkStart w:id="58" w:name="bm_558"/>
      <w:r>
        <w:t>边界场景与错误处理</w:t>
      </w:r>
      <w:bookmarkEnd w:id="58"/>
    </w:p>
    <w:p w14:paraId="056FA4A1">
      <w:pPr>
        <w:pStyle w:val="16"/>
        <w:numPr>
          <w:ilvl w:val="0"/>
          <w:numId w:val="1"/>
        </w:numPr>
        <w:spacing w:after="60"/>
      </w:pPr>
      <w:r>
        <w:t>解析错误：显示红色波浪线+详细错误工具提示+修复建议</w:t>
      </w:r>
    </w:p>
    <w:p w14:paraId="406381A3">
      <w:pPr>
        <w:pStyle w:val="16"/>
        <w:numPr>
          <w:ilvl w:val="0"/>
          <w:numId w:val="1"/>
        </w:numPr>
        <w:spacing w:after="60"/>
      </w:pPr>
      <w:r>
        <w:t>回测超时(&gt;10s)：取消作业+显示'回测超时'消息+建议使用更简单的策略</w:t>
      </w:r>
    </w:p>
    <w:p w14:paraId="47916680">
      <w:pPr>
        <w:pStyle w:val="16"/>
        <w:numPr>
          <w:ilvl w:val="0"/>
          <w:numId w:val="1"/>
        </w:numPr>
        <w:spacing w:after="60"/>
      </w:pPr>
      <w:r>
        <w:t>回测数据间隙：显示警告'回测期间缺少市场数据'+受影响的日期范围</w:t>
      </w:r>
    </w:p>
    <w:p w14:paraId="69BE02F7">
      <w:pPr>
        <w:pStyle w:val="16"/>
        <w:numPr>
          <w:ilvl w:val="0"/>
          <w:numId w:val="1"/>
        </w:numPr>
        <w:spacing w:after="60"/>
      </w:pPr>
      <w:r>
        <w:t>LLM研究循环超时：显示'研究不完整'+显示带警告徽章的部分结果</w:t>
      </w:r>
    </w:p>
    <w:p w14:paraId="2FFBDF62">
      <w:pPr>
        <w:pStyle w:val="16"/>
        <w:numPr>
          <w:ilvl w:val="0"/>
          <w:numId w:val="1"/>
        </w:numPr>
        <w:spacing w:after="60"/>
      </w:pPr>
      <w:r>
        <w:t>指标中的NaN（例如除以零）：显示'—'（长破折号）+记录错误以供调查</w:t>
      </w:r>
    </w:p>
    <w:p w14:paraId="5238AA56">
      <w:pPr>
        <w:pStyle w:val="2"/>
        <w:spacing w:before="200" w:after="120"/>
      </w:pPr>
      <w:bookmarkStart w:id="59" w:name="bm_559"/>
      <w:r>
        <w:t>模块5：组合与风控引擎</w:t>
      </w:r>
      <w:bookmarkEnd w:id="59"/>
    </w:p>
    <w:p w14:paraId="58379155">
      <w:pPr>
        <w:jc w:val="center"/>
      </w:pPr>
      <w:r>
        <w:drawing>
          <wp:inline distT="0" distB="0" distL="0" distR="0">
            <wp:extent cx="6477000" cy="3600450"/>
            <wp:effectExtent l="0" t="0" r="0" b="0"/>
            <wp:docPr id="6" name="mod5_wireframe" descr="Portfolio treemap, risk gauge dashboard, Kelly sizing, and rebalance schedule" title="Portfolio &amp; Risk Engine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od5_wireframe" descr="Portfolio treemap, risk gauge dashboard, Kelly sizing, and rebalance schedule" title="Portfolio &amp; Risk Engine Wirefram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AD19">
      <w:pPr>
        <w:spacing w:after="150"/>
      </w:pPr>
    </w:p>
    <w:p w14:paraId="0D44CF5D">
      <w:pPr>
        <w:pStyle w:val="3"/>
        <w:spacing w:before="200" w:after="120"/>
      </w:pPr>
      <w:bookmarkStart w:id="60" w:name="bm_560"/>
      <w:r>
        <w:t>设计理念与用户心理</w:t>
      </w:r>
      <w:bookmarkEnd w:id="60"/>
    </w:p>
    <w:p w14:paraId="36A26389">
      <w:pPr>
        <w:spacing w:after="120"/>
      </w:pPr>
      <w:r>
        <w:t>投资组合构建是将预测转化为头寸的艺术。模块5可视化投资组合成分（树形图）并量化风险（仪表），为投资组合经理提供关于其分配的即时信心。该设计回答了两个问题：(1)我的资本在哪里部署？(2)我是否在风险限制内？</w:t>
      </w:r>
    </w:p>
    <w:p w14:paraId="3569F712">
      <w:pPr>
        <w:spacing w:after="120"/>
      </w:pPr>
      <w:r>
        <w:t>Kelly准则调整面板适合想要数学优化指导的高级用户。再平衡计划表显示即将进行的投资组合更新，减少需要执行对冲的交易员的惊喜。</w:t>
      </w:r>
    </w:p>
    <w:p w14:paraId="635E6DCB">
      <w:pPr>
        <w:spacing w:after="150"/>
      </w:pPr>
    </w:p>
    <w:p w14:paraId="1C27B8C2">
      <w:pPr>
        <w:pStyle w:val="3"/>
        <w:spacing w:before="200" w:after="120"/>
      </w:pPr>
      <w:bookmarkStart w:id="61" w:name="bm_561"/>
      <w:r>
        <w:t>组件清单</w:t>
      </w:r>
      <w:bookmarkEnd w:id="61"/>
    </w:p>
    <w:tbl>
      <w:tblPr>
        <w:tblStyle w:val="11"/>
        <w:tblW w:w="8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1858"/>
        <w:gridCol w:w="3328"/>
        <w:gridCol w:w="1859"/>
      </w:tblGrid>
      <w:tr w14:paraId="1DCA4192"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6FE2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组件名称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BD10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1BF1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数据绑定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C1DE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交互</w:t>
            </w:r>
          </w:p>
        </w:tc>
      </w:tr>
      <w:tr w14:paraId="194C96ED"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7E98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投资组合树形图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61D0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树形图（D3/Nivo）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63E0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/api/v1/portfolio/positions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C60F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点击瓷砖→头寸详情面板</w:t>
            </w:r>
          </w:p>
        </w:tc>
      </w:tr>
      <w:tr w14:paraId="7A95C51C"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E429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风险仪表板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2041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径向仪表图表（6个指标）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275E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/api/v1/portfolio/risk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B5FC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悬停→指标定义+解释</w:t>
            </w:r>
          </w:p>
        </w:tc>
      </w:tr>
      <w:tr w14:paraId="5747BB35"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7DC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Kelly 准则调整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8284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输入表单+建议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E36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POST /api/v1/portfolio/kelly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B0E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输入优势%，Kelly计算显示头寸大小</w:t>
            </w:r>
          </w:p>
        </w:tc>
      </w:tr>
      <w:tr w14:paraId="371C9CDB"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488F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回撤历史图表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B1B8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面积图（30天）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ED95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/api/v1/portfolio/drawdown_history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6F7F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悬停→日期+max DD+恢复时间</w:t>
            </w:r>
          </w:p>
        </w:tc>
      </w:tr>
      <w:tr w14:paraId="419D401E"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BDE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风险限制指示灯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54D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带进度条的状态卡片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0811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/api/v1/portfolio/limits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4AE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点击→查看限制配置</w:t>
            </w:r>
          </w:p>
        </w:tc>
      </w:tr>
    </w:tbl>
    <w:p w14:paraId="2EC1665E">
      <w:pPr>
        <w:spacing w:after="150"/>
      </w:pPr>
    </w:p>
    <w:p w14:paraId="009CA2F4">
      <w:pPr>
        <w:pStyle w:val="4"/>
        <w:spacing w:before="200" w:after="120"/>
      </w:pPr>
      <w:bookmarkStart w:id="62" w:name="bm_562"/>
      <w:r>
        <w:t>投资组合树形图</w:t>
      </w:r>
      <w:bookmarkEnd w:id="62"/>
    </w:p>
    <w:p w14:paraId="03D307A0">
      <w:pPr>
        <w:spacing w:after="120"/>
      </w:pPr>
      <w:r>
        <w:t>矩形树形图可视化，其中每个瓷砖代表一个头寸。瓷砖大小=权重%，颜色=P&amp;L（正数为绿色，负数为红色）。</w:t>
      </w:r>
    </w:p>
    <w:p w14:paraId="287C4994">
      <w:pPr>
        <w:pStyle w:val="16"/>
        <w:numPr>
          <w:ilvl w:val="0"/>
          <w:numId w:val="1"/>
        </w:numPr>
        <w:spacing w:after="60"/>
      </w:pPr>
      <w:r>
        <w:t>数据源：GET /api/v1/portfolio/positions，每10秒轮询一次</w:t>
      </w:r>
    </w:p>
    <w:p w14:paraId="51A3212E">
      <w:pPr>
        <w:pStyle w:val="16"/>
        <w:numPr>
          <w:ilvl w:val="0"/>
          <w:numId w:val="1"/>
        </w:numPr>
        <w:spacing w:after="60"/>
      </w:pPr>
      <w:r>
        <w:t>瓷砖数据：代码、权重%、市值、未实现P&amp;L、P&amp;L%、入场价格、当前价格</w:t>
      </w:r>
    </w:p>
    <w:p w14:paraId="62908DB6">
      <w:pPr>
        <w:pStyle w:val="16"/>
        <w:numPr>
          <w:ilvl w:val="0"/>
          <w:numId w:val="1"/>
        </w:numPr>
        <w:spacing w:after="60"/>
      </w:pPr>
      <w:r>
        <w:t>视觉：大小α权重、颜色强度α P&amp;L%（更深=更极端）</w:t>
      </w:r>
    </w:p>
    <w:p w14:paraId="3F0BBAEF">
      <w:pPr>
        <w:pStyle w:val="16"/>
        <w:numPr>
          <w:ilvl w:val="0"/>
          <w:numId w:val="1"/>
        </w:numPr>
        <w:spacing w:after="60"/>
      </w:pPr>
      <w:r>
        <w:t>交互：悬停→显示头寸详情的工具提示；点击→向下钻取到头寸详情面板</w:t>
      </w:r>
    </w:p>
    <w:p w14:paraId="514721E2">
      <w:pPr>
        <w:pStyle w:val="16"/>
        <w:numPr>
          <w:ilvl w:val="0"/>
          <w:numId w:val="1"/>
        </w:numPr>
        <w:spacing w:after="60"/>
      </w:pPr>
      <w:r>
        <w:t>响应式：在移动设备上，转换为垂直列表（树形图在触摸上难以交互）</w:t>
      </w:r>
    </w:p>
    <w:p w14:paraId="08AEB3BA">
      <w:pPr>
        <w:spacing w:after="150"/>
      </w:pPr>
    </w:p>
    <w:p w14:paraId="3498F70B">
      <w:pPr>
        <w:pStyle w:val="4"/>
        <w:spacing w:before="200" w:after="120"/>
      </w:pPr>
      <w:bookmarkStart w:id="63" w:name="bm_563"/>
      <w:r>
        <w:t>风险仪表板</w:t>
      </w:r>
      <w:bookmarkEnd w:id="63"/>
    </w:p>
    <w:p w14:paraId="3CFB4C53">
      <w:pPr>
        <w:spacing w:after="120"/>
      </w:pPr>
      <w:r>
        <w:t>6个径向仪表图表显示关键风险指标：VaR（95%）、CVaR、波动率、最大DD、Sharpe、Herfindahl-Hirschman指数（HHI集中度）。</w:t>
      </w:r>
    </w:p>
    <w:p w14:paraId="46EF69FA">
      <w:pPr>
        <w:pStyle w:val="16"/>
        <w:numPr>
          <w:ilvl w:val="0"/>
          <w:numId w:val="1"/>
        </w:numPr>
        <w:spacing w:after="60"/>
      </w:pPr>
      <w:r>
        <w:t>数据源：GET /api/v1/portfolio/risk，每60秒轮询一次</w:t>
      </w:r>
    </w:p>
    <w:p w14:paraId="11C98B25">
      <w:pPr>
        <w:pStyle w:val="16"/>
        <w:numPr>
          <w:ilvl w:val="0"/>
          <w:numId w:val="1"/>
        </w:numPr>
        <w:spacing w:after="60"/>
      </w:pPr>
      <w:r>
        <w:t>仪表范围：VaR（0至-10%）、CVaR（0至-15%）、波动率（0至50%）、最大DD（0至-50%）、Sharpe（-2至+3）、HHI（0至1）</w:t>
      </w:r>
    </w:p>
    <w:p w14:paraId="56D4ADE9">
      <w:pPr>
        <w:pStyle w:val="16"/>
        <w:numPr>
          <w:ilvl w:val="0"/>
          <w:numId w:val="1"/>
        </w:numPr>
        <w:spacing w:after="60"/>
      </w:pPr>
      <w:r>
        <w:t>颜色区域：绿色（可接受）、黄色（警告）、红色（严重）。每个风险经理配置阈值。</w:t>
      </w:r>
    </w:p>
    <w:p w14:paraId="175BD82D">
      <w:pPr>
        <w:pStyle w:val="16"/>
        <w:numPr>
          <w:ilvl w:val="0"/>
          <w:numId w:val="1"/>
        </w:numPr>
        <w:spacing w:after="60"/>
      </w:pPr>
      <w:r>
        <w:t>悬停：显示指标定义+解释+如果仪表在红色时该做什么</w:t>
      </w:r>
    </w:p>
    <w:p w14:paraId="70154383">
      <w:pPr>
        <w:spacing w:after="150"/>
      </w:pPr>
    </w:p>
    <w:p w14:paraId="36E8C98D">
      <w:pPr>
        <w:pStyle w:val="4"/>
        <w:spacing w:before="200" w:after="120"/>
      </w:pPr>
      <w:bookmarkStart w:id="64" w:name="bm_564"/>
      <w:r>
        <w:t>Kelly 准则调整</w:t>
      </w:r>
      <w:bookmarkEnd w:id="64"/>
    </w:p>
    <w:p w14:paraId="558605E2">
      <w:pPr>
        <w:spacing w:after="120"/>
      </w:pPr>
      <w:r>
        <w:t>高级用户的输入表单：输入估计的优势（胜率%），Kelly公式计算建议的头寸大小。</w:t>
      </w:r>
    </w:p>
    <w:p w14:paraId="538BA421">
      <w:pPr>
        <w:pStyle w:val="16"/>
        <w:numPr>
          <w:ilvl w:val="0"/>
          <w:numId w:val="1"/>
        </w:numPr>
        <w:spacing w:after="60"/>
      </w:pPr>
      <w:r>
        <w:t>数据源：POST /api/v1/portfolio/kelly，包含{ edge_win_pct, odds }</w:t>
      </w:r>
    </w:p>
    <w:p w14:paraId="0588B182">
      <w:pPr>
        <w:pStyle w:val="16"/>
        <w:numPr>
          <w:ilvl w:val="0"/>
          <w:numId w:val="1"/>
        </w:numPr>
        <w:spacing w:after="60"/>
      </w:pPr>
      <w:r>
        <w:t>公式：f* = (p * odds - q) / odds，其中p=胜率%，q=失败率%，odds=赔率比</w:t>
      </w:r>
    </w:p>
    <w:p w14:paraId="0FA6637F">
      <w:pPr>
        <w:pStyle w:val="16"/>
        <w:numPr>
          <w:ilvl w:val="0"/>
          <w:numId w:val="1"/>
        </w:numPr>
        <w:spacing w:after="60"/>
      </w:pPr>
      <w:r>
        <w:t>输出：推荐头寸大小%的资本，带1/4 Kelly（分数Kelly）切换</w:t>
      </w:r>
    </w:p>
    <w:p w14:paraId="2AC5D075">
      <w:pPr>
        <w:pStyle w:val="16"/>
        <w:numPr>
          <w:ilvl w:val="0"/>
          <w:numId w:val="1"/>
        </w:numPr>
        <w:spacing w:after="60"/>
      </w:pPr>
      <w:r>
        <w:t>视觉：输入字段+'计算'按钮+结果卡片显示f*%+如果f*&gt; 25%资本则警告</w:t>
      </w:r>
    </w:p>
    <w:p w14:paraId="021BC176">
      <w:pPr>
        <w:spacing w:after="150"/>
      </w:pPr>
    </w:p>
    <w:p w14:paraId="6D33D762">
      <w:pPr>
        <w:pStyle w:val="4"/>
        <w:spacing w:before="200" w:after="120"/>
      </w:pPr>
      <w:bookmarkStart w:id="65" w:name="bm_565"/>
      <w:r>
        <w:t>回撤历史图表</w:t>
      </w:r>
      <w:bookmarkEnd w:id="65"/>
    </w:p>
    <w:p w14:paraId="43A08DB9">
      <w:pPr>
        <w:spacing w:after="120"/>
      </w:pPr>
      <w:r>
        <w:t>显示投资组合在过去30天回撤的面积图。</w:t>
      </w:r>
    </w:p>
    <w:p w14:paraId="78A303A9">
      <w:pPr>
        <w:pStyle w:val="16"/>
        <w:numPr>
          <w:ilvl w:val="0"/>
          <w:numId w:val="1"/>
        </w:numPr>
        <w:spacing w:after="60"/>
      </w:pPr>
      <w:r>
        <w:t>数据源：GET /api/v1/portfolio/drawdown_history，返回每日权益曲线+每个日期的最大DD</w:t>
      </w:r>
    </w:p>
    <w:p w14:paraId="1E598612">
      <w:pPr>
        <w:pStyle w:val="16"/>
        <w:numPr>
          <w:ilvl w:val="0"/>
          <w:numId w:val="1"/>
        </w:numPr>
        <w:spacing w:after="60"/>
      </w:pPr>
      <w:r>
        <w:t>视觉：0%以下的区域填充为红色（回撤），0%以上的区域填充为绿色（恢复）</w:t>
      </w:r>
    </w:p>
    <w:p w14:paraId="3F24A034">
      <w:pPr>
        <w:pStyle w:val="16"/>
        <w:numPr>
          <w:ilvl w:val="0"/>
          <w:numId w:val="1"/>
        </w:numPr>
        <w:spacing w:after="60"/>
      </w:pPr>
      <w:r>
        <w:t>悬停：显示日期+当前DD+该期间的最大DD+从谷底的恢复%</w:t>
      </w:r>
    </w:p>
    <w:p w14:paraId="3839628A">
      <w:pPr>
        <w:pStyle w:val="16"/>
        <w:numPr>
          <w:ilvl w:val="0"/>
          <w:numId w:val="1"/>
        </w:numPr>
        <w:spacing w:after="60"/>
      </w:pPr>
      <w:r>
        <w:t>缩放：选择日期范围向下钻取到特定回撤事件</w:t>
      </w:r>
    </w:p>
    <w:p w14:paraId="6E9CD10E">
      <w:pPr>
        <w:spacing w:after="150"/>
      </w:pPr>
    </w:p>
    <w:p w14:paraId="0B005050">
      <w:pPr>
        <w:pStyle w:val="4"/>
        <w:spacing w:before="200" w:after="120"/>
      </w:pPr>
      <w:bookmarkStart w:id="66" w:name="bm_566"/>
      <w:r>
        <w:t>风险限制指示灯</w:t>
      </w:r>
      <w:bookmarkEnd w:id="66"/>
    </w:p>
    <w:p w14:paraId="11E99CE6">
      <w:pPr>
        <w:spacing w:after="120"/>
      </w:pPr>
      <w:r>
        <w:t>状态卡片显示投资组合的风险限制使用情况。</w:t>
      </w:r>
    </w:p>
    <w:p w14:paraId="3F637453">
      <w:pPr>
        <w:pStyle w:val="16"/>
        <w:numPr>
          <w:ilvl w:val="0"/>
          <w:numId w:val="1"/>
        </w:numPr>
        <w:spacing w:after="60"/>
      </w:pPr>
      <w:r>
        <w:t>数据源：GET /api/v1/portfolio/limits，返回限制定义+当前使用情况</w:t>
      </w:r>
    </w:p>
    <w:p w14:paraId="79C80CDA">
      <w:pPr>
        <w:pStyle w:val="16"/>
        <w:numPr>
          <w:ilvl w:val="0"/>
          <w:numId w:val="1"/>
        </w:numPr>
        <w:spacing w:after="60"/>
      </w:pPr>
      <w:r>
        <w:t>示例限制：最大部门敞口（例如，科技&lt; 40%）、最大单一头寸（&lt; 10%）、最大杠杆（&lt; 1.5倍）</w:t>
      </w:r>
    </w:p>
    <w:p w14:paraId="611AE96B">
      <w:pPr>
        <w:pStyle w:val="16"/>
        <w:numPr>
          <w:ilvl w:val="0"/>
          <w:numId w:val="1"/>
        </w:numPr>
        <w:spacing w:after="60"/>
      </w:pPr>
      <w:r>
        <w:t>视觉：每个限制一个卡片，带标签+进度条（&lt;80%为绿色、80-95%为黄色、&gt;95%为红色）</w:t>
      </w:r>
    </w:p>
    <w:p w14:paraId="39E19636">
      <w:pPr>
        <w:pStyle w:val="16"/>
        <w:numPr>
          <w:ilvl w:val="0"/>
          <w:numId w:val="1"/>
        </w:numPr>
        <w:spacing w:after="60"/>
      </w:pPr>
      <w:r>
        <w:t>点击：显示限制配置+调整阈值选项（需要PM批准）</w:t>
      </w:r>
    </w:p>
    <w:p w14:paraId="7EBE4B3A">
      <w:pPr>
        <w:spacing w:after="150"/>
      </w:pPr>
    </w:p>
    <w:p w14:paraId="3B90E01D">
      <w:pPr>
        <w:pStyle w:val="3"/>
        <w:spacing w:before="200" w:after="120"/>
      </w:pPr>
      <w:bookmarkStart w:id="67" w:name="bm_567"/>
      <w:r>
        <w:t>数据契约</w:t>
      </w:r>
      <w:bookmarkEnd w:id="67"/>
    </w:p>
    <w:p w14:paraId="5D6C0CE0">
      <w:pPr>
        <w:spacing w:after="120"/>
      </w:pPr>
      <w:r>
        <w:t>投资组合风险响应：</w:t>
      </w:r>
    </w:p>
    <w:p w14:paraId="6A25E421">
      <w:pPr>
        <w:spacing w:after="120"/>
      </w:pPr>
      <w:r>
        <w:t>{
  "timestamp": "2026-04-12T14:30:15Z",
  "metrics": {
    "var_95_pct": -0.032,
    "cvar_95_pct": -0.048,
    "volatility_annual": 0.128,
    "max_drawdown": -0.156,
    "sharpe_ratio": 1.24,
    "herfindahl_index": 0.182
  },
  "limits": [
    { "name": "max_sector_tech", "limit": 0.40, "current": 0.38 },
    { "name": "max_single_position", "limit": 0.10, "current": 0.087 }
  ]
}</w:t>
      </w:r>
    </w:p>
    <w:p w14:paraId="14F4D06E">
      <w:pPr>
        <w:spacing w:after="150"/>
      </w:pPr>
    </w:p>
    <w:p w14:paraId="2ADF35B6">
      <w:pPr>
        <w:pStyle w:val="3"/>
        <w:spacing w:before="200" w:after="120"/>
      </w:pPr>
      <w:bookmarkStart w:id="68" w:name="bm_568"/>
      <w:r>
        <w:t>验收标准</w:t>
      </w:r>
      <w:bookmarkEnd w:id="68"/>
    </w:p>
    <w:tbl>
      <w:tblPr>
        <w:tblStyle w:val="11"/>
        <w:tblW w:w="5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500"/>
      </w:tblGrid>
      <w:tr w14:paraId="5C7981F0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0B96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标准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66BE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14:paraId="1ADB9D26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3B9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1. 树形图渲染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5E7A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所有头寸在1秒内渲染，更新时无闪烁</w:t>
            </w:r>
          </w:p>
        </w:tc>
      </w:tr>
      <w:tr w14:paraId="21DC0F5B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B72C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2. 风险指标准确度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1917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VaR/CVaR与历史模拟匹配，误差&lt;0.001</w:t>
            </w:r>
          </w:p>
        </w:tc>
      </w:tr>
      <w:tr w14:paraId="1EC56FBF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6001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3. Kelly计算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7A45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公式与学术Kelly匹配，误差&lt;0.0001</w:t>
            </w:r>
          </w:p>
        </w:tc>
      </w:tr>
      <w:tr w14:paraId="1E5CB40A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69AB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4. 仪表刷新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AFE0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投资组合变化后在60秒内更新</w:t>
            </w:r>
          </w:p>
        </w:tc>
      </w:tr>
      <w:tr w14:paraId="2438B80B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9735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5. DD图表时间序列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D14C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从收益精确重建权益曲线</w:t>
            </w:r>
          </w:p>
        </w:tc>
      </w:tr>
      <w:tr w14:paraId="44E6B9F9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A1EB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6. 限制警报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023A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限制突破时立即显示红色警告</w:t>
            </w:r>
          </w:p>
        </w:tc>
      </w:tr>
    </w:tbl>
    <w:p w14:paraId="37D23BC7">
      <w:pPr>
        <w:spacing w:after="150"/>
      </w:pPr>
    </w:p>
    <w:p w14:paraId="64106B35">
      <w:pPr>
        <w:pStyle w:val="3"/>
        <w:spacing w:before="200" w:after="120"/>
      </w:pPr>
      <w:bookmarkStart w:id="69" w:name="bm_569"/>
      <w:r>
        <w:t>边界场景与错误处理</w:t>
      </w:r>
      <w:bookmarkEnd w:id="69"/>
    </w:p>
    <w:p w14:paraId="2EE82EA0">
      <w:pPr>
        <w:pStyle w:val="16"/>
        <w:numPr>
          <w:ilvl w:val="0"/>
          <w:numId w:val="1"/>
        </w:numPr>
        <w:spacing w:after="60"/>
      </w:pPr>
      <w:r>
        <w:t>投资组合为空：显示'无头寸'消息+提示启动第一笔交易</w:t>
      </w:r>
    </w:p>
    <w:p w14:paraId="51CBF86A">
      <w:pPr>
        <w:pStyle w:val="16"/>
        <w:numPr>
          <w:ilvl w:val="0"/>
          <w:numId w:val="1"/>
        </w:numPr>
        <w:spacing w:after="60"/>
      </w:pPr>
      <w:r>
        <w:t>风险指标计算超时：显示'计算风险指标...'旋转器，回退到缓存值+年龄警告</w:t>
      </w:r>
    </w:p>
    <w:p w14:paraId="1F2AB2E0">
      <w:pPr>
        <w:pStyle w:val="16"/>
        <w:numPr>
          <w:ilvl w:val="0"/>
          <w:numId w:val="1"/>
        </w:numPr>
        <w:spacing w:after="60"/>
      </w:pPr>
      <w:r>
        <w:t>回撤数据间隙：用NaN插值缺失日期，显示警告'历史不完整'</w:t>
      </w:r>
    </w:p>
    <w:p w14:paraId="77EE327C">
      <w:pPr>
        <w:pStyle w:val="16"/>
        <w:numPr>
          <w:ilvl w:val="0"/>
          <w:numId w:val="1"/>
        </w:numPr>
        <w:spacing w:after="60"/>
      </w:pPr>
      <w:r>
        <w:t>Kelly f*&gt; 100%（负优势）：以红色突出显示，显示工具提示'Kelly建议无头寸（检测到负优势）'</w:t>
      </w:r>
    </w:p>
    <w:p w14:paraId="5B2FE988">
      <w:pPr>
        <w:pStyle w:val="16"/>
        <w:numPr>
          <w:ilvl w:val="0"/>
          <w:numId w:val="1"/>
        </w:numPr>
        <w:spacing w:after="60"/>
      </w:pPr>
      <w:r>
        <w:t>HHI &gt; 0.3（高集中度）：显示警告徽章'投资组合集中'，建议再平衡</w:t>
      </w:r>
    </w:p>
    <w:p w14:paraId="564E44D9">
      <w:pPr>
        <w:pStyle w:val="2"/>
        <w:spacing w:before="200" w:after="120"/>
      </w:pPr>
      <w:bookmarkStart w:id="70" w:name="bm_570"/>
      <w:r>
        <w:t>模块6：订单执行网关</w:t>
      </w:r>
      <w:bookmarkEnd w:id="70"/>
    </w:p>
    <w:p w14:paraId="1119A217">
      <w:pPr>
        <w:jc w:val="center"/>
      </w:pPr>
      <w:r>
        <w:drawing>
          <wp:inline distT="0" distB="0" distL="0" distR="0">
            <wp:extent cx="6477000" cy="3600450"/>
            <wp:effectExtent l="0" t="0" r="0" b="0"/>
            <wp:docPr id="7" name="mod6_wireframe" descr="Multi-gate score visualization, order queue, execution analytics, and decision chain" title="Order Execution Gateway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mod6_wireframe" descr="Multi-gate score visualization, order queue, execution analytics, and decision chain" title="Order Execution Gateway Wireframe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AC38">
      <w:pPr>
        <w:spacing w:after="150"/>
      </w:pPr>
    </w:p>
    <w:p w14:paraId="3BCE5E2C">
      <w:pPr>
        <w:pStyle w:val="3"/>
        <w:spacing w:before="200" w:after="120"/>
      </w:pPr>
      <w:bookmarkStart w:id="71" w:name="bm_571"/>
      <w:r>
        <w:t>设计理念与用户心理</w:t>
      </w:r>
      <w:bookmarkEnd w:id="71"/>
    </w:p>
    <w:p w14:paraId="3C57C78D">
      <w:pPr>
        <w:spacing w:after="120"/>
      </w:pPr>
      <w:r>
        <w:t>执行是策略成为现实的地方。模块6实现了多门槛框架：在订单可以执行之前，它必须通过基于制度的门槛、风险门槛和市场微观结构门槛。该设计可视化所有三个门槛及其分数，因此交易员理解为什么订单被持有、待处理或执行。</w:t>
      </w:r>
    </w:p>
    <w:p w14:paraId="40353ED9">
      <w:pPr>
        <w:spacing w:after="120"/>
      </w:pPr>
      <w:r>
        <w:t>决策链（信号→制度检查→风险检查→市场检查→执行/拒绝）是透明的。当订单被持有时，UI显示确切是哪个门槛阻止了它，减少交易员焦虑并建立对系统的信心。</w:t>
      </w:r>
    </w:p>
    <w:p w14:paraId="7ABC59FC">
      <w:pPr>
        <w:spacing w:after="150"/>
      </w:pPr>
    </w:p>
    <w:p w14:paraId="21392BDA">
      <w:pPr>
        <w:pStyle w:val="3"/>
        <w:spacing w:before="200" w:after="120"/>
      </w:pPr>
      <w:bookmarkStart w:id="72" w:name="bm_572"/>
      <w:r>
        <w:t>组件清单</w:t>
      </w:r>
      <w:bookmarkEnd w:id="72"/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28"/>
        <w:gridCol w:w="1726"/>
        <w:gridCol w:w="3320"/>
        <w:gridCol w:w="1726"/>
      </w:tblGrid>
      <w:tr w14:paraId="64406A91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DCA60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组件名称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B6531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AEA6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数据绑定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3372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交互</w:t>
            </w:r>
          </w:p>
        </w:tc>
      </w:tr>
      <w:tr w14:paraId="00C97FF4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F547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多门槛分数可视化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4F63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3个仪表条，带阈值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5B3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/api/v1/execution/gates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38B0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悬停→门槛定义+评分逻辑</w:t>
            </w:r>
          </w:p>
        </w:tc>
      </w:tr>
      <w:tr w14:paraId="0B49580A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9B00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综合分数指示灯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2209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大型拨盘，带go/no-go阈值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DD30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/api/v1/execution/composite_score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723E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执行准备就绪的视觉反馈</w:t>
            </w:r>
          </w:p>
        </w:tc>
      </w:tr>
      <w:tr w14:paraId="34CA3DE8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C933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订单队列表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D067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可排序表（纸张交易）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E134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/api/v1/execution/orders, WebSocket /ws/orders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F29A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点击行→订单详情+审计跟踪</w:t>
            </w:r>
          </w:p>
        </w:tc>
      </w:tr>
      <w:tr w14:paraId="750DB6A3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CAD4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执行分析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1726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KPI卡片+图表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C38C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/api/v1/execution/analytics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EC46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点击卡片→每日/小时向下钻取</w:t>
            </w:r>
          </w:p>
        </w:tc>
      </w:tr>
      <w:tr w14:paraId="2ECC7735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09AD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决策链时间线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E6ED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水平时间线（信号→成交）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DAE5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/api/v1/execution/{order_id}/chain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34F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点击步骤→显示时间戳+决策详情</w:t>
            </w:r>
          </w:p>
        </w:tc>
      </w:tr>
    </w:tbl>
    <w:p w14:paraId="44C02626">
      <w:pPr>
        <w:spacing w:after="150"/>
      </w:pPr>
    </w:p>
    <w:p w14:paraId="434CE97B">
      <w:pPr>
        <w:pStyle w:val="4"/>
        <w:spacing w:before="200" w:after="120"/>
      </w:pPr>
      <w:bookmarkStart w:id="73" w:name="bm_573"/>
      <w:r>
        <w:t>多门槛分数可视化</w:t>
      </w:r>
      <w:bookmarkEnd w:id="73"/>
    </w:p>
    <w:p w14:paraId="6FBF59CE">
      <w:pPr>
        <w:spacing w:after="120"/>
      </w:pPr>
      <w:r>
        <w:t>3条水平仪表条表示3个执行门槛：(1)制度门槛、(2)风险门槛、(3)微观结构门槛。</w:t>
      </w:r>
    </w:p>
    <w:p w14:paraId="255B8C9F">
      <w:pPr>
        <w:pStyle w:val="16"/>
        <w:numPr>
          <w:ilvl w:val="0"/>
          <w:numId w:val="1"/>
        </w:numPr>
        <w:spacing w:after="60"/>
      </w:pPr>
      <w:r>
        <w:t>数据源：GET /api/v1/execution/gates，每2秒轮询一次</w:t>
      </w:r>
    </w:p>
    <w:p w14:paraId="01CB136B">
      <w:pPr>
        <w:pStyle w:val="16"/>
        <w:numPr>
          <w:ilvl w:val="0"/>
          <w:numId w:val="1"/>
        </w:numPr>
        <w:spacing w:after="60"/>
      </w:pPr>
      <w:r>
        <w:t>每个门槛都有分数（0-100%）、通过阈值（例如60%）和当前状态（绿色/黄色/红色）</w:t>
      </w:r>
    </w:p>
    <w:p w14:paraId="6EAF2E00">
      <w:pPr>
        <w:pStyle w:val="16"/>
        <w:numPr>
          <w:ilvl w:val="0"/>
          <w:numId w:val="1"/>
        </w:numPr>
        <w:spacing w:after="60"/>
      </w:pPr>
      <w:r>
        <w:t>制度门槛：检查当前市场制度是否允许进入方向（例如，上升趋势中不做空）</w:t>
      </w:r>
    </w:p>
    <w:p w14:paraId="45B9131D">
      <w:pPr>
        <w:pStyle w:val="16"/>
        <w:numPr>
          <w:ilvl w:val="0"/>
          <w:numId w:val="1"/>
        </w:numPr>
        <w:spacing w:after="60"/>
      </w:pPr>
      <w:r>
        <w:t>风险门槛：检查订单是否会违反投资组合风险限制（VaR、集中度、杠杆）</w:t>
      </w:r>
    </w:p>
    <w:p w14:paraId="5CDB8A1F">
      <w:pPr>
        <w:pStyle w:val="16"/>
        <w:numPr>
          <w:ilvl w:val="0"/>
          <w:numId w:val="1"/>
        </w:numPr>
        <w:spacing w:after="60"/>
      </w:pPr>
      <w:r>
        <w:t>微观结构门槛：检查市场深度+点差是否有利于执行（避免滑点）</w:t>
      </w:r>
    </w:p>
    <w:p w14:paraId="60FB42C9">
      <w:pPr>
        <w:pStyle w:val="16"/>
        <w:numPr>
          <w:ilvl w:val="0"/>
          <w:numId w:val="1"/>
        </w:numPr>
        <w:spacing w:after="60"/>
      </w:pPr>
      <w:r>
        <w:t>视觉：条长=分数%，阈值线标记，分数&gt;阈值时为绿色，否则为红色</w:t>
      </w:r>
    </w:p>
    <w:p w14:paraId="0D9D466A">
      <w:pPr>
        <w:spacing w:after="150"/>
      </w:pPr>
    </w:p>
    <w:p w14:paraId="6F4C5969">
      <w:pPr>
        <w:pStyle w:val="4"/>
        <w:spacing w:before="200" w:after="120"/>
      </w:pPr>
      <w:bookmarkStart w:id="74" w:name="bm_574"/>
      <w:r>
        <w:t>综合分数指示灯</w:t>
      </w:r>
      <w:bookmarkEnd w:id="74"/>
    </w:p>
    <w:p w14:paraId="029503EF">
      <w:pPr>
        <w:spacing w:after="120"/>
      </w:pPr>
      <w:r>
        <w:t>显示整体执行就绪性（0-100%）的大型径向拨盘。在70%处标记阈值（go/no-go点）。</w:t>
      </w:r>
    </w:p>
    <w:p w14:paraId="64EAAAE6">
      <w:pPr>
        <w:pStyle w:val="16"/>
        <w:numPr>
          <w:ilvl w:val="0"/>
          <w:numId w:val="1"/>
        </w:numPr>
        <w:spacing w:after="60"/>
      </w:pPr>
      <w:r>
        <w:t>数据源：GET /api/v1/execution/composite_score（3个门槛的加权平均）</w:t>
      </w:r>
    </w:p>
    <w:p w14:paraId="30D57A1F">
      <w:pPr>
        <w:pStyle w:val="16"/>
        <w:numPr>
          <w:ilvl w:val="0"/>
          <w:numId w:val="1"/>
        </w:numPr>
        <w:spacing w:after="60"/>
      </w:pPr>
      <w:r>
        <w:t>视觉：针指向综合分数，绿色区域（&gt;70%）=就绪、黄色（50-70%）=谨慎、红色（&lt;50%）=阻止</w:t>
      </w:r>
    </w:p>
    <w:p w14:paraId="665A8ACA">
      <w:pPr>
        <w:pStyle w:val="16"/>
        <w:numPr>
          <w:ilvl w:val="0"/>
          <w:numId w:val="1"/>
        </w:numPr>
        <w:spacing w:after="60"/>
      </w:pPr>
      <w:r>
        <w:t>针动画：分数变化时平滑过渡</w:t>
      </w:r>
    </w:p>
    <w:p w14:paraId="1DD0ABDC">
      <w:pPr>
        <w:spacing w:after="150"/>
      </w:pPr>
    </w:p>
    <w:p w14:paraId="68C373CD">
      <w:pPr>
        <w:pStyle w:val="4"/>
        <w:spacing w:before="200" w:after="120"/>
      </w:pPr>
      <w:bookmarkStart w:id="75" w:name="bm_575"/>
      <w:r>
        <w:t>订单队列表</w:t>
      </w:r>
      <w:bookmarkEnd w:id="75"/>
    </w:p>
    <w:p w14:paraId="3D937A4C">
      <w:pPr>
        <w:spacing w:after="120"/>
      </w:pPr>
      <w:r>
        <w:t>纸张交易模式中的待处理和已执行订单，显示详细的执行状态。</w:t>
      </w:r>
    </w:p>
    <w:p w14:paraId="3767381F">
      <w:pPr>
        <w:pStyle w:val="16"/>
        <w:numPr>
          <w:ilvl w:val="0"/>
          <w:numId w:val="1"/>
        </w:numPr>
        <w:spacing w:after="60"/>
      </w:pPr>
      <w:r>
        <w:t>数据源：GET /api/v1/execution/orders（实时表），订阅/ws/orders获取实时更新</w:t>
      </w:r>
    </w:p>
    <w:p w14:paraId="39F78897">
      <w:pPr>
        <w:pStyle w:val="16"/>
        <w:numPr>
          <w:ilvl w:val="0"/>
          <w:numId w:val="1"/>
        </w:numPr>
        <w:spacing w:after="60"/>
      </w:pPr>
      <w:r>
        <w:t>列：代码、方向（买/卖）、数量、限价、订单状态、成交%、成交价格、延迟(ms)、创建时间、执行时间</w:t>
      </w:r>
    </w:p>
    <w:p w14:paraId="7B93B914">
      <w:pPr>
        <w:pStyle w:val="16"/>
        <w:numPr>
          <w:ilvl w:val="0"/>
          <w:numId w:val="1"/>
        </w:numPr>
        <w:spacing w:after="60"/>
      </w:pPr>
      <w:r>
        <w:t>状态视觉：待处理（黄色）→部分（蓝色）→成交（绿色）→拒绝（红色）</w:t>
      </w:r>
    </w:p>
    <w:p w14:paraId="197F8D20">
      <w:pPr>
        <w:pStyle w:val="16"/>
        <w:numPr>
          <w:ilvl w:val="0"/>
          <w:numId w:val="1"/>
        </w:numPr>
        <w:spacing w:after="60"/>
      </w:pPr>
      <w:r>
        <w:t>点击行：展开显示订单详情+完整执行审计跟踪（时间戳+门槛决定）</w:t>
      </w:r>
    </w:p>
    <w:p w14:paraId="04363FBD">
      <w:pPr>
        <w:pStyle w:val="16"/>
        <w:numPr>
          <w:ilvl w:val="0"/>
          <w:numId w:val="1"/>
        </w:numPr>
        <w:spacing w:after="60"/>
      </w:pPr>
      <w:r>
        <w:t>可排序：点击列标题排序</w:t>
      </w:r>
    </w:p>
    <w:p w14:paraId="4A9ECCC3">
      <w:pPr>
        <w:spacing w:after="150"/>
      </w:pPr>
    </w:p>
    <w:p w14:paraId="47C9AD80">
      <w:pPr>
        <w:pStyle w:val="4"/>
        <w:spacing w:before="200" w:after="120"/>
      </w:pPr>
      <w:bookmarkStart w:id="76" w:name="bm_576"/>
      <w:r>
        <w:t>执行分析</w:t>
      </w:r>
      <w:bookmarkEnd w:id="76"/>
    </w:p>
    <w:p w14:paraId="63DD7F37">
      <w:pPr>
        <w:spacing w:after="120"/>
      </w:pPr>
      <w:r>
        <w:t>KPI卡片和图表总结执行质量。</w:t>
      </w:r>
    </w:p>
    <w:p w14:paraId="7E3A58BC">
      <w:pPr>
        <w:pStyle w:val="16"/>
        <w:numPr>
          <w:ilvl w:val="0"/>
          <w:numId w:val="1"/>
        </w:numPr>
        <w:spacing w:after="60"/>
      </w:pPr>
      <w:r>
        <w:t>指标：成交率（成交订单%）、平均滑点（基点）、平均延迟(ms)、成本（AUM%）、胜率（%）</w:t>
      </w:r>
    </w:p>
    <w:p w14:paraId="4E3E94FF">
      <w:pPr>
        <w:pStyle w:val="16"/>
        <w:numPr>
          <w:ilvl w:val="0"/>
          <w:numId w:val="1"/>
        </w:numPr>
        <w:spacing w:after="60"/>
      </w:pPr>
      <w:r>
        <w:t>数据源：GET /api/v1/execution/analytics，每1小时刷新一次</w:t>
      </w:r>
    </w:p>
    <w:p w14:paraId="2DDB5B67">
      <w:pPr>
        <w:pStyle w:val="16"/>
        <w:numPr>
          <w:ilvl w:val="0"/>
          <w:numId w:val="1"/>
        </w:numPr>
        <w:spacing w:after="60"/>
      </w:pPr>
      <w:r>
        <w:t>视觉：网格中的指标卡片，带趋势箭头（↑/↓）+迷你火花线（最后30天）</w:t>
      </w:r>
    </w:p>
    <w:p w14:paraId="5CAB3913">
      <w:pPr>
        <w:pStyle w:val="16"/>
        <w:numPr>
          <w:ilvl w:val="0"/>
          <w:numId w:val="1"/>
        </w:numPr>
        <w:spacing w:after="60"/>
      </w:pPr>
      <w:r>
        <w:t>点击卡片：展开到该指标的每小时/每日条形图</w:t>
      </w:r>
    </w:p>
    <w:p w14:paraId="1C4A6525">
      <w:pPr>
        <w:spacing w:after="150"/>
      </w:pPr>
    </w:p>
    <w:p w14:paraId="67D18000">
      <w:pPr>
        <w:pStyle w:val="4"/>
        <w:spacing w:before="200" w:after="120"/>
      </w:pPr>
      <w:bookmarkStart w:id="77" w:name="bm_577"/>
      <w:r>
        <w:t>决策链时间线</w:t>
      </w:r>
      <w:bookmarkEnd w:id="77"/>
    </w:p>
    <w:p w14:paraId="5DB32D02">
      <w:pPr>
        <w:spacing w:after="120"/>
      </w:pPr>
      <w:r>
        <w:t>水平时间线显示订单从信号生成到成交的历程。</w:t>
      </w:r>
    </w:p>
    <w:p w14:paraId="6C718A4E">
      <w:pPr>
        <w:pStyle w:val="16"/>
        <w:numPr>
          <w:ilvl w:val="0"/>
          <w:numId w:val="1"/>
        </w:numPr>
        <w:spacing w:after="60"/>
      </w:pPr>
      <w:r>
        <w:t>步骤：信号生成→制度检查→风险检查→微观结构检查→发送订单→确认→部分成交→完全成交</w:t>
      </w:r>
    </w:p>
    <w:p w14:paraId="4E2A3356">
      <w:pPr>
        <w:pStyle w:val="16"/>
        <w:numPr>
          <w:ilvl w:val="0"/>
          <w:numId w:val="1"/>
        </w:numPr>
        <w:spacing w:after="60"/>
      </w:pPr>
      <w:r>
        <w:t>数据源：GET /api/v1/execution/{order_id}/chain，返回带时间戳的决策步骤数组</w:t>
      </w:r>
    </w:p>
    <w:p w14:paraId="45433C8B">
      <w:pPr>
        <w:pStyle w:val="16"/>
        <w:numPr>
          <w:ilvl w:val="0"/>
          <w:numId w:val="1"/>
        </w:numPr>
        <w:spacing w:after="60"/>
      </w:pPr>
      <w:r>
        <w:t>视觉：框（决策点）由箭头（因果关系）连接，当前事件突出显示为蓝色、完成的步骤为绿色、未来步骤为灰色</w:t>
      </w:r>
    </w:p>
    <w:p w14:paraId="016F1729">
      <w:pPr>
        <w:pStyle w:val="16"/>
        <w:numPr>
          <w:ilvl w:val="0"/>
          <w:numId w:val="1"/>
        </w:numPr>
        <w:spacing w:after="60"/>
      </w:pPr>
      <w:r>
        <w:t>点击步骤：在详情面板中显示时间戳+决策详情（例如，'制度检查：当前制度为上升趋势；订单为多头进入=通过'）</w:t>
      </w:r>
    </w:p>
    <w:p w14:paraId="4C8F9974">
      <w:pPr>
        <w:spacing w:after="150"/>
      </w:pPr>
    </w:p>
    <w:p w14:paraId="60A7D712">
      <w:pPr>
        <w:pStyle w:val="3"/>
        <w:spacing w:before="200" w:after="120"/>
      </w:pPr>
      <w:bookmarkStart w:id="78" w:name="bm_578"/>
      <w:r>
        <w:t>数据契约</w:t>
      </w:r>
      <w:bookmarkEnd w:id="78"/>
    </w:p>
    <w:p w14:paraId="435907F1">
      <w:pPr>
        <w:spacing w:after="120"/>
      </w:pPr>
      <w:r>
        <w:t>执行门槛响应：</w:t>
      </w:r>
    </w:p>
    <w:p w14:paraId="189B9E4A">
      <w:pPr>
        <w:spacing w:after="120"/>
      </w:pPr>
      <w:r>
        <w:t>{
  "gates": [
    {
      "name": "regime",
      "score": 0.85,
      "threshold": 0.60,
      "status": "pass",
      "interpretation": "制度允许多头进入"
    },
    {
      "name": "risk",
      "score": 0.92,
      "threshold": 0.60,
      "status": "pass",
      "interpretation": "头寸在VaR限制内"
    },
    {
      "name": "microstructure",
      "score": 0.78,
      "threshold": 0.60,
      "status": "pass",
      "interpretation": "市场深度充分，点差紧密"
    }
  ],
  "composite_score": 0.85,
  "go_no_go": "GO",
  "timestamp": "2026-04-12T14:30:15Z"
}</w:t>
      </w:r>
    </w:p>
    <w:p w14:paraId="13119DBC">
      <w:pPr>
        <w:spacing w:after="150"/>
      </w:pPr>
    </w:p>
    <w:p w14:paraId="73006B85">
      <w:pPr>
        <w:pStyle w:val="3"/>
        <w:spacing w:before="200" w:after="120"/>
      </w:pPr>
      <w:bookmarkStart w:id="79" w:name="bm_579"/>
      <w:r>
        <w:t>验收标准</w:t>
      </w:r>
      <w:bookmarkEnd w:id="79"/>
    </w:p>
    <w:tbl>
      <w:tblPr>
        <w:tblStyle w:val="11"/>
        <w:tblW w:w="5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500"/>
      </w:tblGrid>
      <w:tr w14:paraId="6F2F0EB4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6104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标准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837FB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14:paraId="530CF890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0359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1. 门槛分数刷新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4D18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计算后2秒内更新</w:t>
            </w:r>
          </w:p>
        </w:tc>
      </w:tr>
      <w:tr w14:paraId="7D3DA5DA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C133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2. 综合分数计算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F46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3个门槛的加权平均，计算&lt;100ms</w:t>
            </w:r>
          </w:p>
        </w:tc>
      </w:tr>
      <w:tr w14:paraId="2EC12563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17B7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3. 订单队列同步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32AA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新订单在WebSocket推送后&lt;500ms出现</w:t>
            </w:r>
          </w:p>
        </w:tc>
      </w:tr>
      <w:tr w14:paraId="44B9136F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8B41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4. 成交价格准确度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6BF2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与交易所成交价格匹配，在1个基点内</w:t>
            </w:r>
          </w:p>
        </w:tc>
      </w:tr>
      <w:tr w14:paraId="0FD46209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315F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5. 决策链完整性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7450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所有步骤记录，微秒精度</w:t>
            </w:r>
          </w:p>
        </w:tc>
      </w:tr>
      <w:tr w14:paraId="07DF18D5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AF0C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6. 分析准确度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6441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成交率、滑点与手动计算匹配</w:t>
            </w:r>
          </w:p>
        </w:tc>
      </w:tr>
    </w:tbl>
    <w:p w14:paraId="204E11A9">
      <w:pPr>
        <w:spacing w:after="150"/>
      </w:pPr>
    </w:p>
    <w:p w14:paraId="7FFBBC5A">
      <w:pPr>
        <w:pStyle w:val="3"/>
        <w:spacing w:before="200" w:after="120"/>
      </w:pPr>
      <w:bookmarkStart w:id="80" w:name="bm_580"/>
      <w:r>
        <w:t>边界场景与错误处理</w:t>
      </w:r>
      <w:bookmarkEnd w:id="80"/>
    </w:p>
    <w:p w14:paraId="367BE2DF">
      <w:pPr>
        <w:pStyle w:val="16"/>
        <w:numPr>
          <w:ilvl w:val="0"/>
          <w:numId w:val="1"/>
        </w:numPr>
        <w:spacing w:after="60"/>
      </w:pPr>
      <w:r>
        <w:t>门槛分数超时：显示'计算门槛分数...'旋转器，回退到最后有效分数+年龄警告</w:t>
      </w:r>
    </w:p>
    <w:p w14:paraId="51ABEFA6">
      <w:pPr>
        <w:pStyle w:val="16"/>
        <w:numPr>
          <w:ilvl w:val="0"/>
          <w:numId w:val="1"/>
        </w:numPr>
        <w:spacing w:after="60"/>
      </w:pPr>
      <w:r>
        <w:t>订单拒绝：显示突出的红色横幅，包含拒绝原因+行动（例如，'风险门槛失败：VaR限制突破'）</w:t>
      </w:r>
    </w:p>
    <w:p w14:paraId="4D3DD6A4">
      <w:pPr>
        <w:pStyle w:val="16"/>
        <w:numPr>
          <w:ilvl w:val="0"/>
          <w:numId w:val="1"/>
        </w:numPr>
        <w:spacing w:after="60"/>
      </w:pPr>
      <w:r>
        <w:t>滑点峰值&gt;100基点：显示警告徽章'高滑点'，暂停自动执行，待人工审查</w:t>
      </w:r>
    </w:p>
    <w:p w14:paraId="2BCEE9ED">
      <w:pPr>
        <w:pStyle w:val="16"/>
        <w:numPr>
          <w:ilvl w:val="0"/>
          <w:numId w:val="1"/>
        </w:numPr>
        <w:spacing w:after="60"/>
      </w:pPr>
      <w:r>
        <w:t>决策链间隙（缺少步骤）：记录数据质量问题+显示'审计跟踪不完整'警告</w:t>
      </w:r>
    </w:p>
    <w:p w14:paraId="4DDE4A07">
      <w:pPr>
        <w:pStyle w:val="16"/>
        <w:numPr>
          <w:ilvl w:val="0"/>
          <w:numId w:val="1"/>
        </w:numPr>
        <w:spacing w:after="60"/>
      </w:pPr>
      <w:r>
        <w:t>成交价格NaN：视为数据错误，从交易所重新获取，记录事件</w:t>
      </w:r>
    </w:p>
    <w:p w14:paraId="21DBA5F5">
      <w:pPr>
        <w:pStyle w:val="2"/>
        <w:spacing w:before="200" w:after="120"/>
      </w:pPr>
      <w:bookmarkStart w:id="81" w:name="bm_581"/>
      <w:r>
        <w:t>模块7：交易审计日志</w:t>
      </w:r>
      <w:bookmarkEnd w:id="81"/>
    </w:p>
    <w:p w14:paraId="3826BBB4">
      <w:pPr>
        <w:jc w:val="center"/>
      </w:pPr>
      <w:r>
        <w:drawing>
          <wp:inline distT="0" distB="0" distL="0" distR="0">
            <wp:extent cx="6477000" cy="3600450"/>
            <wp:effectExtent l="0" t="0" r="0" b="0"/>
            <wp:docPr id="8" name="mod7_wireframe" descr="Event stream, decision chain explorer, LLM decision detail, and JSON viewer" title="Trading Audit Log Wirefr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mod7_wireframe" descr="Event stream, decision chain explorer, LLM decision detail, and JSON viewer" title="Trading Audit Log Wireframe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48958">
      <w:pPr>
        <w:spacing w:after="150"/>
      </w:pPr>
    </w:p>
    <w:p w14:paraId="6CAC68B4">
      <w:pPr>
        <w:pStyle w:val="3"/>
        <w:spacing w:before="200" w:after="120"/>
      </w:pPr>
      <w:bookmarkStart w:id="82" w:name="bm_582"/>
      <w:r>
        <w:t>设计理念与用户心理</w:t>
      </w:r>
      <w:bookmarkEnd w:id="82"/>
    </w:p>
    <w:p w14:paraId="78C06518">
      <w:pPr>
        <w:spacing w:after="120"/>
      </w:pPr>
      <w:r>
        <w:t>监管合规和交易后分析需要不可变的审计跟踪。模块7为交易员和合规团队提供了对每项决定的完整可见性：发生了什么、何时、为什么以及谁决定的。事件流是真实来源；决策链浏览器提供背景。</w:t>
      </w:r>
    </w:p>
    <w:p w14:paraId="44ED5FA5">
      <w:pPr>
        <w:spacing w:after="120"/>
      </w:pPr>
      <w:r>
        <w:t>LLM决策详情对于想要理解模型推理的研究人员至关重要。由LLM代理2生成的叙述解释使审计跟踪人类可读，而不仅仅是机器可读。</w:t>
      </w:r>
    </w:p>
    <w:p w14:paraId="29EB8599">
      <w:pPr>
        <w:spacing w:after="150"/>
      </w:pPr>
    </w:p>
    <w:p w14:paraId="704CE1A5">
      <w:pPr>
        <w:pStyle w:val="3"/>
        <w:spacing w:before="200" w:after="120"/>
      </w:pPr>
      <w:bookmarkStart w:id="83" w:name="bm_583"/>
      <w:r>
        <w:t>组件清单</w:t>
      </w:r>
      <w:bookmarkEnd w:id="83"/>
    </w:p>
    <w:tbl>
      <w:tblPr>
        <w:tblStyle w:val="11"/>
        <w:tblW w:w="8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3"/>
        <w:gridCol w:w="1526"/>
        <w:gridCol w:w="3948"/>
        <w:gridCol w:w="1423"/>
      </w:tblGrid>
      <w:tr w14:paraId="5FBF934A"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B6C07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组件名称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2CCA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191E74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数据绑定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5E0C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交互</w:t>
            </w:r>
          </w:p>
        </w:tc>
      </w:tr>
      <w:tr w14:paraId="58A57C74"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13324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事件流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1B58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带过滤器的虚拟滚动列表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76C6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/api/v1/audit/events, WebSocket /ws/audit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3347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滚动、搜索、按类型/严重程度过滤</w:t>
            </w:r>
          </w:p>
        </w:tc>
      </w:tr>
      <w:tr w14:paraId="259EF539"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3065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决策链浏览器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3938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水平时间线+详情面板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7A65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/api/v1/audit/events/{event_id}/chain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7D37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点击事件→显示因果链</w:t>
            </w:r>
          </w:p>
        </w:tc>
      </w:tr>
      <w:tr w14:paraId="0CACC9FE"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CBA8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LLM 决策详情面板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661B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呈现的markdown+结构化数据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16F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/api/v1/audit/events/{event_id}/explanation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7621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读取决策的叙述解释</w:t>
            </w:r>
          </w:p>
        </w:tc>
      </w:tr>
      <w:tr w14:paraId="71EC5C8B"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67A9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合规汇总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C0A7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KPI卡片+检查表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F991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/api/v1/audit/compliance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18B2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查看合规规则状态</w:t>
            </w:r>
          </w:p>
        </w:tc>
      </w:tr>
      <w:tr w14:paraId="69333E08"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107A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JSON 事件查看器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8C97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语法突出显示的代码块</w:t>
            </w:r>
          </w:p>
        </w:tc>
        <w:tc>
          <w:tcPr>
            <w:tcW w:w="17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8BB5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GET /api/v1/audit/events/{event_id}/raw</w:t>
            </w:r>
          </w:p>
        </w:tc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42F4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查看原始JSON事件结构</w:t>
            </w:r>
          </w:p>
        </w:tc>
      </w:tr>
    </w:tbl>
    <w:p w14:paraId="2269D170">
      <w:pPr>
        <w:spacing w:after="150"/>
      </w:pPr>
    </w:p>
    <w:p w14:paraId="2E928D84">
      <w:pPr>
        <w:pStyle w:val="4"/>
        <w:spacing w:before="200" w:after="120"/>
      </w:pPr>
      <w:bookmarkStart w:id="84" w:name="bm_584"/>
      <w:r>
        <w:t>事件流</w:t>
      </w:r>
      <w:bookmarkEnd w:id="84"/>
    </w:p>
    <w:p w14:paraId="436C3D24">
      <w:pPr>
        <w:spacing w:after="120"/>
      </w:pPr>
      <w:r>
        <w:t>审计事件（订单、成交、风险更新、模型变更、用户操作）的实时可滚动列表。</w:t>
      </w:r>
    </w:p>
    <w:p w14:paraId="780A1F5D">
      <w:pPr>
        <w:pStyle w:val="16"/>
        <w:numPr>
          <w:ilvl w:val="0"/>
          <w:numId w:val="1"/>
        </w:numPr>
        <w:spacing w:after="60"/>
      </w:pPr>
      <w:r>
        <w:t>数据源：WebSocket /ws/audit（实时）+GET /api/v1/audit/events?limit=100&amp;offset=0（分页）</w:t>
      </w:r>
    </w:p>
    <w:p w14:paraId="6BA4D1C3">
      <w:pPr>
        <w:pStyle w:val="16"/>
        <w:numPr>
          <w:ilvl w:val="0"/>
          <w:numId w:val="1"/>
        </w:numPr>
        <w:spacing w:after="60"/>
      </w:pPr>
      <w:r>
        <w:t>事件类型：OrderCreated、OrderFilled、OrderRejected、ModelUpdated、StrategyDeployed、RiskAlert等</w:t>
      </w:r>
    </w:p>
    <w:p w14:paraId="18260028">
      <w:pPr>
        <w:pStyle w:val="16"/>
        <w:numPr>
          <w:ilvl w:val="0"/>
          <w:numId w:val="1"/>
        </w:numPr>
        <w:spacing w:after="60"/>
      </w:pPr>
      <w:r>
        <w:t>列：时间戳、事件类型、代码、方向、数量、价格、状态、详情（截断）</w:t>
      </w:r>
    </w:p>
    <w:p w14:paraId="167C1135">
      <w:pPr>
        <w:pStyle w:val="16"/>
        <w:numPr>
          <w:ilvl w:val="0"/>
          <w:numId w:val="1"/>
        </w:numPr>
        <w:spacing w:after="60"/>
      </w:pPr>
      <w:r>
        <w:t>过滤器：日期范围、事件类型、代码、严重程度（用于警报）、用户</w:t>
      </w:r>
    </w:p>
    <w:p w14:paraId="08870EF4">
      <w:pPr>
        <w:pStyle w:val="16"/>
        <w:numPr>
          <w:ilvl w:val="0"/>
          <w:numId w:val="1"/>
        </w:numPr>
        <w:spacing w:after="60"/>
      </w:pPr>
      <w:r>
        <w:t>搜索：跨事件字段进行全文搜索（票号、用户评论等）</w:t>
      </w:r>
    </w:p>
    <w:p w14:paraId="103E0BC9">
      <w:pPr>
        <w:pStyle w:val="16"/>
        <w:numPr>
          <w:ilvl w:val="0"/>
          <w:numId w:val="1"/>
        </w:numPr>
        <w:spacing w:after="60"/>
      </w:pPr>
      <w:r>
        <w:t>虚拟滚动：一次只渲染可见行（例如，一次20行）以获得性能</w:t>
      </w:r>
    </w:p>
    <w:p w14:paraId="404AB566">
      <w:pPr>
        <w:spacing w:after="150"/>
      </w:pPr>
    </w:p>
    <w:p w14:paraId="54BF8850">
      <w:pPr>
        <w:pStyle w:val="4"/>
        <w:spacing w:before="200" w:after="120"/>
      </w:pPr>
      <w:bookmarkStart w:id="85" w:name="bm_585"/>
      <w:r>
        <w:t>决策链浏览器</w:t>
      </w:r>
      <w:bookmarkEnd w:id="85"/>
    </w:p>
    <w:p w14:paraId="407515E6">
      <w:pPr>
        <w:spacing w:after="120"/>
      </w:pPr>
      <w:r>
        <w:t>水平时间线显示导致关键事件（例如订单成交）的因果决策序列。</w:t>
      </w:r>
    </w:p>
    <w:p w14:paraId="0341E598">
      <w:pPr>
        <w:pStyle w:val="16"/>
        <w:numPr>
          <w:ilvl w:val="0"/>
          <w:numId w:val="1"/>
        </w:numPr>
        <w:spacing w:after="60"/>
      </w:pPr>
      <w:r>
        <w:t>数据源：GET /api/v1/audit/events/{event_id}/chain，按顺序返回决策数组</w:t>
      </w:r>
    </w:p>
    <w:p w14:paraId="292ECD49">
      <w:pPr>
        <w:pStyle w:val="16"/>
        <w:numPr>
          <w:ilvl w:val="0"/>
          <w:numId w:val="1"/>
        </w:numPr>
        <w:spacing w:after="60"/>
      </w:pPr>
      <w:r>
        <w:t>示例链：信号生成(T=0)→制度检查通过(T=10ms)→风险检查通过(T=20ms)→发送订单(T=100ms)→确认(T=150ms)→部分成交(T=2000ms)→完全成交(T=5000ms)</w:t>
      </w:r>
    </w:p>
    <w:p w14:paraId="504B53B2">
      <w:pPr>
        <w:pStyle w:val="16"/>
        <w:numPr>
          <w:ilvl w:val="0"/>
          <w:numId w:val="1"/>
        </w:numPr>
        <w:spacing w:after="60"/>
      </w:pPr>
      <w:r>
        <w:t>视觉：框（决策点）由箭头（因果关系）连接，当前事件突出显示</w:t>
      </w:r>
    </w:p>
    <w:p w14:paraId="369710D4">
      <w:pPr>
        <w:pStyle w:val="16"/>
        <w:numPr>
          <w:ilvl w:val="0"/>
          <w:numId w:val="1"/>
        </w:numPr>
        <w:spacing w:after="60"/>
      </w:pPr>
      <w:r>
        <w:t>点击框：在详情面板中显示时间戳+决策详情</w:t>
      </w:r>
    </w:p>
    <w:p w14:paraId="1D80744E">
      <w:pPr>
        <w:spacing w:after="150"/>
      </w:pPr>
    </w:p>
    <w:p w14:paraId="22C2C6A5">
      <w:pPr>
        <w:pStyle w:val="4"/>
        <w:spacing w:before="200" w:after="120"/>
      </w:pPr>
      <w:bookmarkStart w:id="86" w:name="bm_586"/>
      <w:r>
        <w:t>LLM 决策详情面板</w:t>
      </w:r>
      <w:bookmarkEnd w:id="86"/>
    </w:p>
    <w:p w14:paraId="2450C890">
      <w:pPr>
        <w:spacing w:after="120"/>
      </w:pPr>
      <w:r>
        <w:t>由LLM代理2生成的交易决策的人类可读解释。</w:t>
      </w:r>
    </w:p>
    <w:p w14:paraId="00CE8714">
      <w:pPr>
        <w:pStyle w:val="16"/>
        <w:numPr>
          <w:ilvl w:val="0"/>
          <w:numId w:val="1"/>
        </w:numPr>
        <w:spacing w:after="60"/>
      </w:pPr>
      <w:r>
        <w:t>数据源：GET /api/v1/audit/events/{event_id}/explanation（LLM生成的叙述）</w:t>
      </w:r>
    </w:p>
    <w:p w14:paraId="5EB741AF">
      <w:pPr>
        <w:pStyle w:val="16"/>
        <w:numPr>
          <w:ilvl w:val="0"/>
          <w:numId w:val="1"/>
        </w:numPr>
        <w:spacing w:after="60"/>
      </w:pPr>
      <w:r>
        <w:t>内容：Markdown格式的解释，总结决策链、制度状态、风险评估和执行结果</w:t>
      </w:r>
    </w:p>
    <w:p w14:paraId="7F541D11">
      <w:pPr>
        <w:pStyle w:val="16"/>
        <w:numPr>
          <w:ilvl w:val="0"/>
          <w:numId w:val="1"/>
        </w:numPr>
        <w:spacing w:after="60"/>
      </w:pPr>
      <w:r>
        <w:t>示例：'订单以2026-04-12 14:30:15买入500份AAPL已成功执行。市场制度为上升趋势（92%概率），有利于多头进入。VaR影响为+0.02%，在限制内。成交价178.45，1bp滑点。'</w:t>
      </w:r>
    </w:p>
    <w:p w14:paraId="14D35424">
      <w:pPr>
        <w:pStyle w:val="16"/>
        <w:numPr>
          <w:ilvl w:val="0"/>
          <w:numId w:val="1"/>
        </w:numPr>
        <w:spacing w:after="60"/>
      </w:pPr>
      <w:r>
        <w:t>视觉：清晰的排版，关键事实加粗，行动项着色框</w:t>
      </w:r>
    </w:p>
    <w:p w14:paraId="69937AF0">
      <w:pPr>
        <w:spacing w:after="150"/>
      </w:pPr>
    </w:p>
    <w:p w14:paraId="07249ED9">
      <w:pPr>
        <w:pStyle w:val="4"/>
        <w:spacing w:before="200" w:after="120"/>
      </w:pPr>
      <w:bookmarkStart w:id="87" w:name="bm_587"/>
      <w:r>
        <w:t>合规汇总面板</w:t>
      </w:r>
      <w:bookmarkEnd w:id="87"/>
    </w:p>
    <w:p w14:paraId="7E130BED">
      <w:pPr>
        <w:spacing w:after="120"/>
      </w:pPr>
      <w:r>
        <w:t>合规规则及其状态的检查表。对合规团队和风险经理有用。</w:t>
      </w:r>
    </w:p>
    <w:p w14:paraId="39AACD46">
      <w:pPr>
        <w:pStyle w:val="16"/>
        <w:numPr>
          <w:ilvl w:val="0"/>
          <w:numId w:val="1"/>
        </w:numPr>
        <w:spacing w:after="60"/>
      </w:pPr>
      <w:r>
        <w:t>规则：所有交易记录时间戳、无未授权订单修改、实施头寸限制、实施风险限制、每日P&amp;L调和等</w:t>
      </w:r>
    </w:p>
    <w:p w14:paraId="0BD9D066">
      <w:pPr>
        <w:pStyle w:val="16"/>
        <w:numPr>
          <w:ilvl w:val="0"/>
          <w:numId w:val="1"/>
        </w:numPr>
        <w:spacing w:after="60"/>
      </w:pPr>
      <w:r>
        <w:t>数据源：GET /api/v1/audit/compliance，返回每条规则的状态（PASS/FAIL/WARNING）</w:t>
      </w:r>
    </w:p>
    <w:p w14:paraId="18C7E305">
      <w:pPr>
        <w:pStyle w:val="16"/>
        <w:numPr>
          <w:ilvl w:val="0"/>
          <w:numId w:val="1"/>
        </w:numPr>
        <w:spacing w:after="60"/>
      </w:pPr>
      <w:r>
        <w:t>视觉：每条规则一个复选框，绿色（通过）、黄色（警告）、红色（失败），带详情按钮</w:t>
      </w:r>
    </w:p>
    <w:p w14:paraId="57B60A21">
      <w:pPr>
        <w:pStyle w:val="16"/>
        <w:numPr>
          <w:ilvl w:val="0"/>
          <w:numId w:val="1"/>
        </w:numPr>
        <w:spacing w:after="60"/>
      </w:pPr>
      <w:r>
        <w:t>点击详情：显示违规、采取的纠正行动、合规官员签字</w:t>
      </w:r>
    </w:p>
    <w:p w14:paraId="2ABF854B">
      <w:pPr>
        <w:spacing w:after="150"/>
      </w:pPr>
    </w:p>
    <w:p w14:paraId="53C2E34E">
      <w:pPr>
        <w:pStyle w:val="4"/>
        <w:spacing w:before="200" w:after="120"/>
      </w:pPr>
      <w:bookmarkStart w:id="88" w:name="bm_588"/>
      <w:r>
        <w:t>JSON 事件查看器</w:t>
      </w:r>
      <w:bookmarkEnd w:id="88"/>
    </w:p>
    <w:p w14:paraId="5A15894D">
      <w:pPr>
        <w:spacing w:after="120"/>
      </w:pPr>
      <w:r>
        <w:t>原始事件结构的语法突出显示JSON查看器。适合高级用户/合规审计。</w:t>
      </w:r>
    </w:p>
    <w:p w14:paraId="79CCDB65">
      <w:pPr>
        <w:pStyle w:val="16"/>
        <w:numPr>
          <w:ilvl w:val="0"/>
          <w:numId w:val="1"/>
        </w:numPr>
        <w:spacing w:after="60"/>
      </w:pPr>
      <w:r>
        <w:t>数据源：GET /api/v1/audit/events/{event_id}/raw（完整JSON）</w:t>
      </w:r>
    </w:p>
    <w:p w14:paraId="7CE49285">
      <w:pPr>
        <w:pStyle w:val="16"/>
        <w:numPr>
          <w:ilvl w:val="0"/>
          <w:numId w:val="1"/>
        </w:numPr>
        <w:spacing w:after="60"/>
      </w:pPr>
      <w:r>
        <w:t>功能：语法突出显示、可折叠对象/数组、行号、复制到剪贴板</w:t>
      </w:r>
    </w:p>
    <w:p w14:paraId="22B16AB0">
      <w:pPr>
        <w:pStyle w:val="16"/>
        <w:numPr>
          <w:ilvl w:val="0"/>
          <w:numId w:val="1"/>
        </w:numPr>
        <w:spacing w:after="60"/>
      </w:pPr>
      <w:r>
        <w:t>只读：无编辑（审计跟踪必须不可变）</w:t>
      </w:r>
    </w:p>
    <w:p w14:paraId="5336BBC9">
      <w:pPr>
        <w:spacing w:after="150"/>
      </w:pPr>
    </w:p>
    <w:p w14:paraId="4475462F">
      <w:pPr>
        <w:pStyle w:val="3"/>
        <w:spacing w:before="200" w:after="120"/>
      </w:pPr>
      <w:bookmarkStart w:id="89" w:name="bm_589"/>
      <w:r>
        <w:t>数据契约</w:t>
      </w:r>
      <w:bookmarkEnd w:id="89"/>
    </w:p>
    <w:p w14:paraId="28C2EB78">
      <w:pPr>
        <w:spacing w:after="120"/>
      </w:pPr>
      <w:r>
        <w:t>审计事件架构：</w:t>
      </w:r>
    </w:p>
    <w:p w14:paraId="366E9370">
      <w:pPr>
        <w:spacing w:after="120"/>
      </w:pPr>
      <w:r>
        <w:t>{
  "event_id": "evt_abc123xyz",
  "timestamp": "2026-04-12T14:30:15.123456Z",
  "event_type": "OrderFilled",
  "user_id": "trader_001",
  "ticker": "AAPL",
  "side": "BUY",
  "quantity": 500,
  "order_price": 178.50,
  "fill_price": 178.45,
  "fill_quantity": 500,
  "decision_chain_id": "chain_xyz",
  "regime_state": { "current_regime": "trending_up", "probability": 0.92 },
  "risk_assessment": { "var_impact_bps": 2, "concentration_impact": 0.01 },
  "execution_latency_ms": 5000,
  "slippage_bps": 5,
  "tags": ["automated", "algogen"]
}</w:t>
      </w:r>
    </w:p>
    <w:p w14:paraId="1A579697">
      <w:pPr>
        <w:spacing w:after="150"/>
      </w:pPr>
    </w:p>
    <w:p w14:paraId="6BDEE4B8">
      <w:pPr>
        <w:pStyle w:val="3"/>
        <w:spacing w:before="200" w:after="120"/>
      </w:pPr>
      <w:bookmarkStart w:id="90" w:name="bm_590"/>
      <w:r>
        <w:t>验收标准</w:t>
      </w:r>
      <w:bookmarkEnd w:id="90"/>
    </w:p>
    <w:tbl>
      <w:tblPr>
        <w:tblStyle w:val="11"/>
        <w:tblW w:w="53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500"/>
      </w:tblGrid>
      <w:tr w14:paraId="1B04C24B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F1F0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标准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D2828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要求</w:t>
            </w:r>
          </w:p>
        </w:tc>
      </w:tr>
      <w:tr w14:paraId="624B8E5E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13EFB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1. 事件流刷新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B3CE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WebSocket推送后&lt;500ms出现新事件</w:t>
            </w:r>
          </w:p>
        </w:tc>
      </w:tr>
      <w:tr w14:paraId="40E65CFD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118B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2. 搜索性能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2ABC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全文搜索在&lt;1秒内返回结果</w:t>
            </w:r>
          </w:p>
        </w:tc>
      </w:tr>
      <w:tr w14:paraId="48F82919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F217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3. 决策链准确度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663C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链中记录的所有事件，因果关系正确</w:t>
            </w:r>
          </w:p>
        </w:tc>
      </w:tr>
      <w:tr w14:paraId="1C36B2AE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7735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4. LLM解释质量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4241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叙述可读、事实准确、简洁</w:t>
            </w:r>
          </w:p>
        </w:tc>
      </w:tr>
      <w:tr w14:paraId="266F66C3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E917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5. 合规检查表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2C4A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所有规则已评估，状态与审计跟踪匹配</w:t>
            </w:r>
          </w:p>
        </w:tc>
      </w:tr>
      <w:tr w14:paraId="3F479A1C"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DC0E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6. JSON查看器速度</w:t>
            </w:r>
          </w:p>
        </w:tc>
        <w:tc>
          <w:tcPr>
            <w:tcW w:w="3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9C6C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大型事件(&gt;10KB)无延迟渲染</w:t>
            </w:r>
          </w:p>
        </w:tc>
      </w:tr>
    </w:tbl>
    <w:p w14:paraId="59F30030">
      <w:pPr>
        <w:spacing w:after="150"/>
      </w:pPr>
    </w:p>
    <w:p w14:paraId="438354DE">
      <w:pPr>
        <w:pStyle w:val="3"/>
        <w:spacing w:before="200" w:after="120"/>
      </w:pPr>
      <w:bookmarkStart w:id="91" w:name="bm_591"/>
      <w:r>
        <w:t>边界场景与错误处理</w:t>
      </w:r>
      <w:bookmarkEnd w:id="91"/>
    </w:p>
    <w:p w14:paraId="0427FF56">
      <w:pPr>
        <w:pStyle w:val="16"/>
        <w:numPr>
          <w:ilvl w:val="0"/>
          <w:numId w:val="1"/>
        </w:numPr>
        <w:spacing w:after="60"/>
      </w:pPr>
      <w:r>
        <w:t>事件流延迟：显示'事件加载中...'指示灯，队列传入事件，重新连接时赶上</w:t>
      </w:r>
    </w:p>
    <w:p w14:paraId="7582ECFC">
      <w:pPr>
        <w:pStyle w:val="16"/>
        <w:numPr>
          <w:ilvl w:val="0"/>
          <w:numId w:val="1"/>
        </w:numPr>
        <w:spacing w:after="60"/>
      </w:pPr>
      <w:r>
        <w:t>决策链间隙（缺少因果事件）：显示警告'审计跟踪不完整'+警报合规</w:t>
      </w:r>
    </w:p>
    <w:p w14:paraId="4DBA1ACA">
      <w:pPr>
        <w:pStyle w:val="16"/>
        <w:numPr>
          <w:ilvl w:val="0"/>
          <w:numId w:val="1"/>
        </w:numPr>
        <w:spacing w:after="60"/>
      </w:pPr>
      <w:r>
        <w:t>LLM解释超时：显示'生成解释中...'旋转器，3秒后回退到原始JSON</w:t>
      </w:r>
    </w:p>
    <w:p w14:paraId="0C1504DD">
      <w:pPr>
        <w:pStyle w:val="16"/>
        <w:numPr>
          <w:ilvl w:val="0"/>
          <w:numId w:val="1"/>
        </w:numPr>
        <w:spacing w:after="60"/>
      </w:pPr>
      <w:r>
        <w:t>合规规则失败：以红色突出显示+显示带所需纠正行动的详情面板</w:t>
      </w:r>
    </w:p>
    <w:p w14:paraId="255D9A9F">
      <w:pPr>
        <w:pStyle w:val="16"/>
        <w:numPr>
          <w:ilvl w:val="0"/>
          <w:numId w:val="1"/>
        </w:numPr>
        <w:spacing w:after="60"/>
      </w:pPr>
      <w:r>
        <w:t>移动设备上的JSON查看器：切换到折叠树视图（完整JSON对小屏幕过于冗长）</w:t>
      </w:r>
    </w:p>
    <w:p w14:paraId="5AEDBF7D">
      <w:pPr>
        <w:pStyle w:val="2"/>
        <w:spacing w:before="200" w:after="120"/>
      </w:pPr>
      <w:bookmarkStart w:id="92" w:name="bm_592"/>
      <w:r>
        <w:t>前端迁移：React/Next.js</w:t>
      </w:r>
      <w:bookmarkEnd w:id="92"/>
    </w:p>
    <w:p w14:paraId="7BC87403">
      <w:pPr>
        <w:spacing w:after="120"/>
      </w:pPr>
      <w:r>
        <w:t>Alpha Core前端基于React 18+Next.js 14构建，组件库遵循设计系统原则。所有7个模块实现为独立页面，共享UI组件库。</w:t>
      </w:r>
    </w:p>
    <w:p w14:paraId="5C8F334A">
      <w:pPr>
        <w:pStyle w:val="3"/>
        <w:spacing w:before="200" w:after="120"/>
      </w:pPr>
      <w:bookmarkStart w:id="93" w:name="bm_593"/>
      <w:r>
        <w:t>组件技术栈</w:t>
      </w:r>
      <w:bookmarkEnd w:id="93"/>
    </w:p>
    <w:tbl>
      <w:tblPr>
        <w:tblStyle w:val="11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1800"/>
        <w:gridCol w:w="2600"/>
      </w:tblGrid>
      <w:tr w14:paraId="33384CDB"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0FC2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功能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831B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技术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4F176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原理</w:t>
            </w:r>
          </w:p>
        </w:tc>
      </w:tr>
      <w:tr w14:paraId="6236E61D"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FC55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状态管理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BC99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React Query + TanStack Store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A2D2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高效服务器状态同步+实时更新</w:t>
            </w:r>
          </w:p>
        </w:tc>
      </w:tr>
      <w:tr w14:paraId="071724AC"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F4E7A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制图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707D5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Nivo（D3包装）+ TradingView Lightweight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2DD8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复杂热力图+生产级价格图表</w:t>
            </w:r>
          </w:p>
        </w:tc>
      </w:tr>
      <w:tr w14:paraId="0379362F"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4804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代码编辑器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8895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Monaco编辑器（VS Code嵌入）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1E49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行业标准DSL创作体验</w:t>
            </w:r>
          </w:p>
        </w:tc>
      </w:tr>
      <w:tr w14:paraId="2F49CF3F"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1ADC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UI组件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8596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Headless UI + TailwindCSS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3A69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可访问、可定制、轻量级</w:t>
            </w:r>
          </w:p>
        </w:tc>
      </w:tr>
      <w:tr w14:paraId="2DB6B2E9"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0B32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实时通信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78BF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Socket.IO（WebSocket抽象）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78B7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优雅回退轮询，重新连接逻辑</w:t>
            </w:r>
          </w:p>
        </w:tc>
      </w:tr>
      <w:tr w14:paraId="0CD119F3">
        <w:tc>
          <w:tcPr>
            <w:tcW w:w="1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A6AF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测试</w:t>
            </w:r>
          </w:p>
        </w:tc>
        <w:tc>
          <w:tcPr>
            <w:tcW w:w="18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1233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Vitest + Testing Library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21BB9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快速、现代、与React最佳实践相匹配</w:t>
            </w:r>
          </w:p>
        </w:tc>
      </w:tr>
    </w:tbl>
    <w:p w14:paraId="45C45152">
      <w:pPr>
        <w:spacing w:after="150"/>
      </w:pPr>
    </w:p>
    <w:p w14:paraId="25273963">
      <w:pPr>
        <w:pStyle w:val="3"/>
        <w:spacing w:before="200" w:after="120"/>
      </w:pPr>
      <w:bookmarkStart w:id="94" w:name="bm_594"/>
      <w:r>
        <w:t>UI 组件库结构</w:t>
      </w:r>
      <w:bookmarkEnd w:id="94"/>
    </w:p>
    <w:tbl>
      <w:tblPr>
        <w:tblStyle w:val="11"/>
        <w:tblW w:w="60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34"/>
        <w:gridCol w:w="1838"/>
        <w:gridCol w:w="2428"/>
      </w:tblGrid>
      <w:tr w14:paraId="1C0FFFF4"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E2DDC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组件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CBA9A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属性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C5E29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示例用法</w:t>
            </w:r>
          </w:p>
        </w:tc>
      </w:tr>
      <w:tr w14:paraId="16CD8D5D"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C224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ServiceCard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82D8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{ service_id, status, latency, uptime }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3496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&lt;ServiceCard service_id='fastapi' status='green' /&gt;</w:t>
            </w:r>
          </w:p>
        </w:tc>
      </w:tr>
      <w:tr w14:paraId="1A4AF1EE"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ECE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CandlestickChart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68F9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{ ticker, data, onCrosshair }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D119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&lt;CandlestickChart ticker='AAPL' data={candles} /&gt;</w:t>
            </w:r>
          </w:p>
        </w:tc>
      </w:tr>
      <w:tr w14:paraId="1DD895B2"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582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FeatureHeatmap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8FD3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{ features, tickers, onCellClick }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DE6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&lt;FeatureHeatmap features={feat} tickers={tk} /&gt;</w:t>
            </w:r>
          </w:p>
        </w:tc>
      </w:tr>
      <w:tr w14:paraId="4ECEA824"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68EA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MonacoEditor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E7F0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{ value, onChange, language, errors }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2C96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&lt;MonacoEditor language='alphadsl' value={code} /&gt;</w:t>
            </w:r>
          </w:p>
        </w:tc>
      </w:tr>
      <w:tr w14:paraId="63D65429"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61AF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PortfolioTreemap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543B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{ positions, onTileClick }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E180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&lt;PortfolioTreemap positions={pos} /&gt;</w:t>
            </w:r>
          </w:p>
        </w:tc>
      </w:tr>
      <w:tr w14:paraId="193B0525">
        <w:tc>
          <w:tcPr>
            <w:tcW w:w="1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BD85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EventStream</w:t>
            </w:r>
          </w:p>
        </w:tc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5F45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{ events, onFilter, onSearch }</w:t>
            </w:r>
          </w:p>
        </w:tc>
        <w:tc>
          <w:tcPr>
            <w:tcW w:w="26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E086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&lt;EventStream events={evt} onFilter={cb} /&gt;</w:t>
            </w:r>
          </w:p>
        </w:tc>
      </w:tr>
    </w:tbl>
    <w:p w14:paraId="1B3324A3">
      <w:pPr>
        <w:spacing w:after="150"/>
      </w:pPr>
    </w:p>
    <w:p w14:paraId="008B4121">
      <w:pPr>
        <w:pStyle w:val="3"/>
        <w:spacing w:before="200" w:after="120"/>
      </w:pPr>
      <w:bookmarkStart w:id="95" w:name="bm_595"/>
      <w:r>
        <w:t>构建和部署</w:t>
      </w:r>
      <w:bookmarkEnd w:id="95"/>
    </w:p>
    <w:p w14:paraId="33A1DB0C">
      <w:pPr>
        <w:spacing w:after="120"/>
      </w:pPr>
      <w:r>
        <w:t>Next.js静态导出用于前端（单页应用程序），部署到CDN，24小时缓存标题。API路由（可选）使用无服务器函数处理轻量级auth逻辑。构建时间&lt;2分钟，部署&lt;5分钟。</w:t>
      </w:r>
    </w:p>
    <w:p w14:paraId="739295F9">
      <w:pPr>
        <w:pStyle w:val="2"/>
        <w:spacing w:before="200" w:after="120"/>
      </w:pPr>
      <w:bookmarkStart w:id="96" w:name="bm_596"/>
      <w:r>
        <w:t>分阶段交付计划</w:t>
      </w:r>
      <w:bookmarkEnd w:id="96"/>
    </w:p>
    <w:p w14:paraId="1AAAD3B5">
      <w:pPr>
        <w:pStyle w:val="3"/>
        <w:spacing w:before="200" w:after="120"/>
      </w:pPr>
      <w:bookmarkStart w:id="97" w:name="bm_597"/>
      <w:r>
        <w:t>第1阶段：概念验证（第1-2个月）</w:t>
      </w:r>
      <w:bookmarkEnd w:id="97"/>
    </w:p>
    <w:p w14:paraId="717FA1D7">
      <w:pPr>
        <w:spacing w:after="120"/>
      </w:pPr>
      <w:r>
        <w:t>核心模块1–3（系统总线、行情数据、模型推理）：</w:t>
      </w:r>
    </w:p>
    <w:p w14:paraId="1C56D684">
      <w:pPr>
        <w:pStyle w:val="16"/>
        <w:numPr>
          <w:ilvl w:val="0"/>
          <w:numId w:val="1"/>
        </w:numPr>
        <w:spacing w:after="60"/>
      </w:pPr>
      <w:r>
        <w:t>后端：FastAPI服务器、健康检查微服务、市场数据摄取、模型推理</w:t>
      </w:r>
    </w:p>
    <w:p w14:paraId="65DEA8F6">
      <w:pPr>
        <w:pStyle w:val="16"/>
        <w:numPr>
          <w:ilvl w:val="0"/>
          <w:numId w:val="1"/>
        </w:numPr>
        <w:spacing w:after="60"/>
      </w:pPr>
      <w:r>
        <w:t>前端：模块1、2、3（基础版本，LLM集成除外）</w:t>
      </w:r>
    </w:p>
    <w:p w14:paraId="33C70673">
      <w:pPr>
        <w:pStyle w:val="16"/>
        <w:numPr>
          <w:ilvl w:val="0"/>
          <w:numId w:val="1"/>
        </w:numPr>
        <w:spacing w:after="60"/>
      </w:pPr>
      <w:r>
        <w:t>数据：回测的模拟数据，yfinance的实时代码连接</w:t>
      </w:r>
    </w:p>
    <w:p w14:paraId="56376A4A">
      <w:pPr>
        <w:pStyle w:val="16"/>
        <w:numPr>
          <w:ilvl w:val="0"/>
          <w:numId w:val="1"/>
        </w:numPr>
        <w:spacing w:after="60"/>
      </w:pPr>
      <w:r>
        <w:t>可交付物：实时监控+市场数据可视化+模型预测的工作演示</w:t>
      </w:r>
    </w:p>
    <w:p w14:paraId="667AEFD0">
      <w:pPr>
        <w:spacing w:after="150"/>
      </w:pPr>
    </w:p>
    <w:p w14:paraId="15AA8AF1">
      <w:pPr>
        <w:pStyle w:val="3"/>
        <w:spacing w:before="200" w:after="120"/>
      </w:pPr>
      <w:bookmarkStart w:id="98" w:name="bm_598"/>
      <w:r>
        <w:t>第2阶段：策略和投资组合（第3-4个月）</w:t>
      </w:r>
      <w:bookmarkEnd w:id="98"/>
    </w:p>
    <w:p w14:paraId="60217501">
      <w:pPr>
        <w:spacing w:after="120"/>
      </w:pPr>
      <w:r>
        <w:t>模块4–5（Alpha实验室、投资组合与风险）：</w:t>
      </w:r>
    </w:p>
    <w:p w14:paraId="7DABA9CC">
      <w:pPr>
        <w:pStyle w:val="16"/>
        <w:numPr>
          <w:ilvl w:val="0"/>
          <w:numId w:val="1"/>
        </w:numPr>
        <w:spacing w:after="60"/>
      </w:pPr>
      <w:r>
        <w:t>因子DSL解析器和回测引擎</w:t>
      </w:r>
    </w:p>
    <w:p w14:paraId="6E35014A">
      <w:pPr>
        <w:pStyle w:val="16"/>
        <w:numPr>
          <w:ilvl w:val="0"/>
          <w:numId w:val="1"/>
        </w:numPr>
        <w:spacing w:after="60"/>
      </w:pPr>
      <w:r>
        <w:t>因子生成的LLM代理集成（代理1）和研究摘要（代理2）</w:t>
      </w:r>
    </w:p>
    <w:p w14:paraId="6F1B4791">
      <w:pPr>
        <w:pStyle w:val="16"/>
        <w:numPr>
          <w:ilvl w:val="0"/>
          <w:numId w:val="1"/>
        </w:numPr>
        <w:spacing w:after="60"/>
      </w:pPr>
      <w:r>
        <w:t>风险引擎：VaR、CVaR、Kelly调整、集中度警报</w:t>
      </w:r>
    </w:p>
    <w:p w14:paraId="4DAE6169">
      <w:pPr>
        <w:pStyle w:val="16"/>
        <w:numPr>
          <w:ilvl w:val="0"/>
          <w:numId w:val="1"/>
        </w:numPr>
        <w:spacing w:after="60"/>
      </w:pPr>
      <w:r>
        <w:t>可交付物：交易员可以编写因子、回测和构建投资组合</w:t>
      </w:r>
    </w:p>
    <w:p w14:paraId="60DA0D4D">
      <w:pPr>
        <w:spacing w:after="150"/>
      </w:pPr>
    </w:p>
    <w:p w14:paraId="215D768A">
      <w:pPr>
        <w:pStyle w:val="3"/>
        <w:spacing w:before="200" w:after="120"/>
      </w:pPr>
      <w:bookmarkStart w:id="99" w:name="bm_599"/>
      <w:r>
        <w:t>第3阶段：执行和审计（第5-6个月）</w:t>
      </w:r>
      <w:bookmarkEnd w:id="99"/>
    </w:p>
    <w:p w14:paraId="50F2C255">
      <w:pPr>
        <w:spacing w:after="120"/>
      </w:pPr>
      <w:r>
        <w:t>模块6–7（订单执行、审计日志）：</w:t>
      </w:r>
    </w:p>
    <w:p w14:paraId="1B884D99">
      <w:pPr>
        <w:pStyle w:val="16"/>
        <w:numPr>
          <w:ilvl w:val="0"/>
          <w:numId w:val="1"/>
        </w:numPr>
        <w:spacing w:after="60"/>
      </w:pPr>
      <w:r>
        <w:t>具有制度/风险/微观结构检查的多门槛执行框架</w:t>
      </w:r>
    </w:p>
    <w:p w14:paraId="28CCD925">
      <w:pPr>
        <w:pStyle w:val="16"/>
        <w:numPr>
          <w:ilvl w:val="0"/>
          <w:numId w:val="1"/>
        </w:numPr>
        <w:spacing w:after="60"/>
      </w:pPr>
      <w:r>
        <w:t>纸张交易模式（模拟订单）与执行分析</w:t>
      </w:r>
    </w:p>
    <w:p w14:paraId="56FC7F74">
      <w:pPr>
        <w:pStyle w:val="16"/>
        <w:numPr>
          <w:ilvl w:val="0"/>
          <w:numId w:val="1"/>
        </w:numPr>
        <w:spacing w:after="60"/>
      </w:pPr>
      <w:r>
        <w:t>带LLM生成解释的不可变审计跟踪（代理2、4）</w:t>
      </w:r>
    </w:p>
    <w:p w14:paraId="063FAE72">
      <w:pPr>
        <w:pStyle w:val="16"/>
        <w:numPr>
          <w:ilvl w:val="0"/>
          <w:numId w:val="1"/>
        </w:numPr>
        <w:spacing w:after="60"/>
      </w:pPr>
      <w:r>
        <w:t>合规仪表板和规则检查表</w:t>
      </w:r>
    </w:p>
    <w:p w14:paraId="079DB76E">
      <w:pPr>
        <w:pStyle w:val="16"/>
        <w:numPr>
          <w:ilvl w:val="0"/>
          <w:numId w:val="1"/>
        </w:numPr>
        <w:spacing w:after="60"/>
      </w:pPr>
      <w:r>
        <w:t>可交付物：全链路交易工作流，带审计和合规</w:t>
      </w:r>
    </w:p>
    <w:p w14:paraId="070DBDF6">
      <w:pPr>
        <w:spacing w:after="150"/>
      </w:pPr>
    </w:p>
    <w:p w14:paraId="0DB89952">
      <w:pPr>
        <w:pStyle w:val="3"/>
        <w:spacing w:before="200" w:after="120"/>
      </w:pPr>
      <w:bookmarkStart w:id="100" w:name="bm_600"/>
      <w:r>
        <w:t>第4阶段：生产加固（第7-8个月，持续进行）</w:t>
      </w:r>
      <w:bookmarkEnd w:id="100"/>
    </w:p>
    <w:p w14:paraId="3584799F">
      <w:pPr>
        <w:pStyle w:val="16"/>
        <w:numPr>
          <w:ilvl w:val="0"/>
          <w:numId w:val="1"/>
        </w:numPr>
        <w:spacing w:after="60"/>
      </w:pPr>
      <w:r>
        <w:t>真实货币交易（具有风险限制）</w:t>
      </w:r>
    </w:p>
    <w:p w14:paraId="425E7359">
      <w:pPr>
        <w:pStyle w:val="16"/>
        <w:numPr>
          <w:ilvl w:val="0"/>
          <w:numId w:val="1"/>
        </w:numPr>
        <w:spacing w:after="60"/>
      </w:pPr>
      <w:r>
        <w:t>性能优化（延迟目标：每个模块p95&lt;100ms）</w:t>
      </w:r>
    </w:p>
    <w:p w14:paraId="77DA7928">
      <w:pPr>
        <w:pStyle w:val="16"/>
        <w:numPr>
          <w:ilvl w:val="0"/>
          <w:numId w:val="1"/>
        </w:numPr>
        <w:spacing w:after="60"/>
      </w:pPr>
      <w:r>
        <w:t>可扩展性测试（1000个代码、10个并发用户、100k事件/天）</w:t>
      </w:r>
    </w:p>
    <w:p w14:paraId="3FF3FC8F">
      <w:pPr>
        <w:pStyle w:val="16"/>
        <w:numPr>
          <w:ilvl w:val="0"/>
          <w:numId w:val="1"/>
        </w:numPr>
        <w:spacing w:after="60"/>
      </w:pPr>
      <w:r>
        <w:t>安全审计和合规认证（如需要）</w:t>
      </w:r>
    </w:p>
    <w:p w14:paraId="52ADC2D2">
      <w:pPr>
        <w:pStyle w:val="2"/>
        <w:spacing w:before="200" w:after="120"/>
      </w:pPr>
      <w:bookmarkStart w:id="101" w:name="bm_601"/>
      <w:r>
        <w:t>技术参考</w:t>
      </w:r>
      <w:bookmarkEnd w:id="101"/>
    </w:p>
    <w:p w14:paraId="36FC916F">
      <w:pPr>
        <w:pStyle w:val="3"/>
        <w:spacing w:before="200" w:after="120"/>
      </w:pPr>
      <w:bookmarkStart w:id="102" w:name="bm_602"/>
      <w:r>
        <w:t>开源栈</w:t>
      </w:r>
      <w:bookmarkEnd w:id="102"/>
    </w:p>
    <w:p w14:paraId="52A87ECF">
      <w:pPr>
        <w:pStyle w:val="16"/>
        <w:numPr>
          <w:ilvl w:val="0"/>
          <w:numId w:val="1"/>
        </w:numPr>
        <w:spacing w:after="60"/>
      </w:pPr>
      <w:r>
        <w:t>FastAPI（Python异步Web框架）</w:t>
      </w:r>
    </w:p>
    <w:p w14:paraId="4E7ADE86">
      <w:pPr>
        <w:pStyle w:val="16"/>
        <w:numPr>
          <w:ilvl w:val="0"/>
          <w:numId w:val="1"/>
        </w:numPr>
        <w:spacing w:after="60"/>
      </w:pPr>
      <w:r>
        <w:t>React 18 + Next.js 14（前端）</w:t>
      </w:r>
    </w:p>
    <w:p w14:paraId="78FEFB93">
      <w:pPr>
        <w:pStyle w:val="16"/>
        <w:numPr>
          <w:ilvl w:val="0"/>
          <w:numId w:val="1"/>
        </w:numPr>
        <w:spacing w:after="60"/>
      </w:pPr>
      <w:r>
        <w:t>Nivo / D3.js（制图）</w:t>
      </w:r>
    </w:p>
    <w:p w14:paraId="1535E258">
      <w:pPr>
        <w:pStyle w:val="16"/>
        <w:numPr>
          <w:ilvl w:val="0"/>
          <w:numId w:val="1"/>
        </w:numPr>
        <w:spacing w:after="60"/>
      </w:pPr>
      <w:r>
        <w:t>Monaco编辑器（代码编辑）</w:t>
      </w:r>
    </w:p>
    <w:p w14:paraId="0C46325B">
      <w:pPr>
        <w:pStyle w:val="16"/>
        <w:numPr>
          <w:ilvl w:val="0"/>
          <w:numId w:val="1"/>
        </w:numPr>
        <w:spacing w:after="60"/>
      </w:pPr>
      <w:r>
        <w:t>TanStack Query（服务器状态）</w:t>
      </w:r>
    </w:p>
    <w:p w14:paraId="1905134B">
      <w:pPr>
        <w:pStyle w:val="16"/>
        <w:numPr>
          <w:ilvl w:val="0"/>
          <w:numId w:val="1"/>
        </w:numPr>
        <w:spacing w:after="60"/>
      </w:pPr>
      <w:r>
        <w:t>Socket.IO（实时WebSocket）</w:t>
      </w:r>
    </w:p>
    <w:p w14:paraId="4DC3E95B">
      <w:pPr>
        <w:pStyle w:val="16"/>
        <w:numPr>
          <w:ilvl w:val="0"/>
          <w:numId w:val="1"/>
        </w:numPr>
        <w:spacing w:after="60"/>
      </w:pPr>
      <w:r>
        <w:t>SQLite（本地状态）</w:t>
      </w:r>
    </w:p>
    <w:p w14:paraId="1FB02C23">
      <w:pPr>
        <w:pStyle w:val="16"/>
        <w:numPr>
          <w:ilvl w:val="0"/>
          <w:numId w:val="1"/>
        </w:numPr>
        <w:spacing w:after="60"/>
      </w:pPr>
      <w:r>
        <w:t>yfinance（市场数据）</w:t>
      </w:r>
    </w:p>
    <w:p w14:paraId="6F226D2B">
      <w:pPr>
        <w:spacing w:after="150"/>
      </w:pPr>
    </w:p>
    <w:p w14:paraId="7EE00991">
      <w:pPr>
        <w:pStyle w:val="3"/>
        <w:spacing w:before="200" w:after="120"/>
      </w:pPr>
      <w:bookmarkStart w:id="103" w:name="bm_603"/>
      <w:r>
        <w:t>ML/研究库</w:t>
      </w:r>
      <w:bookmarkEnd w:id="103"/>
    </w:p>
    <w:p w14:paraId="5959FDBE">
      <w:pPr>
        <w:pStyle w:val="16"/>
        <w:numPr>
          <w:ilvl w:val="0"/>
          <w:numId w:val="1"/>
        </w:numPr>
        <w:spacing w:after="60"/>
      </w:pPr>
      <w:r>
        <w:t>scikit-learn（特征工程、模型训练）</w:t>
      </w:r>
    </w:p>
    <w:p w14:paraId="6A0681DC">
      <w:pPr>
        <w:pStyle w:val="16"/>
        <w:numPr>
          <w:ilvl w:val="0"/>
          <w:numId w:val="1"/>
        </w:numPr>
        <w:spacing w:after="60"/>
      </w:pPr>
      <w:r>
        <w:t>hmmlearn（隐马尔可夫模型）</w:t>
      </w:r>
    </w:p>
    <w:p w14:paraId="32AE01BF">
      <w:pPr>
        <w:pStyle w:val="16"/>
        <w:numPr>
          <w:ilvl w:val="0"/>
          <w:numId w:val="1"/>
        </w:numPr>
        <w:spacing w:after="60"/>
      </w:pPr>
      <w:r>
        <w:t>pandas / NumPy（数据操作）</w:t>
      </w:r>
    </w:p>
    <w:p w14:paraId="71C34E81">
      <w:pPr>
        <w:pStyle w:val="16"/>
        <w:numPr>
          <w:ilvl w:val="0"/>
          <w:numId w:val="1"/>
        </w:numPr>
        <w:spacing w:after="60"/>
      </w:pPr>
      <w:r>
        <w:t>backtrader / Zipline（回测引擎）</w:t>
      </w:r>
    </w:p>
    <w:p w14:paraId="0AF4A953">
      <w:pPr>
        <w:pStyle w:val="16"/>
        <w:numPr>
          <w:ilvl w:val="0"/>
          <w:numId w:val="1"/>
        </w:numPr>
        <w:spacing w:after="60"/>
      </w:pPr>
      <w:r>
        <w:t>XGBoost（梯度提升）</w:t>
      </w:r>
    </w:p>
    <w:p w14:paraId="7DA13B76">
      <w:pPr>
        <w:spacing w:after="150"/>
      </w:pPr>
    </w:p>
    <w:p w14:paraId="444D8FC2">
      <w:pPr>
        <w:pStyle w:val="3"/>
        <w:spacing w:before="200" w:after="120"/>
      </w:pPr>
      <w:bookmarkStart w:id="104" w:name="bm_604"/>
      <w:r>
        <w:t>学术和参考</w:t>
      </w:r>
      <w:bookmarkEnd w:id="104"/>
    </w:p>
    <w:p w14:paraId="7165DE0F">
      <w:pPr>
        <w:pStyle w:val="16"/>
        <w:numPr>
          <w:ilvl w:val="0"/>
          <w:numId w:val="1"/>
        </w:numPr>
        <w:spacing w:after="60"/>
      </w:pPr>
      <w:r>
        <w:t>Fama-French因子（动量、价值、规模、盈利性、投资）</w:t>
      </w:r>
    </w:p>
    <w:p w14:paraId="6FC87BD3">
      <w:pPr>
        <w:pStyle w:val="16"/>
        <w:numPr>
          <w:ilvl w:val="0"/>
          <w:numId w:val="1"/>
        </w:numPr>
        <w:spacing w:after="60"/>
      </w:pPr>
      <w:r>
        <w:t>均值回归和反转文献（Jegadeesh &amp; Titman）</w:t>
      </w:r>
    </w:p>
    <w:p w14:paraId="5056C60E">
      <w:pPr>
        <w:pStyle w:val="16"/>
        <w:numPr>
          <w:ilvl w:val="0"/>
          <w:numId w:val="1"/>
        </w:numPr>
        <w:spacing w:after="60"/>
      </w:pPr>
      <w:r>
        <w:t>Kelly准则（风险最优调整）</w:t>
      </w:r>
    </w:p>
    <w:p w14:paraId="1CFC1C39">
      <w:pPr>
        <w:pStyle w:val="16"/>
        <w:numPr>
          <w:ilvl w:val="0"/>
          <w:numId w:val="1"/>
        </w:numPr>
        <w:spacing w:after="60"/>
      </w:pPr>
      <w:r>
        <w:t>预期校准误差（置信度校准）</w:t>
      </w:r>
    </w:p>
    <w:p w14:paraId="506CA34C">
      <w:pPr>
        <w:pStyle w:val="16"/>
        <w:numPr>
          <w:ilvl w:val="0"/>
          <w:numId w:val="1"/>
        </w:numPr>
        <w:spacing w:after="60"/>
      </w:pPr>
      <w:r>
        <w:t>Sharpe比率、信息系数、最大回撤（风险指标）</w:t>
      </w:r>
    </w:p>
    <w:p w14:paraId="3713A6BE">
      <w:pPr>
        <w:pStyle w:val="2"/>
        <w:spacing w:before="200" w:after="120"/>
      </w:pPr>
      <w:bookmarkStart w:id="105" w:name="bm_605"/>
      <w:r>
        <w:t>附录：术语表</w:t>
      </w:r>
      <w:bookmarkEnd w:id="105"/>
    </w:p>
    <w:tbl>
      <w:tblPr>
        <w:tblStyle w:val="11"/>
        <w:tblW w:w="6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5400"/>
      </w:tblGrid>
      <w:tr w14:paraId="51728CDF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9D42F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术语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C8E13">
            <w:pPr>
              <w:jc w:val="left"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定义</w:t>
            </w:r>
          </w:p>
        </w:tc>
      </w:tr>
      <w:tr w14:paraId="21472208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8A65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Alpha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EF59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超过基准的超额收益（例如，策略收益-SPY收益）</w:t>
            </w:r>
          </w:p>
        </w:tc>
      </w:tr>
      <w:tr w14:paraId="2DABE2F6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4C80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回测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A49D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对历史数据进行策略模拟，以评估性能</w:t>
            </w:r>
          </w:p>
        </w:tc>
      </w:tr>
      <w:tr w14:paraId="384690B1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059E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校准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7550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模型的置信度与实现准确度匹配的程度</w:t>
            </w:r>
          </w:p>
        </w:tc>
      </w:tr>
      <w:tr w14:paraId="320DB289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0B30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蜡烛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5535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烛形图上的一个条（OHLCV：开盘价、最高价、最低价、收盘价、成交量）</w:t>
            </w:r>
          </w:p>
        </w:tc>
      </w:tr>
      <w:tr w14:paraId="2DADE9E7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EB47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CVaR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5646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条件风险价值；最坏情况情景下的平均损失</w:t>
            </w:r>
          </w:p>
        </w:tc>
      </w:tr>
      <w:tr w14:paraId="5D5FC925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8801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DSL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0FFA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领域特定语言；用于表达因子的简化语言</w:t>
            </w:r>
          </w:p>
        </w:tc>
      </w:tr>
      <w:tr w14:paraId="1466C392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D2CA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ECE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2E77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预期校准误差；置信度校准的衡量</w:t>
            </w:r>
          </w:p>
        </w:tc>
      </w:tr>
      <w:tr w14:paraId="511EC08A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FE1E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因子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1F218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计算的特征，用于预测股票收益（例如，动量、波动率）</w:t>
            </w:r>
          </w:p>
        </w:tc>
      </w:tr>
      <w:tr w14:paraId="47E66C61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4A6EE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成交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77CB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在市场价格执行订单</w:t>
            </w:r>
          </w:p>
        </w:tc>
      </w:tr>
      <w:tr w14:paraId="29D19491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3C1B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门槛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D1F6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执行检查（制度、风险、微观结构），在发送订单前必须通过</w:t>
            </w:r>
          </w:p>
        </w:tc>
      </w:tr>
      <w:tr w14:paraId="2F2E2377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1B6D2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HMM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6C1F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隐马尔可夫模型；市场制度的概率模型</w:t>
            </w:r>
          </w:p>
        </w:tc>
      </w:tr>
      <w:tr w14:paraId="218AE011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E468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IC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C129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信息系数；因子与未来收益的相关性</w:t>
            </w:r>
          </w:p>
        </w:tc>
      </w:tr>
      <w:tr w14:paraId="77634415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2AC2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ICIR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6DBB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IC / Std(IC)；因子的信息比率</w:t>
            </w:r>
          </w:p>
        </w:tc>
      </w:tr>
      <w:tr w14:paraId="38D4D944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940F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Kelly准则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F03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给定优势和赔率的最优头寸调整公式</w:t>
            </w:r>
          </w:p>
        </w:tc>
      </w:tr>
      <w:tr w14:paraId="7A46417D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C4FF6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延迟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190B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从输入到输出的时间延迟（例如，信号到执行）</w:t>
            </w:r>
          </w:p>
        </w:tc>
      </w:tr>
      <w:tr w14:paraId="08AEEFDD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0D25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LLM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A46A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大型语言模型；用于文本生成的AI（GPT-4等）</w:t>
            </w:r>
          </w:p>
        </w:tc>
      </w:tr>
      <w:tr w14:paraId="51876359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3E123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最大回撤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736D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最大回撤；最大的峰值到谷底下降</w:t>
            </w:r>
          </w:p>
        </w:tc>
      </w:tr>
      <w:tr w14:paraId="7364198F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F762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制度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ACD9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市场状态（上升趋势、下降趋势、均值回归、危机）</w:t>
            </w:r>
          </w:p>
        </w:tc>
      </w:tr>
      <w:tr w14:paraId="029CA249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FE47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Sharpe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880BB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Sharpe比率；风险调整收益指标（年度收益/年度波动率）</w:t>
            </w:r>
          </w:p>
        </w:tc>
      </w:tr>
      <w:tr w14:paraId="5F5EC49F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BAF29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滑点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FC93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预期成交价格与实现成交价格之间的差异</w:t>
            </w:r>
          </w:p>
        </w:tc>
      </w:tr>
      <w:tr w14:paraId="2C0C4EF9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B4C74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周转率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416A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投资组合流动率（再平衡频率和幅度）</w:t>
            </w:r>
          </w:p>
        </w:tc>
      </w:tr>
      <w:tr w14:paraId="298CE678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486C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VaR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699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风险价值（95%）；最坏5%天的潜在损失</w:t>
            </w:r>
          </w:p>
        </w:tc>
      </w:tr>
      <w:tr w14:paraId="0C9F4CFF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3A5A5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波动率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F44C0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收益的标准差；风险衡量</w:t>
            </w:r>
          </w:p>
        </w:tc>
      </w:tr>
      <w:tr w14:paraId="53F6626A"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FA29D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z-score</w:t>
            </w:r>
          </w:p>
        </w:tc>
        <w:tc>
          <w:tcPr>
            <w:tcW w:w="54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7F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FF3A1">
            <w:pPr>
              <w:jc w:val="left"/>
            </w:pPr>
            <w:r>
              <w:rPr>
                <w:rFonts w:ascii="Arial" w:hAnsi="Arial" w:eastAsia="Arial" w:cs="Arial"/>
                <w:sz w:val="20"/>
                <w:szCs w:val="20"/>
              </w:rPr>
              <w:t>标准化值：(x - 平均值) / 标准差；标准差单位</w:t>
            </w:r>
          </w:p>
        </w:tc>
      </w:tr>
    </w:tbl>
    <w:p w14:paraId="74001B59"/>
    <w:sectPr>
      <w:headerReference r:id="rId3" w:type="default"/>
      <w:footerReference r:id="rId4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D6BAB">
    <w:pPr>
      <w:jc w:val="center"/>
    </w:pPr>
    <w:r>
      <w:rPr>
        <w:rFonts w:ascii="Arial" w:hAnsi="Arial" w:eastAsia="Arial" w:cs="Arial"/>
        <w:sz w:val="20"/>
        <w:szCs w:val="20"/>
      </w:rPr>
      <w:t xml:space="preserve">第 </w:t>
    </w:r>
    <w:r>
      <w:rPr>
        <w:rFonts w:ascii="Arial" w:hAnsi="Arial" w:eastAsia="Arial" w:cs="Arial"/>
        <w:sz w:val="20"/>
        <w:szCs w:val="20"/>
      </w:rPr>
      <w:fldChar w:fldCharType="begin"/>
    </w:r>
    <w:r>
      <w:rPr>
        <w:rFonts w:ascii="Arial" w:hAnsi="Arial" w:eastAsia="Arial" w:cs="Arial"/>
        <w:sz w:val="20"/>
        <w:szCs w:val="20"/>
      </w:rPr>
      <w:instrText xml:space="preserve">PAGE</w:instrText>
    </w:r>
    <w:r>
      <w:rPr>
        <w:rFonts w:ascii="Arial" w:hAnsi="Arial" w:eastAsia="Arial" w:cs="Arial"/>
        <w:sz w:val="20"/>
        <w:szCs w:val="20"/>
      </w:rPr>
      <w:fldChar w:fldCharType="separate"/>
    </w:r>
    <w:r>
      <w:rPr>
        <w:rFonts w:ascii="Arial" w:hAnsi="Arial" w:eastAsia="Arial" w:cs="Arial"/>
        <w:sz w:val="20"/>
        <w:szCs w:val="20"/>
      </w:rPr>
      <w:fldChar w:fldCharType="end"/>
    </w:r>
    <w:r>
      <w:rPr>
        <w:rFonts w:ascii="Arial" w:hAnsi="Arial" w:eastAsia="Arial" w:cs="Arial"/>
        <w:sz w:val="20"/>
        <w:szCs w:val="20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4A5164">
    <w:pPr>
      <w:spacing w:after="60"/>
      <w:jc w:val="center"/>
    </w:pPr>
    <w:r>
      <w:rPr>
        <w:rFonts w:ascii="Arial" w:hAnsi="Arial" w:eastAsia="Arial" w:cs="Arial"/>
        <w:color w:val="1B4F72"/>
        <w:sz w:val="20"/>
        <w:szCs w:val="20"/>
      </w:rPr>
      <w:t>Alpha Core — 系统建构蓝图 v2.0 | 内部机密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DFECD44"/>
    <w:multiLevelType w:val="singleLevel"/>
    <w:tmpl w:val="CDFECD44"/>
    <w:lvl w:ilvl="0" w:tentative="0">
      <w:start w:val="1"/>
      <w:numFmt w:val="bullet"/>
      <w:lvlText w:val="•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5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565D21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qFormat/>
    <w:uiPriority w:val="0"/>
    <w:rPr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29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4U</cp:lastModifiedBy>
  <dcterms:modified xsi:type="dcterms:W3CDTF">2026-04-12T21:27:14Z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A3C12A3C1A2E127CB29DDB697BD692FD_42</vt:lpwstr>
  </property>
</Properties>
</file>