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ALPHA CORE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量化研究与决策平台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系统建构蓝图 v2.0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2026年4月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密级：内部机密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定位：全链路产品化（SaaS-Ready）</w:t>
      </w:r>
    </w:p>
    <w:r>
      <w:br w:type="page"/>
    </w:r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目录</w:t>
      </w:r>
    </w:p>
    <w:p>
      <w:pPr>
        <w:tabs>
          <w:tab w:val="right" w:pos="9360" w:leader="dot"/>
        </w:tabs>
        <w:spacing w:after="80"/>
        <w:ind w:left="0"/>
      </w:pPr>
      <w:hyperlink w:history="1" w:anchor="bm_500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执行摘要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1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网络安全架构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2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LLM 集成架构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3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数据源策略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4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模块1：系统总线监控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5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模块2：行情数据与特征工程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6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模块3：模型推理与状态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7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模块4：Alpha 策略实验室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8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模块5：组合与风控引擎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09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模块6：订单执行网关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10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模块7：交易审计日志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11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前端迁移：React/Next.js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12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分阶段交付计划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13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技术参考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p>
      <w:pPr>
        <w:tabs>
          <w:tab w:val="right" w:pos="9360" w:leader="dot"/>
        </w:tabs>
        <w:spacing w:after="80"/>
        <w:ind w:left="0"/>
      </w:pPr>
      <w:hyperlink w:history="1" w:anchor="bm_514">
        <w:r>
          <w:rPr>
            <w:rStyle w:val="Hyperlink"/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附录：术语表</w:t>
        </w:r>
      </w:hyperlink>
      <w:r>
        <w:rPr>
          <w:rFonts w:ascii="Arial" w:cs="Arial" w:eastAsia="Arial" w:hAnsi="Arial"/>
          <w:sz w:val="22"/>
          <w:szCs w:val="22"/>
        </w:rPr>
        <w:ptab w:alignment="right" w:relativeTo="margin" w:leader="dot"/>
      </w:r>
    </w:p>
    <w:r>
      <w:br w:type="page"/>
    </w:r>
    <w:p>
      <w:pPr>
        <w:pStyle w:val="Heading1"/>
        <w:spacing w:after="120" w:before="200"/>
      </w:pPr>
      <w:bookmarkStart w:name="bm_500" w:id="1"/>
      <w:r>
        <w:t xml:space="preserve">执行摘要</w:t>
      </w:r>
      <w:bookmarkEnd w:id="1"/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pipeline_overview" descr="System architecture and data flow diagram showing all 7 modules" title="Alpha Core Pipelin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Alpha Core v2.0</w:t>
      </w:r>
      <w:r>
        <w:t xml:space="preserve"> 是一个全栈量化研究和组合决策平台，专为机构股票交易而设计。本文档规定了完整的技术蓝图，包括详细的UI组件规格、用户体验设计、数据契约和实现要求。</w:t>
      </w:r>
    </w:p>
    <w:p>
      <w:pPr>
        <w:spacing w:after="120"/>
      </w:pPr>
      <w:r>
        <w:rPr>
          <w:b/>
          <w:bCs/>
        </w:rPr>
        <w:t xml:space="preserve">v2.0关键改进：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增强的组件规格说明，包含视觉设计状态细节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所有7个模块的线框图，包含按比例调整的图像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用户心理和交互流程文档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JSON架构格式的完整API数据契约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全面的边界场景和错误处理规格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带书签链接的手动目录</w:t>
      </w:r>
    </w:p>
    <w:p>
      <w:pPr>
        <w:spacing w:after="200"/>
      </w:pPr>
    </w:p>
    <w:p>
      <w:pPr>
        <w:pStyle w:val="Heading2"/>
        <w:spacing w:after="120" w:before="200"/>
      </w:pPr>
      <w:bookmarkStart w:name="bm_501" w:id="1"/>
      <w:r>
        <w:t xml:space="preserve">平台概览</w:t>
      </w:r>
      <w:bookmarkEnd w:id="1"/>
    </w:p>
    <w:p>
      <w:pPr>
        <w:spacing w:after="120"/>
      </w:pPr>
      <w:r>
        <w:t xml:space="preserve">Alpha Core 集成了七个相互连接的模块，涵盖市场数据摄取、机器学习推理、策略研究、组合构建和执行。该系统优先考虑实时性能（每个模块&lt;100ms延迟）、通过决策审计跟踪实现透明度，以及强大的错误处理。</w:t>
      </w:r>
    </w:p>
    <w:p>
      <w:pPr>
        <w:spacing w:after="120"/>
      </w:pPr>
      <w:r>
        <w:t xml:space="preserve">该平台使用微服务架构，包括FastAPI后端、用于市场数据的实时WebSocket流、用于本地状态的SQLite，并集成LLM代理以进行研究增强和决策论证。</w:t>
      </w:r>
    </w:p>
    <w:p>
      <w:pPr>
        <w:pStyle w:val="Heading2"/>
        <w:spacing w:after="120" w:before="200"/>
      </w:pPr>
      <w:bookmarkStart w:name="bm_502" w:id="1"/>
      <w:r>
        <w:t xml:space="preserve">文档范围</w:t>
      </w:r>
      <w:bookmarkEnd w:id="1"/>
    </w:p>
    <w:p>
      <w:pPr>
        <w:spacing w:after="120"/>
      </w:pPr>
      <w:r>
        <w:t xml:space="preserve">本PRD涵盖了跨7个模块的完整用户界面系统架构，包括：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模块1：系统总线监控 — 实时服务健康状态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模块2：行情数据与特征工程 — 市场数据和特征计算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模块3：模型推理与状态 — 制度检测和方向预测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模块4：Alpha 策略实验室 — 策略研究、DSL编辑器和回测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模块5：组合与风控引擎 — 头寸构建和风险分析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模块6：订单执行网关 — 多门槛订单决策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模块7：交易审计日志 — 事件日志记录和合规追踪</w:t>
      </w:r>
    </w:p>
    <w:r>
      <w:br w:type="page"/>
    </w:r>
    <w:p>
      <w:pPr>
        <w:pStyle w:val="Heading1"/>
        <w:spacing w:after="120" w:before="200"/>
      </w:pPr>
      <w:bookmarkStart w:name="bm_503" w:id="1"/>
      <w:r>
        <w:t xml:space="preserve">网络安全架构</w:t>
      </w:r>
      <w:bookmarkEnd w:id="1"/>
    </w:p>
    <w:p>
      <w:pPr>
        <w:spacing w:after="120"/>
      </w:pPr>
      <w:r>
        <w:t xml:space="preserve">Alpha Core 采用纵深防御安全模型运作。FastAPI后端运行在反向代理后面，所有端点都通过OAuth2/JWT身份验证。WebSocket连接在流初始化前通过令牌交换进行身份验证。</w:t>
      </w:r>
    </w:p>
    <w:p>
      <w:pPr>
        <w:pStyle w:val="Heading2"/>
        <w:spacing w:after="120" w:before="200"/>
      </w:pPr>
      <w:bookmarkStart w:name="bm_504" w:id="1"/>
      <w:r>
        <w:t xml:space="preserve">安全层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API身份验证：在每个HTTP请求上验证OAuth2 Bearer令牌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WebSocket安全性：令牌交换+每个连接的会话绑定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数据加密：传输中使用TLS 1.3；对敏感本地状态使用AES-256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速率限制：令牌桶算法，每个API密钥1000个请求/分钟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审计日志：所有数据变更记录，包括用户ID、时间戳和有效载荷哈希</w:t>
      </w:r>
    </w:p>
    <w:p>
      <w:pPr>
        <w:spacing w:after="150"/>
      </w:pPr>
    </w:p>
    <w:p>
      <w:pPr>
        <w:pStyle w:val="Heading2"/>
        <w:spacing w:after="120" w:before="200"/>
      </w:pPr>
      <w:bookmarkStart w:name="bm_505" w:id="1"/>
      <w:r>
        <w:t xml:space="preserve">威胁模型</w:t>
      </w:r>
      <w:bookmarkEnd w:id="1"/>
    </w:p>
    <w:p>
      <w:pPr>
        <w:spacing w:after="120"/>
      </w:pPr>
      <w:r>
        <w:t xml:space="preserve">对手可能会尝试：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未授权API访问 → 通过OAuth2+速率限制缓解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通过策略泄露进行投资组合领先交易 → 通过审计日志缓解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模型推理窃听 → 通过TLS+会话隔离缓解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通过WebSocket注入订单 → 通过令牌验证+订单签名缓解</w:t>
      </w:r>
    </w:p>
    <w:r>
      <w:br w:type="page"/>
    </w:r>
    <w:p>
      <w:pPr>
        <w:pStyle w:val="Heading1"/>
        <w:spacing w:after="120" w:before="200"/>
      </w:pPr>
      <w:bookmarkStart w:name="bm_506" w:id="1"/>
      <w:r>
        <w:t xml:space="preserve">LLM 集成架构</w:t>
      </w:r>
      <w:bookmarkEnd w:id="1"/>
    </w:p>
    <w:p>
      <w:pPr>
        <w:spacing w:after="120"/>
      </w:pPr>
      <w:r>
        <w:t xml:space="preserve">Alpha Core 嵌入了四个LLM代理，用于研究增强和决策透明度。每个代理同步集成到模块管道中，具有严格的延迟预算和回退行为。</w:t>
      </w:r>
    </w:p>
    <w:p>
      <w:pPr>
        <w:pStyle w:val="Heading2"/>
        <w:spacing w:after="120" w:before="200"/>
      </w:pPr>
      <w:bookmarkStart w:name="bm_507" w:id="1"/>
      <w:r>
        <w:t xml:space="preserve">代理1：因子生成器（Alpha 策略实验室）</w:t>
      </w:r>
      <w:bookmarkEnd w:id="1"/>
    </w:p>
    <w:p>
      <w:pPr>
        <w:spacing w:after="120"/>
      </w:pPr>
      <w:r>
        <w:t xml:space="preserve">接收用户DSL并通过少量示例提示生成候选因子。输出：Python AST树+解释+风险警告。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延迟SLA：2秒（超时回退到解析错误）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模型：GPT-4（如果不可用，回退到gpt-3.5-turbo）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提示模板：少量示例因子+风格指南</w:t>
      </w:r>
    </w:p>
    <w:p>
      <w:pPr>
        <w:spacing w:after="150"/>
      </w:pPr>
    </w:p>
    <w:p>
      <w:pPr>
        <w:pStyle w:val="Heading2"/>
        <w:spacing w:after="120" w:before="200"/>
      </w:pPr>
      <w:bookmarkStart w:name="bm_508" w:id="1"/>
      <w:r>
        <w:t xml:space="preserve">代理2：研究摘要（审计日志）</w:t>
      </w:r>
      <w:bookmarkEnd w:id="1"/>
    </w:p>
    <w:p>
      <w:pPr>
        <w:spacing w:after="120"/>
      </w:pPr>
      <w:r>
        <w:t xml:space="preserve">通过分析完整的决策链（制度、预测、风险评估、执行结果）为交易决策生成人类可读的解释。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延迟SLA：1.5秒（超时显示原始JSON）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上下文窗口：~8k令牌（链中最后20个事件）</w:t>
      </w:r>
    </w:p>
    <w:p>
      <w:pPr>
        <w:spacing w:after="150"/>
      </w:pPr>
    </w:p>
    <w:p>
      <w:pPr>
        <w:pStyle w:val="Heading2"/>
        <w:spacing w:after="120" w:before="200"/>
      </w:pPr>
      <w:bookmarkStart w:name="bm_509" w:id="1"/>
      <w:r>
        <w:t xml:space="preserve">代理3：异常检测器（系统监控）</w:t>
      </w:r>
      <w:bookmarkEnd w:id="1"/>
    </w:p>
    <w:p>
      <w:pPr>
        <w:spacing w:after="120"/>
      </w:pPr>
      <w:r>
        <w:t xml:space="preserve">分析服务健康时间序列以检测异常模式（例如延迟峰值、吞吐量崖）。建议缓解步骤。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延迟SLA：3秒（异步运行，用户可以忽略）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输入：每个服务最后1小时的指标</w:t>
      </w:r>
    </w:p>
    <w:p>
      <w:pPr>
        <w:spacing w:after="150"/>
      </w:pPr>
    </w:p>
    <w:p>
      <w:pPr>
        <w:pStyle w:val="Heading2"/>
        <w:spacing w:after="120" w:before="200"/>
      </w:pPr>
      <w:bookmarkStart w:name="bm_510" w:id="1"/>
      <w:r>
        <w:t xml:space="preserve">代理4：风险顾问（投资组合风险）</w:t>
      </w:r>
      <w:bookmarkEnd w:id="1"/>
    </w:p>
    <w:p>
      <w:pPr>
        <w:spacing w:after="120"/>
      </w:pPr>
      <w:r>
        <w:t xml:space="preserve">基于当前头寸状态就投资组合再平衡、Kelly准则违规和部门集中度问题提出建议。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延迟SLA：2.5秒（超时显示基于Kelly的建议）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输入：当前头寸、实现波动率、VaR估计值</w:t>
      </w:r>
    </w:p>
    <w:r>
      <w:br w:type="page"/>
    </w:r>
    <w:p>
      <w:pPr>
        <w:pStyle w:val="Heading1"/>
        <w:spacing w:after="120" w:before="200"/>
      </w:pPr>
      <w:bookmarkStart w:name="bm_511" w:id="1"/>
      <w:r>
        <w:t xml:space="preserve">数据源策略</w:t>
      </w:r>
      <w:bookmarkEnd w:id="1"/>
    </w:p>
    <w:p>
      <w:pPr>
        <w:spacing w:after="120"/>
      </w:pPr>
      <w:r>
        <w:t xml:space="preserve">Alpha Core 从多个提供商摄取市场数据，具有回退逻辑。每个数据源都有一个健康监控器和队列系统，以容忍提供商停机时间。</w:t>
      </w:r>
    </w:p>
    <w:p>
      <w:pPr>
        <w:pStyle w:val="Heading2"/>
        <w:spacing w:after="120" w:before="200"/>
      </w:pPr>
      <w:bookmarkStart w:name="bm_512" w:id="1"/>
      <w:r>
        <w:t xml:space="preserve">主要提供商</w:t>
      </w:r>
      <w:bookmarkEnd w:id="1"/>
    </w:p>
    <w:p>
      <w:pPr>
        <w:spacing w:after="120"/>
      </w:pPr>
      <w:r>
        <w:t xml:space="preserve">yfinance：美国股票1分钟OHLCV，免费层</w:t>
      </w:r>
    </w:p>
    <w:p>
      <w:pPr>
        <w:spacing w:after="120"/>
      </w:pPr>
      <w:r>
        <w:t xml:space="preserve">AKShare：中国市场数据（如扩展到中国股票），通过HTTP API</w:t>
      </w:r>
    </w:p>
    <w:p>
      <w:pPr>
        <w:spacing w:after="120"/>
      </w:pPr>
      <w:r>
        <w:t xml:space="preserve">IB（Interactive Brokers）：实时价格+订单执行（高级版）</w:t>
      </w:r>
    </w:p>
    <w:p>
      <w:pPr>
        <w:spacing w:after="150"/>
      </w:pPr>
    </w:p>
    <w:p>
      <w:pPr>
        <w:pStyle w:val="Heading2"/>
        <w:spacing w:after="120" w:before="200"/>
      </w:pPr>
      <w:bookmarkStart w:name="bm_513" w:id="1"/>
      <w:r>
        <w:t xml:space="preserve">数据质量和验证</w:t>
      </w:r>
      <w:bookmarkEnd w:id="1"/>
    </w:p>
    <w:p>
      <w:pPr>
        <w:spacing w:after="120"/>
      </w:pPr>
      <w:r>
        <w:t xml:space="preserve">每个传入的蜡烛都根据架构进行验证（OHLCV必须为正数，V &gt; 0，O &lt;= H，O &gt;= L等）。失败的蜡烛被隔离和记录。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重复检测：(timestamp, ticker, OHLCV)的CRC32哈希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间隙检测：缺失的1分钟蜡烛用NaN插值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离群值检测：价格变动&gt;5个标准差触发警报+手动审查</w:t>
      </w:r>
    </w:p>
    <w:p>
      <w:pPr>
        <w:spacing w:after="150"/>
      </w:pPr>
    </w:p>
    <w:p>
      <w:pPr>
        <w:pStyle w:val="Heading2"/>
        <w:spacing w:after="120" w:before="200"/>
      </w:pPr>
      <w:bookmarkStart w:name="bm_514" w:id="1"/>
      <w:r>
        <w:t xml:space="preserve">存储和缓存</w:t>
      </w:r>
      <w:bookmarkEnd w:id="1"/>
    </w:p>
    <w:p>
      <w:pPr>
        <w:spacing w:after="120"/>
      </w:pPr>
      <w:r>
        <w:t xml:space="preserve">最近的数据（最后30天）缓存在SQLite中，具有(ticker, timestamp)索引。较旧的数据存档到S3。特征计算缓存，TTL为5分钟。</w:t>
      </w:r>
    </w:p>
    <w:r>
      <w:br w:type="page"/>
    </w:r>
    <w:p>
      <w:pPr>
        <w:pStyle w:val="Heading1"/>
        <w:spacing w:after="120" w:before="200"/>
      </w:pPr>
      <w:bookmarkStart w:name="bm_515" w:id="1"/>
      <w:r>
        <w:t xml:space="preserve">模块1：系统总线监控</w:t>
      </w:r>
      <w:bookmarkEnd w:id="1"/>
    </w:p>
    <w:p>
      <w:pPr>
        <w:jc w:val="center"/>
      </w:pPr>
      <w:r>
        <w:drawing>
          <wp:inline distT="0" distB="0" distL="0" distR="0">
            <wp:extent cx="6477000" cy="3600450"/>
            <wp:effectExtent t="0" r="0" b="0" l="0"/>
            <wp:docPr id="1" name="mod1_wireframe" descr="Real-time health dashboard showing 6 service status cards, latency breakdown, and alert feed" title="System Bus Monitor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pStyle w:val="Heading2"/>
        <w:spacing w:after="120" w:before="200"/>
      </w:pPr>
      <w:bookmarkStart w:name="bm_516" w:id="1"/>
      <w:r>
        <w:t xml:space="preserve">设计理念与用户心理</w:t>
      </w:r>
      <w:bookmarkEnd w:id="1"/>
    </w:p>
    <w:p>
      <w:pPr>
        <w:spacing w:after="120"/>
      </w:pPr>
      <w:r>
        <w:t xml:space="preserve">系统总线监控是交易员每天早上打开的第一个视图。该设计优先考虑平静的安心：绿色指示灯、最少的红色警报和清晰的"一目了然诊断"布局。用户需要在信任其交易信号之前确信系统是健康的。</w:t>
      </w:r>
    </w:p>
    <w:p>
      <w:pPr>
        <w:spacing w:after="120"/>
      </w:pPr>
      <w:r>
        <w:t xml:space="preserve">警报提要（样式像彭博社）为交易员提供了基础设施问题的实时可见性。关键服务停机可能使交易规则无效——审计跟踪必须无可挑剔。此模块通过证明所有依赖关系全天候受到监控来缓解焦虑。</w:t>
      </w:r>
    </w:p>
    <w:p>
      <w:pPr>
        <w:spacing w:after="150"/>
      </w:pPr>
    </w:p>
    <w:p>
      <w:pPr>
        <w:pStyle w:val="Heading2"/>
        <w:spacing w:after="120" w:before="200"/>
      </w:pPr>
      <w:bookmarkStart w:name="bm_517" w:id="1"/>
      <w:r>
        <w:t xml:space="preserve">组件清单</w:t>
      </w:r>
      <w:bookmarkEnd w:id="1"/>
    </w:p>
    <w:p>
      <w:pPr>
        <w:spacing w:after="120"/>
      </w:pPr>
      <w:r>
        <w:t xml:space="preserve">系统总线监控包含4个主要UI组件：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数据绑定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服务健康卡片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卡片+状态指示灯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/api/v1/services/{service_id}/health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点击展开24小时时间线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延迟分解图表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水平堆叠条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/api/v1/pipelines/latency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悬停查看段细分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警报提要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虚拟滚动列表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/ws/alerts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点击警报→向下钻取详情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吞吐量指标卡片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KPI卡片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/api/v1/metrics/throughput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点击查看小时趋势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bookmarkStart w:name="bm_518" w:id="1"/>
      <w:r>
        <w:t xml:space="preserve">服务健康卡片</w:t>
      </w:r>
      <w:bookmarkEnd w:id="1"/>
    </w:p>
    <w:p>
      <w:pPr>
        <w:spacing w:after="120"/>
      </w:pPr>
      <w:r>
        <w:t xml:space="preserve">布局：6个卡片排成2行×3列，每个280px宽×160px高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数据源：每2秒轮询一次GET /api/v1/services/{service_id}/health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字段消耗：status（枚举：green/yellow/red）、latency_p95_ms、uptime_pct_24h、last_check_at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视觉状态：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• 正常：绿色点+服务名称+'延迟：42ms'+正常运行时间%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• 警告：黄色点+延迟以橙色突出显示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• 严重：红色点+闪烁边框+红色文字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悬停：在工具提示中显示24小时迷你火花线（延迟随时间变化）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点击：展开到完整24小时时间线图表+该服务的事件日志</w:t>
      </w:r>
    </w:p>
    <w:p>
      <w:pPr>
        <w:spacing w:after="150"/>
      </w:pPr>
    </w:p>
    <w:p>
      <w:pPr>
        <w:pStyle w:val="Heading3"/>
        <w:spacing w:after="120" w:before="200"/>
      </w:pPr>
      <w:bookmarkStart w:name="bm_519" w:id="1"/>
      <w:r>
        <w:t xml:space="preserve">延迟分解图表</w:t>
      </w:r>
      <w:bookmarkEnd w:id="1"/>
    </w:p>
    <w:p>
      <w:pPr>
        <w:spacing w:after="120"/>
      </w:pPr>
      <w:r>
        <w:t xml:space="preserve">水平堆叠条显示端到端延迟分解。段：yfinance获取（蓝色）、特征计算（绿色）、推理（橙色）、投资组合计算（红色）、总延迟&gt;=300ms突出显示。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/api/v1/pipelines/latency，每5秒轮询一次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交互：在段上悬停→工具提示显示毫秒值+占总数的百分比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颜色编码：绿色（&lt;50ms）、黄色（50–100ms）、红色（&gt;100ms）按段</w:t>
      </w:r>
    </w:p>
    <w:p>
      <w:pPr>
        <w:spacing w:after="150"/>
      </w:pPr>
    </w:p>
    <w:p>
      <w:pPr>
        <w:pStyle w:val="Heading3"/>
        <w:spacing w:after="120" w:before="200"/>
      </w:pPr>
      <w:bookmarkStart w:name="bm_520" w:id="1"/>
      <w:r>
        <w:t xml:space="preserve">警报提要</w:t>
      </w:r>
      <w:bookmarkEnd w:id="1"/>
    </w:p>
    <w:p>
      <w:pPr>
        <w:spacing w:after="120"/>
      </w:pPr>
      <w:r>
        <w:t xml:space="preserve">实时滚动的系统警报列表，按严重程度着色。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数据源：WebSocket /ws/alerts（新警报推送追加）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警报结构：{ timestamp, severity (INFO/WARN/ERROR/CRITICAL), service, message, action_url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视觉状态：INFO=蓝色、WARN=黄色、ERROR=红色、CRITICAL=闪烁红色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交互：点击警报→导航到/audit/{event_id}进行完整向下钻取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虚拟滚动：一次只渲染20个可见警报</w:t>
      </w:r>
    </w:p>
    <w:p>
      <w:pPr>
        <w:spacing w:after="150"/>
      </w:pPr>
    </w:p>
    <w:p>
      <w:pPr>
        <w:pStyle w:val="Heading3"/>
        <w:spacing w:after="120" w:before="200"/>
      </w:pPr>
      <w:bookmarkStart w:name="bm_521" w:id="1"/>
      <w:r>
        <w:t xml:space="preserve">吞吐量指标卡片</w:t>
      </w:r>
      <w:bookmarkEnd w:id="1"/>
    </w:p>
    <w:p>
      <w:pPr>
        <w:spacing w:after="120"/>
      </w:pPr>
      <w:r>
        <w:t xml:space="preserve">KPI卡片显示价格级别的吞吐量：tickers/秒、trades/秒、features/秒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数据源：每10秒GET /api/v1/metrics/throughput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视觉：大数字+趋势箭头（↑/↓）+迷你1小时火花线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点击：展开到小时条形图+与7天平均值的比较</w:t>
      </w:r>
    </w:p>
    <w:p>
      <w:pPr>
        <w:spacing w:after="150"/>
      </w:pPr>
    </w:p>
    <w:p>
      <w:pPr>
        <w:pStyle w:val="Heading2"/>
        <w:spacing w:after="120" w:before="200"/>
      </w:pPr>
      <w:bookmarkStart w:name="bm_522" w:id="1"/>
      <w:r>
        <w:t xml:space="preserve">数据契约</w:t>
      </w:r>
      <w:bookmarkEnd w:id="1"/>
    </w:p>
    <w:p>
      <w:pPr>
        <w:spacing w:after="120"/>
      </w:pPr>
      <w:r>
        <w:t xml:space="preserve">健康状态响应：</w:t>
      </w:r>
    </w:p>
    <w:p>
      <w:pPr>
        <w:spacing w:after="120"/>
      </w:pPr>
      <w:r>
        <w:t xml:space="preserve">{
  "services": [
    {
      "service_id": "fastapi",
      "status": "green",
      "latency_p95_ms": 42,
      "uptime_pct_24h": 99.98,
      "last_check_at": "2026-04-12T14:30:15Z",
      "last_error_at": null
    },
    { "service_id": "llm_api", "status": "yellow", "latency_p95_ms": 1850, ... }
  ],
  "timestamp": "2026-04-12T14:30:15Z"
}</w:t>
      </w:r>
    </w:p>
    <w:p>
      <w:pPr>
        <w:spacing w:after="150"/>
      </w:pPr>
    </w:p>
    <w:p>
      <w:pPr>
        <w:pStyle w:val="Heading2"/>
        <w:spacing w:after="120" w:before="200"/>
      </w:pPr>
      <w:bookmarkStart w:name="bm_523" w:id="1"/>
      <w:r>
        <w:t xml:space="preserve">验收标准</w:t>
      </w:r>
      <w:bookmarkEnd w:id="1"/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服务卡片更新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后端状态变化后2秒内更新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延迟图表刷新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每5秒，动画段宽度变化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警报提要实时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新警报在WebSocket推送后&lt;500ms出现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吞吐量KPI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在指标发出后10秒内显示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展开动画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卡片展开/收起在&lt;300ms内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移动响应性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平板电脑：2×3网格→1×6列布局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24" w:id="1"/>
      <w:r>
        <w:t xml:space="preserve">边界场景与错误处理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API延迟&gt;2s：显示'加载中...'骨架+3s后超时消息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所有服务都宕机：显示突出的红色横幅'系统离线'+回退到缓存指标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WebSocket断开连接：自动重新连接，指数退避，显示'警报提要连接中...'覆盖层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数据过期（&gt;10s无更新）：暗化卡片不透明度+显示'最后看到23秒前'警告文本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延迟值中的NaN：渲染为'—'（长破折号）+记录异常以供调查</w:t>
      </w:r>
    </w:p>
    <w:r>
      <w:br w:type="page"/>
    </w:r>
    <w:p>
      <w:pPr>
        <w:pStyle w:val="Heading1"/>
        <w:spacing w:after="120" w:before="200"/>
      </w:pPr>
      <w:bookmarkStart w:name="bm_525" w:id="1"/>
      <w:r>
        <w:t xml:space="preserve">模块2：行情数据与特征工程</w:t>
      </w:r>
      <w:bookmarkEnd w:id="1"/>
    </w:p>
    <w:p>
      <w:pPr>
        <w:jc w:val="center"/>
      </w:pPr>
      <w:r>
        <w:drawing>
          <wp:inline distT="0" distB="0" distL="0" distR="0">
            <wp:extent cx="6477000" cy="3600450"/>
            <wp:effectExtent t="0" r="0" b="0" l="0"/>
            <wp:docPr id="1" name="mod2_wireframe" descr="Ticker selector, OHLCV candlestick chart, feature heatmap, and data quality panel" title="Market Feed &amp; Features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pStyle w:val="Heading2"/>
        <w:spacing w:after="120" w:before="200"/>
      </w:pPr>
      <w:bookmarkStart w:name="bm_526" w:id="1"/>
      <w:r>
        <w:t xml:space="preserve">设计理念与用户心理</w:t>
      </w:r>
      <w:bookmarkEnd w:id="1"/>
    </w:p>
    <w:p>
      <w:pPr>
        <w:spacing w:after="120"/>
      </w:pPr>
      <w:r>
        <w:t xml:space="preserve">交易员最基本的任务是阅读市场数据并提取含义。模块2将原始价格行为（蜡烛图）与计算的特征（热力图）结合在一个统一的视图中。设计理念是极简主义：网格线细微、蜡烛突出、颜色保留用于特征信号。</w:t>
      </w:r>
    </w:p>
    <w:p>
      <w:pPr>
        <w:spacing w:after="120"/>
      </w:pPr>
      <w:r>
        <w:t xml:space="preserve">特征热力图让交易员可以立即看到哪50多个计算特征在投资组合中是异常的（z得分着色）。红色单元格=该特征距离其平均值2.5σ。这回答了交易员的潜意识问题：'现在市场有什么奇怪的地方吗？'</w:t>
      </w:r>
    </w:p>
    <w:p>
      <w:pPr>
        <w:spacing w:after="150"/>
      </w:pPr>
    </w:p>
    <w:p>
      <w:pPr>
        <w:pStyle w:val="Heading2"/>
        <w:spacing w:after="120" w:before="200"/>
      </w:pPr>
      <w:bookmarkStart w:name="bm_527" w:id="1"/>
      <w:r>
        <w:t xml:space="preserve">组件清单</w:t>
      </w:r>
      <w:bookmarkEnd w:id="1"/>
    </w:p>
    <w:p>
      <w:pPr>
        <w:spacing w:after="120"/>
      </w:pPr>
      <w:r>
        <w:t xml:space="preserve">市场数据包含5个主要组件：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数据绑定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代码选择器栏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水平选项卡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/api/v1/tickers/watchlist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点击选项卡→切换图表和热力图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蜡烛图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Lightweight Charts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/ws/ohlcv/{ticker}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滚动/缩放、十字线、点击蜡烛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特征热力图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D3/Nivo网格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/api/v1/features/state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悬停单元格→工具提示显示z-score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数据质量面板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验证检查表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/api/v1/data/quality/{ticker}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点击行→向下钻取验证规则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特征统计表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可排序表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/api/v1/features/stats/{ticker}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点击列标题排序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bookmarkStart w:name="bm_528" w:id="1"/>
      <w:r>
        <w:t xml:space="preserve">代码选择器栏</w:t>
      </w:r>
      <w:bookmarkEnd w:id="1"/>
    </w:p>
    <w:p>
      <w:pPr>
        <w:spacing w:after="120"/>
      </w:pPr>
      <w:r>
        <w:t xml:space="preserve">用于同时观看多个代码的水平可滚动选项卡。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数据源：加载时GET /api/v1/tickers/watchlist，订阅/ws/watchlist_changes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视觉：活跃选项卡有蓝色下划线，无效选项卡为浅灰色文本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交互：点击选项卡→为该代码加载图表+热力图（0.5秒过渡）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键盘：箭头键导航选项卡，Enter选择</w:t>
      </w:r>
    </w:p>
    <w:p>
      <w:pPr>
        <w:spacing w:after="150"/>
      </w:pPr>
    </w:p>
    <w:p>
      <w:pPr>
        <w:pStyle w:val="Heading3"/>
        <w:spacing w:after="120" w:before="200"/>
      </w:pPr>
      <w:bookmarkStart w:name="bm_529" w:id="1"/>
      <w:r>
        <w:t xml:space="preserve">蜡烛图</w:t>
      </w:r>
      <w:bookmarkEnd w:id="1"/>
    </w:p>
    <w:p>
      <w:pPr>
        <w:spacing w:after="120"/>
      </w:pPr>
      <w:r>
        <w:t xml:space="preserve">TradingView Lightweight Charts库，通过WebSocket流式传输OHLCV更新。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数据源：WebSocket /ws/ohlcv/{ticker}，每分钟发出新蜡烛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交互：十字线显示光标处的OHLCV+体积；延迟必须&lt;50ms移动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滚动：在时间上左右平移；用鼠标滚轮或捏缩放进出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点击蜡烛：显示完整蜡烛详情{ open, high, low, close, volume, hl2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视觉：牛蜡烛=绿色（收盘&gt;开盘）、熊蜡烛=红色、无变化=灰色</w:t>
      </w:r>
    </w:p>
    <w:p>
      <w:pPr>
        <w:spacing w:after="150"/>
      </w:pPr>
    </w:p>
    <w:p>
      <w:pPr>
        <w:pStyle w:val="Heading3"/>
        <w:spacing w:after="120" w:before="200"/>
      </w:pPr>
      <w:bookmarkStart w:name="bm_530" w:id="1"/>
      <w:r>
        <w:t xml:space="preserve">特征热力图</w:t>
      </w:r>
      <w:bookmarkEnd w:id="1"/>
    </w:p>
    <w:p>
      <w:pPr>
        <w:spacing w:after="120"/>
      </w:pPr>
      <w:r>
        <w:t xml:space="preserve">特征（行）×代码（列）网格，每个单元格按特征z-score着色（红色=极端、绿色=正常、蓝色=相反极端）。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/api/v1/features/state?tickers=AAPL,MSFT,...每30秒轮询一次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特征列表：动量（10天、20天、60天）、波动率、均值回归得分、与SPY的相关性、部门动量、体积异常、其他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颜色映射：z-score &lt; -2.5→深蓝、-2.5至-1→浅蓝、-1至1→白色、1至2.5→浅红、&gt; 2.5→深红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悬停：工具提示显示特征名称+值+z-score+解释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点击单元格：导航到/features/{feature_id}/{ticker}获取完整历史记录</w:t>
      </w:r>
    </w:p>
    <w:p>
      <w:pPr>
        <w:spacing w:after="150"/>
      </w:pPr>
    </w:p>
    <w:p>
      <w:pPr>
        <w:pStyle w:val="Heading3"/>
        <w:spacing w:after="120" w:before="200"/>
      </w:pPr>
      <w:bookmarkStart w:name="bm_531" w:id="1"/>
      <w:r>
        <w:t xml:space="preserve">数据质量面板</w:t>
      </w:r>
      <w:bookmarkEnd w:id="1"/>
    </w:p>
    <w:p>
      <w:pPr>
        <w:spacing w:after="120"/>
      </w:pPr>
      <w:r>
        <w:t xml:space="preserve">当前代码数据验证规则的检查表。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/api/v1/data/quality/{ticker}，每60秒刷新一次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规则：OHLCV非负、O &lt;= H、O &gt;= L、体积&gt; 0、无重复时间戳、无间隙&gt;5分钟、价格非NaN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视觉：通过=绿色复选标记、失败=红色X、警告=黄色！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点击行：显示验证错误详情+受影响的蜡烛+重新处理建议</w:t>
      </w:r>
    </w:p>
    <w:p>
      <w:pPr>
        <w:spacing w:after="150"/>
      </w:pPr>
    </w:p>
    <w:p>
      <w:pPr>
        <w:pStyle w:val="Heading3"/>
        <w:spacing w:after="120" w:before="200"/>
      </w:pPr>
      <w:bookmarkStart w:name="bm_532" w:id="1"/>
      <w:r>
        <w:t xml:space="preserve">特征统计表</w:t>
      </w:r>
      <w:bookmarkEnd w:id="1"/>
    </w:p>
    <w:p>
      <w:pPr>
        <w:spacing w:after="120"/>
      </w:pPr>
      <w:r>
        <w:t xml:space="preserve">当前代码所有特征的汇总统计数据。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列：特征、值、平均值、标准差、最小值、最大值、更新时间戳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/api/v1/features/stats/{ticker}，每5分钟刷新一次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可排序：点击列标题升序/降序排序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突出显示：如果值&gt; 2σ从平均值，单元格背景为浅红+粗体文本</w:t>
      </w:r>
    </w:p>
    <w:p>
      <w:pPr>
        <w:spacing w:after="150"/>
      </w:pPr>
    </w:p>
    <w:p>
      <w:pPr>
        <w:pStyle w:val="Heading2"/>
        <w:spacing w:after="120" w:before="200"/>
      </w:pPr>
      <w:bookmarkStart w:name="bm_533" w:id="1"/>
      <w:r>
        <w:t xml:space="preserve">数据契约</w:t>
      </w:r>
      <w:bookmarkEnd w:id="1"/>
    </w:p>
    <w:p>
      <w:pPr>
        <w:spacing w:after="120"/>
      </w:pPr>
      <w:r>
        <w:t xml:space="preserve">特征状态响应：</w:t>
      </w:r>
    </w:p>
    <w:p>
      <w:pPr>
        <w:spacing w:after="120"/>
      </w:pPr>
      <w:r>
        <w:t xml:space="preserve">{
  "ticker": "AAPL",
  "timestamp": "2026-04-12T14:30:00Z",
  "features": [
    { "name": "momentum_10d", "value": 0.0234, "z_score": 1.2, "percentile": 0.88 },
    { "name": "volatility_20d", "value": 0.162, "z_score": -0.3, "percentile": 0.38 },
    { "name": "meanreversion_score", "value": 0.65, "z_score": 2.1, "percentile": 0.98 }
  ]
}</w:t>
      </w:r>
    </w:p>
    <w:p>
      <w:pPr>
        <w:spacing w:after="150"/>
      </w:pPr>
    </w:p>
    <w:p>
      <w:pPr>
        <w:pStyle w:val="Heading2"/>
        <w:spacing w:after="120" w:before="200"/>
      </w:pPr>
      <w:bookmarkStart w:name="bm_534" w:id="1"/>
      <w:r>
        <w:t xml:space="preserve">验收标准</w:t>
      </w:r>
      <w:bookmarkEnd w:id="1"/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十字线延迟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鼠标移动到OHLCV更新&lt; 50ms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蜡烛流式传输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新蜡烛在市场数据接收后&lt;2s出现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热力图颜色准确度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z-score着色与公式匹配，在0.1σ内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特征统计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头部点击时正确排序，&lt;300ms动画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代码选项卡切换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新图表在1秒内加载，无闪烁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数据质量验证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所有7条规则在100ms内执行，立即显示结果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35" w:id="1"/>
      <w:r>
        <w:t xml:space="preserve">边界场景与错误处理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WebSocket断开连接：显示'图表断开连接'覆盖层，队列传入刻度，自动重新连接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没有代码数据：显示'没有可用的市场数据'+建议选择不同的代码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特征计算超时(&gt;3s)：显示'计算中...'旋转器，5秒后回退到缓存值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缺少特征的热力图：显示缺失单元格的'—'，记录为数据质量问题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检测到重复蜡烛：忽略，记录CRC32哈希冲突警告</w:t>
      </w:r>
    </w:p>
    <w:r>
      <w:br w:type="page"/>
    </w:r>
    <w:p>
      <w:pPr>
        <w:pStyle w:val="Heading1"/>
        <w:spacing w:after="120" w:before="200"/>
      </w:pPr>
      <w:bookmarkStart w:name="bm_536" w:id="1"/>
      <w:r>
        <w:t xml:space="preserve">模块3：模型推理与状态</w:t>
      </w:r>
      <w:bookmarkEnd w:id="1"/>
    </w:p>
    <w:p>
      <w:pPr>
        <w:jc w:val="center"/>
      </w:pPr>
      <w:r>
        <w:drawing>
          <wp:inline distT="0" distB="0" distL="0" distR="0">
            <wp:extent cx="6477000" cy="3600450"/>
            <wp:effectExtent t="0" r="0" b="0" l="0"/>
            <wp:docPr id="1" name="mod3_wireframe" descr="HMM regime bars, direction prediction grid, fusion results, and performance charts" title="Model Inference &amp; Stat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pStyle w:val="Heading2"/>
        <w:spacing w:after="120" w:before="200"/>
      </w:pPr>
      <w:bookmarkStart w:name="bm_537" w:id="1"/>
      <w:r>
        <w:t xml:space="preserve">设计理念与用户心理</w:t>
      </w:r>
      <w:bookmarkEnd w:id="1"/>
    </w:p>
    <w:p>
      <w:pPr>
        <w:spacing w:after="120"/>
      </w:pPr>
      <w:r>
        <w:t xml:space="preserve">模型输出是交易员做决定所需的单一最重要信号。模块3展示了三个推理层：制度检测（我们处于什么环境？）、每模型方向预测（每个模型认为什么？）和融合输出（我们集体相信什么？）。</w:t>
      </w:r>
    </w:p>
    <w:p>
      <w:pPr>
        <w:spacing w:after="120"/>
      </w:pPr>
      <w:r>
        <w:t xml:space="preserve">该设计为HMM制度使用大型、清晰的概率条。92%'上升趋势'制度的概率在视觉上是显而易见的。融合结果徽章（牛市/熊市/中立）是焦点，着色和图标繁重，所以交易员可以在&lt;1秒内做出直觉决定。</w:t>
      </w:r>
    </w:p>
    <w:p>
      <w:pPr>
        <w:spacing w:after="150"/>
      </w:pPr>
    </w:p>
    <w:p>
      <w:pPr>
        <w:pStyle w:val="Heading2"/>
        <w:spacing w:after="120" w:before="200"/>
      </w:pPr>
      <w:bookmarkStart w:name="bm_538" w:id="1"/>
      <w:r>
        <w:t xml:space="preserve">组件清单</w:t>
      </w:r>
      <w:bookmarkEnd w:id="1"/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数据绑定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HMM 制度概率条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水平条形图（4个条）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/api/v1/inference/hmm/state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悬停→制度解释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方向预测网格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表（3个模型×N个代码）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/api/v1/inference/predictions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点击单元格→模型可解释性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融合结果卡片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卡片+徽章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/api/v1/inference/fusion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点击→详细评分细分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性能滚动准确度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折线图（30天）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/api/v1/inference/accuracy/rolling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悬停→每日准确度值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置信度校准面板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预期校准误差可视化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/api/v1/inference/calibration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悬停→置信度桶详情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bookmarkStart w:name="bm_539" w:id="1"/>
      <w:r>
        <w:t xml:space="preserve">HMM 制度概率条</w:t>
      </w:r>
      <w:bookmarkEnd w:id="1"/>
    </w:p>
    <w:p>
      <w:pPr>
        <w:spacing w:after="120"/>
      </w:pPr>
      <w:r>
        <w:t xml:space="preserve">4条水平条表示制度概率：上升趋势、下降趋势、均值回归、危机。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/api/v1/inference/hmm/state，每5秒轮询一次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视觉：条长与概率成正比；当前制度有粗蓝边框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颜色映射：上升趋势=绿色、下降趋势=红色、均值回归=蓝色、危机=深红/黑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悬停：工具提示显示制度名称+概率%+解释（例如，'制度：上升趋势（92%）。市场处于强劲上升趋势，动量为正。'）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动画：概率变化时条平滑过渡</w:t>
      </w:r>
    </w:p>
    <w:p>
      <w:pPr>
        <w:spacing w:after="150"/>
      </w:pPr>
    </w:p>
    <w:p>
      <w:pPr>
        <w:pStyle w:val="Heading3"/>
        <w:spacing w:after="120" w:before="200"/>
      </w:pPr>
      <w:bookmarkStart w:name="bm_540" w:id="1"/>
      <w:r>
        <w:t xml:space="preserve">方向预测网格</w:t>
      </w:r>
      <w:bookmarkEnd w:id="1"/>
    </w:p>
    <w:p>
      <w:pPr>
        <w:spacing w:after="120"/>
      </w:pPr>
      <w:r>
        <w:t xml:space="preserve">表：行=3种模型类型（LSTM、XGBoost、集合），列=观察表中的代码。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/api/v1/inference/predictions?models=lstm,xgboost,ensemble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单元格值：牛市（+1）、中立（0）、熊市（-1），带概率（例如，'牛市87%'）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颜色映射：牛市=绿色、中立=灰色、熊市=红色，强度=置信水平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点击单元格：打开显示模型可解释性的面板（特征重要性+决策边界）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排序：点击列标题按置信度降序排序（最有信心的预测优先）</w:t>
      </w:r>
    </w:p>
    <w:p>
      <w:pPr>
        <w:spacing w:after="150"/>
      </w:pPr>
    </w:p>
    <w:p>
      <w:pPr>
        <w:pStyle w:val="Heading3"/>
        <w:spacing w:after="120" w:before="200"/>
      </w:pPr>
      <w:bookmarkStart w:name="bm_541" w:id="1"/>
      <w:r>
        <w:t xml:space="preserve">融合结果卡片</w:t>
      </w:r>
      <w:bookmarkEnd w:id="1"/>
    </w:p>
    <w:p>
      <w:pPr>
        <w:spacing w:after="120"/>
      </w:pPr>
      <w:r>
        <w:t xml:space="preserve">对于每个代码，显示集合融合输出的卡片：牛市/中立/熊市徽章+置信度%+所有3个模型投票。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/api/v1/inference/fusion，每10秒轮询一次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视觉：带图标的大徽章（↑表示牛市、=表示中立、↓表示熊市）+与预测匹配的背景颜色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置信度：显示为%+圆形进度环（100%填满整个圆）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点击卡片：展开显示投票细分（例如，2个模型牛市、1个中立）+置信度分数</w:t>
      </w:r>
    </w:p>
    <w:p>
      <w:pPr>
        <w:spacing w:after="150"/>
      </w:pPr>
    </w:p>
    <w:p>
      <w:pPr>
        <w:pStyle w:val="Heading3"/>
        <w:spacing w:after="120" w:before="200"/>
      </w:pPr>
      <w:bookmarkStart w:name="bm_542" w:id="1"/>
      <w:r>
        <w:t xml:space="preserve">性能滚动准确度</w:t>
      </w:r>
      <w:bookmarkEnd w:id="1"/>
    </w:p>
    <w:p>
      <w:pPr>
        <w:spacing w:after="120"/>
      </w:pPr>
      <w:r>
        <w:t xml:space="preserve">折线图显示预测准确度（%正确调用）在过去30天。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/api/v1/inference/accuracy/rolling，每小时刷新一次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定义：准确度=正确方向调用数/总方向调用数（超过1天窗口）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视觉：带3个系列的折线图（LSTM准确度、XGBoost、集合）+阴影区域显示基准（买入并持有）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悬停：显示日期+每个模型的准确度%+基准</w:t>
      </w:r>
    </w:p>
    <w:p>
      <w:pPr>
        <w:spacing w:after="150"/>
      </w:pPr>
    </w:p>
    <w:p>
      <w:pPr>
        <w:pStyle w:val="Heading3"/>
        <w:spacing w:after="120" w:before="200"/>
      </w:pPr>
      <w:bookmarkStart w:name="bm_543" w:id="1"/>
      <w:r>
        <w:t xml:space="preserve">置信度校准面板</w:t>
      </w:r>
      <w:bookmarkEnd w:id="1"/>
    </w:p>
    <w:p>
      <w:pPr>
        <w:spacing w:after="120"/>
      </w:pPr>
      <w:r>
        <w:t xml:space="preserve">预期校准误差（ECE）的可视化：x轴=模型置信度桶（0-10%、10-20%、...、90-100%），y轴=该桶中的观察准确度。完美的校准是45°对角线。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/api/v1/inference/calibration，每小时刷新一次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解释：如果模型说80%有信心但只有60%正确，模型过度自信；ECE &gt; 0.05触发警告徽章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视觉：散点图+理想对角线（浅灰）+实际校准曲线（蓝色）</w:t>
      </w:r>
    </w:p>
    <w:p>
      <w:pPr>
        <w:spacing w:after="150"/>
      </w:pPr>
    </w:p>
    <w:p>
      <w:pPr>
        <w:pStyle w:val="Heading2"/>
        <w:spacing w:after="120" w:before="200"/>
      </w:pPr>
      <w:bookmarkStart w:name="bm_544" w:id="1"/>
      <w:r>
        <w:t xml:space="preserve">数据契约</w:t>
      </w:r>
      <w:bookmarkEnd w:id="1"/>
    </w:p>
    <w:p>
      <w:pPr>
        <w:spacing w:after="120"/>
      </w:pPr>
      <w:r>
        <w:t xml:space="preserve">HMM 状态响应：</w:t>
      </w:r>
    </w:p>
    <w:p>
      <w:pPr>
        <w:spacing w:after="120"/>
      </w:pPr>
      <w:r>
        <w:t xml:space="preserve">{
  "regimes": [
    { "name": "trending_up", "probability": 0.68, "interpreted": "强劲上升趋势" },
    { "name": "trending_down", "probability": 0.12, "interpreted": "弱下降趋势" },
    { "name": "mean_revert", "probability": 0.15, "interpreted": "区间波动" },
    { "name": "crisis", "probability": 0.05, "interpreted": "潜在波动率峰值" }
  ],
  "current_regime": "trending_up",
  "timestamp": "2026-04-12T14:30:15Z"
}</w:t>
      </w:r>
    </w:p>
    <w:p>
      <w:pPr>
        <w:spacing w:after="150"/>
      </w:pPr>
    </w:p>
    <w:p>
      <w:pPr>
        <w:pStyle w:val="Heading2"/>
        <w:spacing w:after="120" w:before="200"/>
      </w:pPr>
      <w:bookmarkStart w:name="bm_545" w:id="1"/>
      <w:r>
        <w:t xml:space="preserve">验收标准</w:t>
      </w:r>
      <w:bookmarkEnd w:id="1"/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制度条动画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概率变化在&lt;500ms内平滑动画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预测网格排序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点击标题，网格在&lt;300ms内重新排序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融合卡片展开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点击卡片，面板在&lt;400ms内滑出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准确度图表刷新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每小时更新，无需页面重新加载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校准ECE计算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与手动计算匹配，误差&lt;0.001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模型投票显示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融合卡片展开中显示所有3个投票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46" w:id="1"/>
      <w:r>
        <w:t xml:space="preserve">边界场景与错误处理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模型推理超时(&gt;2s)：显示'计算中...'旋转器，显示最后有效预测+年龄（例如，'5分钟前'）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制度概率NaN或和≠1.0：记录数据质量问题，显示警告横幅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预测分歧&gt;2个模型：以粗体突出显示，添加工具提示'集合对此调用不确定'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准确度&lt; 40%：显示警告徽章'模型表现不足'，建议审查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ECE &gt; 0.1：显示警告徽章'校准不佳'+推荐重新训练</w:t>
      </w:r>
    </w:p>
    <w:r>
      <w:br w:type="page"/>
    </w:r>
    <w:p>
      <w:pPr>
        <w:pStyle w:val="Heading1"/>
        <w:spacing w:after="120" w:before="200"/>
      </w:pPr>
      <w:bookmarkStart w:name="bm_547" w:id="1"/>
      <w:r>
        <w:t xml:space="preserve">模块4：Alpha 策略实验室</w:t>
      </w:r>
      <w:bookmarkEnd w:id="1"/>
    </w:p>
    <w:p>
      <w:pPr>
        <w:jc w:val="center"/>
      </w:pPr>
      <w:r>
        <w:drawing>
          <wp:inline distT="0" distB="0" distL="0" distR="0">
            <wp:extent cx="6477000" cy="3600450"/>
            <wp:effectExtent t="0" r="0" b="0" l="0"/>
            <wp:docPr id="1" name="mod4_wireframe" descr="Factor DSL editor, parse status, backtest results, and LLM research visualization" title="Alpha Lab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pStyle w:val="Heading2"/>
        <w:spacing w:after="120" w:before="200"/>
      </w:pPr>
      <w:bookmarkStart w:name="bm_548" w:id="1"/>
      <w:r>
        <w:t xml:space="preserve">设计理念与用户心理</w:t>
      </w:r>
      <w:bookmarkEnd w:id="1"/>
    </w:p>
    <w:p>
      <w:pPr>
        <w:spacing w:after="120"/>
      </w:pPr>
      <w:r>
        <w:t xml:space="preserve">Alpha实验室是研究人员尝试新因子和策略的地方。该设计弥合了代码和直觉之间的差距：交易员在熟悉的编辑器中编写DSL，接收即时解析反馈，在&lt;5秒内运行回测，并在显示alpha衰减、周转成本和制度依赖关系的图表中看到结果。</w:t>
      </w:r>
    </w:p>
    <w:p>
      <w:pPr>
        <w:spacing w:after="120"/>
      </w:pPr>
      <w:r>
        <w:t xml:space="preserve">LLM研究循环可视化是关键——它向研究人员展示了生成过程（因子想法→生成候选→评估→完善），并为建议建立信心。研究人员在理解推理链时更信任建议。</w:t>
      </w:r>
    </w:p>
    <w:p>
      <w:pPr>
        <w:spacing w:after="150"/>
      </w:pPr>
    </w:p>
    <w:p>
      <w:pPr>
        <w:pStyle w:val="Heading2"/>
        <w:spacing w:after="120" w:before="200"/>
      </w:pPr>
      <w:bookmarkStart w:name="bm_549" w:id="1"/>
      <w:r>
        <w:t xml:space="preserve">组件清单</w:t>
      </w:r>
      <w:bookmarkEnd w:id="1"/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数据绑定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因子DSL编辑器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Monaco编辑器（代码编辑器）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客户端（用户输入）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输入代码，Ctrl+Enter运行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解析状态指示灯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内联错误标记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/api/v1/dsl/parse（变更时）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显示AST验证+错误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回测结果面板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指标卡片+表格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/api/v1/backtest（异步作业）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点击指标了解时间序列向下钻取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P&amp;L累积图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折线图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/api/v1/backtest/{job_id}/pnl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悬停→每日收益+夏普比率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研究循环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动画过程图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/ws/research/{job_id}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实时观看代理进度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bookmarkStart w:name="bm_550" w:id="1"/>
      <w:r>
        <w:t xml:space="preserve">因子DSL编辑器</w:t>
      </w:r>
      <w:bookmarkEnd w:id="1"/>
    </w:p>
    <w:p>
      <w:pPr>
        <w:spacing w:after="120"/>
      </w:pPr>
      <w:r>
        <w:t xml:space="preserve">Monaco编辑器实例，具有Alpha Core DSL的自定义语法高亮。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语言：Python风格的DSL，带有关键字[def、momentum、zscore、crossover、regime、if、return]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功能：语法高亮、行号、自动缩进、括号匹配、Ctrl+Enter =运行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示例代码片段：</w:t>
      </w:r>
    </w:p>
    <w:p>
      <w:pPr>
        <w:spacing w:after="120"/>
      </w:pPr>
      <w:r>
        <w:t xml:space="preserve">def strategy():
  m10 = momentum(close, 10)
  m20 = momentum(close, 20)
  signal = zscore(m10 - m20)
  return signal &gt; 0.5</w:t>
      </w:r>
    </w:p>
    <w:p>
      <w:pPr>
        <w:spacing w:after="150"/>
      </w:pPr>
    </w:p>
    <w:p>
      <w:pPr>
        <w:pStyle w:val="Heading3"/>
        <w:spacing w:after="120" w:before="200"/>
      </w:pPr>
      <w:bookmarkStart w:name="bm_551" w:id="1"/>
      <w:r>
        <w:t xml:space="preserve">解析状态指示灯</w:t>
      </w:r>
      <w:bookmarkEnd w:id="1"/>
    </w:p>
    <w:p>
      <w:pPr>
        <w:spacing w:after="120"/>
      </w:pPr>
      <w:r>
        <w:t xml:space="preserve">实时DSL解析器反馈。当用户输入时，代码会根据AST语法进行验证。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数据源：POST /api/v1/dsl/parse，抖动（最后一次按键后500ms）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视觉状态：绿色复选标记=有效、红色X=解析错误，包含行号+消息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错误：显示内联（红色波浪下划线）+编辑器下方的详细错误面板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性能：解析器在&lt;100ms内完成，用户无感知延迟</w:t>
      </w:r>
    </w:p>
    <w:p>
      <w:pPr>
        <w:spacing w:after="150"/>
      </w:pPr>
    </w:p>
    <w:p>
      <w:pPr>
        <w:pStyle w:val="Heading3"/>
        <w:spacing w:after="120" w:before="200"/>
      </w:pPr>
      <w:bookmarkStart w:name="bm_552" w:id="1"/>
      <w:r>
        <w:t xml:space="preserve">回测结果面板</w:t>
      </w:r>
      <w:bookmarkEnd w:id="1"/>
    </w:p>
    <w:p>
      <w:pPr>
        <w:spacing w:after="120"/>
      </w:pPr>
      <w:r>
        <w:t xml:space="preserve">作业完成后显示关键回测指标。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显示的指标：IC（信息系数）、ICIR、Sharpe比率、Max DD、周转率%、Alpha衰减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数据源：异步作业完成后GET /api/v1/backtest/{job_id}/results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作业状态：已排队→计算中→完成，带进度条+ETA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视觉：网格中的指标卡片，按质量着色（绿色=好、红色=差）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点击指标：展开显示时间序列（每日IC、每日Sharpe等）</w:t>
      </w:r>
    </w:p>
    <w:p>
      <w:pPr>
        <w:spacing w:after="150"/>
      </w:pPr>
    </w:p>
    <w:p>
      <w:pPr>
        <w:pStyle w:val="Heading3"/>
        <w:spacing w:after="120" w:before="200"/>
      </w:pPr>
      <w:bookmarkStart w:name="bm_553" w:id="1"/>
      <w:r>
        <w:t xml:space="preserve">P&amp;L 累积图</w:t>
      </w:r>
      <w:bookmarkEnd w:id="1"/>
    </w:p>
    <w:p>
      <w:pPr>
        <w:spacing w:after="120"/>
      </w:pPr>
      <w:r>
        <w:t xml:space="preserve">折线图显示累积策略P&amp;L对基准（SPY买入并持有）。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/api/v1/backtest/{job_id}/pnl，返回每日收益数组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视觉：2条线（策略用蓝色、基准用灰色），超额表现的阴影区域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悬停：工具提示显示日期+策略收益+基准收益+每日超额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时间段：可通过日期选择器配置（默认：回测最后1年）</w:t>
      </w:r>
    </w:p>
    <w:p>
      <w:pPr>
        <w:spacing w:after="150"/>
      </w:pPr>
    </w:p>
    <w:p>
      <w:pPr>
        <w:pStyle w:val="Heading3"/>
        <w:spacing w:after="120" w:before="200"/>
      </w:pPr>
      <w:bookmarkStart w:name="bm_554" w:id="1"/>
      <w:r>
        <w:t xml:space="preserve">LLM 研究循环可视化</w:t>
      </w:r>
      <w:bookmarkEnd w:id="1"/>
    </w:p>
    <w:p>
      <w:pPr>
        <w:spacing w:after="120"/>
      </w:pPr>
      <w:r>
        <w:t xml:space="preserve">动画4步工作流，实时显示LLM代理的研究过程。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步骤：(1)因子想法→(2)生成候选→(3)评估→(4)完善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数据源：WebSocket /ws/research/{job_id}/progress，在代理步骤完成时发出更新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视觉：4个框图，带箭头；当前步骤突出显示为蓝色，完成的步骤为绿色，未来的步骤为灰色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交互：点击步骤→在侧面板中显示LLM提示+输出记录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动画：每个步骤完成触发复选标记动画+500ms持续时间</w:t>
      </w:r>
    </w:p>
    <w:p>
      <w:pPr>
        <w:spacing w:after="150"/>
      </w:pPr>
    </w:p>
    <w:p>
      <w:pPr>
        <w:pStyle w:val="Heading2"/>
        <w:spacing w:after="120" w:before="200"/>
      </w:pPr>
      <w:bookmarkStart w:name="bm_555" w:id="1"/>
      <w:r>
        <w:t xml:space="preserve">数据契约</w:t>
      </w:r>
      <w:bookmarkEnd w:id="1"/>
    </w:p>
    <w:p>
      <w:pPr>
        <w:spacing w:after="120"/>
      </w:pPr>
      <w:r>
        <w:t xml:space="preserve">DSL 解析响应：</w:t>
      </w:r>
    </w:p>
    <w:p>
      <w:pPr>
        <w:spacing w:after="120"/>
      </w:pPr>
      <w:r>
        <w:t xml:space="preserve">{
  "valid": true,
  "ast": {
    "type": "FunctionDef",
    "name": "strategy",
    "body": [
      { "type": "Assignment", "target": "m10", "value": { "type": "Call", "func": "momentum", "args": ["close", 10] } }
    ]
  },
  "errors": [],
  "warnings": []
}</w:t>
      </w:r>
    </w:p>
    <w:p>
      <w:pPr>
        <w:spacing w:after="150"/>
      </w:pPr>
    </w:p>
    <w:p>
      <w:pPr>
        <w:pStyle w:val="Heading2"/>
        <w:spacing w:after="120" w:before="200"/>
      </w:pPr>
      <w:bookmarkStart w:name="bm_556" w:id="1"/>
      <w:r>
        <w:t xml:space="preserve">回测作业响应</w:t>
      </w:r>
      <w:bookmarkEnd w:id="1"/>
    </w:p>
    <w:p>
      <w:pPr>
        <w:spacing w:after="120"/>
      </w:pPr>
      <w:r>
        <w:t xml:space="preserve">{
  "job_id": "bt_abc123",
  "status": "completed",
  "created_at": "2026-04-12T14:30:00Z",
  "completed_at": "2026-04-12T14:30:15Z",
  "results": {
    "ic": 0.087,
    "icir": 1.23,
    "sharpe": 1.54,
    "max_drawdown": -0.12,
    "turnover_pct": 15.3,
    "alpha_decay": 0.05,
    "total_return": 0.18,
    "annual_return": 0.18,
    "annual_volatility": 0.12
  }
}</w:t>
      </w:r>
    </w:p>
    <w:p>
      <w:pPr>
        <w:spacing w:after="150"/>
      </w:pPr>
    </w:p>
    <w:p>
      <w:pPr>
        <w:pStyle w:val="Heading2"/>
        <w:spacing w:after="120" w:before="200"/>
      </w:pPr>
      <w:bookmarkStart w:name="bm_557" w:id="1"/>
      <w:r>
        <w:t xml:space="preserve">验收标准</w:t>
      </w:r>
      <w:bookmarkEnd w:id="1"/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解析延迟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从按键到错误显示&lt; 100ms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回测运行时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SPY+10个特征的1年回测&lt; 5秒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结果准确度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指标与离线计算匹配，误差&lt;0.001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图表渲染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P&amp;L图表在作业完成后1秒内出现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LLM循环可视化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当代理进展时实时更新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编辑器响应性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输入代码无延迟，Monaco在60fps处平滑渲染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58" w:id="1"/>
      <w:r>
        <w:t xml:space="preserve">边界场景与错误处理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解析错误：显示红色波浪线+详细错误工具提示+修复建议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回测超时(&gt;10s)：取消作业+显示'回测超时'消息+建议使用更简单的策略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回测数据间隙：显示警告'回测期间缺少市场数据'+受影响的日期范围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LLM研究循环超时：显示'研究不完整'+显示带警告徽章的部分结果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指标中的NaN（例如除以零）：显示'—'（长破折号）+记录错误以供调查</w:t>
      </w:r>
    </w:p>
    <w:r>
      <w:br w:type="page"/>
    </w:r>
    <w:p>
      <w:pPr>
        <w:pStyle w:val="Heading1"/>
        <w:spacing w:after="120" w:before="200"/>
      </w:pPr>
      <w:bookmarkStart w:name="bm_559" w:id="1"/>
      <w:r>
        <w:t xml:space="preserve">模块5：组合与风控引擎</w:t>
      </w:r>
      <w:bookmarkEnd w:id="1"/>
    </w:p>
    <w:p>
      <w:pPr>
        <w:jc w:val="center"/>
      </w:pPr>
      <w:r>
        <w:drawing>
          <wp:inline distT="0" distB="0" distL="0" distR="0">
            <wp:extent cx="6477000" cy="3600450"/>
            <wp:effectExtent t="0" r="0" b="0" l="0"/>
            <wp:docPr id="1" name="mod5_wireframe" descr="Portfolio treemap, risk gauge dashboard, Kelly sizing, and rebalance schedule" title="Portfolio &amp; Risk Engin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pStyle w:val="Heading2"/>
        <w:spacing w:after="120" w:before="200"/>
      </w:pPr>
      <w:bookmarkStart w:name="bm_560" w:id="1"/>
      <w:r>
        <w:t xml:space="preserve">设计理念与用户心理</w:t>
      </w:r>
      <w:bookmarkEnd w:id="1"/>
    </w:p>
    <w:p>
      <w:pPr>
        <w:spacing w:after="120"/>
      </w:pPr>
      <w:r>
        <w:t xml:space="preserve">投资组合构建是将预测转化为头寸的艺术。模块5可视化投资组合成分（树形图）并量化风险（仪表），为投资组合经理提供关于其分配的即时信心。该设计回答了两个问题：(1)我的资本在哪里部署？(2)我是否在风险限制内？</w:t>
      </w:r>
    </w:p>
    <w:p>
      <w:pPr>
        <w:spacing w:after="120"/>
      </w:pPr>
      <w:r>
        <w:t xml:space="preserve">Kelly准则调整面板适合想要数学优化指导的高级用户。再平衡计划表显示即将进行的投资组合更新，减少需要执行对冲的交易员的惊喜。</w:t>
      </w:r>
    </w:p>
    <w:p>
      <w:pPr>
        <w:spacing w:after="150"/>
      </w:pPr>
    </w:p>
    <w:p>
      <w:pPr>
        <w:pStyle w:val="Heading2"/>
        <w:spacing w:after="120" w:before="200"/>
      </w:pPr>
      <w:bookmarkStart w:name="bm_561" w:id="1"/>
      <w:r>
        <w:t xml:space="preserve">组件清单</w:t>
      </w:r>
      <w:bookmarkEnd w:id="1"/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数据绑定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投资组合树形图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树形图（D3/Nivo）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/api/v1/portfolio/positions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点击瓷砖→头寸详情面板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风险仪表板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径向仪表图表（6个指标）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/api/v1/portfolio/risk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悬停→指标定义+解释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 准则调整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输入表单+建议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/api/v1/portfolio/kelly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输入优势%，Kelly计算显示头寸大小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回撤历史图表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面积图（30天）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/api/v1/portfolio/drawdown_history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悬停→日期+max DD+恢复时间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风险限制指示灯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带进度条的状态卡片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/api/v1/portfolio/limits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点击→查看限制配置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bookmarkStart w:name="bm_562" w:id="1"/>
      <w:r>
        <w:t xml:space="preserve">投资组合树形图</w:t>
      </w:r>
      <w:bookmarkEnd w:id="1"/>
    </w:p>
    <w:p>
      <w:pPr>
        <w:spacing w:after="120"/>
      </w:pPr>
      <w:r>
        <w:t xml:space="preserve">矩形树形图可视化，其中每个瓷砖代表一个头寸。瓷砖大小=权重%，颜色=P&amp;L（正数为绿色，负数为红色）。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/api/v1/portfolio/positions，每10秒轮询一次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瓷砖数据：代码、权重%、市值、未实现P&amp;L、P&amp;L%、入场价格、当前价格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视觉：大小α权重、颜色强度α P&amp;L%（更深=更极端）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交互：悬停→显示头寸详情的工具提示；点击→向下钻取到头寸详情面板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响应式：在移动设备上，转换为垂直列表（树形图在触摸上难以交互）</w:t>
      </w:r>
    </w:p>
    <w:p>
      <w:pPr>
        <w:spacing w:after="150"/>
      </w:pPr>
    </w:p>
    <w:p>
      <w:pPr>
        <w:pStyle w:val="Heading3"/>
        <w:spacing w:after="120" w:before="200"/>
      </w:pPr>
      <w:bookmarkStart w:name="bm_563" w:id="1"/>
      <w:r>
        <w:t xml:space="preserve">风险仪表板</w:t>
      </w:r>
      <w:bookmarkEnd w:id="1"/>
    </w:p>
    <w:p>
      <w:pPr>
        <w:spacing w:after="120"/>
      </w:pPr>
      <w:r>
        <w:t xml:space="preserve">6个径向仪表图表显示关键风险指标：VaR（95%）、CVaR、波动率、最大DD、Sharpe、Herfindahl-Hirschman指数（HHI集中度）。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/api/v1/portfolio/risk，每60秒轮询一次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仪表范围：VaR（0至-10%）、CVaR（0至-15%）、波动率（0至50%）、最大DD（0至-50%）、Sharpe（-2至+3）、HHI（0至1）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颜色区域：绿色（可接受）、黄色（警告）、红色（严重）。每个风险经理配置阈值。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悬停：显示指标定义+解释+如果仪表在红色时该做什么</w:t>
      </w:r>
    </w:p>
    <w:p>
      <w:pPr>
        <w:spacing w:after="150"/>
      </w:pPr>
    </w:p>
    <w:p>
      <w:pPr>
        <w:pStyle w:val="Heading3"/>
        <w:spacing w:after="120" w:before="200"/>
      </w:pPr>
      <w:bookmarkStart w:name="bm_564" w:id="1"/>
      <w:r>
        <w:t xml:space="preserve">Kelly 准则调整</w:t>
      </w:r>
      <w:bookmarkEnd w:id="1"/>
    </w:p>
    <w:p>
      <w:pPr>
        <w:spacing w:after="120"/>
      </w:pPr>
      <w:r>
        <w:t xml:space="preserve">高级用户的输入表单：输入估计的优势（胜率%），Kelly公式计算建议的头寸大小。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数据源：POST /api/v1/portfolio/kelly，包含{ edge_win_pct, odds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公式：f* = (p * odds - q) / odds，其中p=胜率%，q=失败率%，odds=赔率比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输出：推荐头寸大小%的资本，带1/4 Kelly（分数Kelly）切换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视觉：输入字段+'计算'按钮+结果卡片显示f*%+如果f*&gt; 25%资本则警告</w:t>
      </w:r>
    </w:p>
    <w:p>
      <w:pPr>
        <w:spacing w:after="150"/>
      </w:pPr>
    </w:p>
    <w:p>
      <w:pPr>
        <w:pStyle w:val="Heading3"/>
        <w:spacing w:after="120" w:before="200"/>
      </w:pPr>
      <w:bookmarkStart w:name="bm_565" w:id="1"/>
      <w:r>
        <w:t xml:space="preserve">回撤历史图表</w:t>
      </w:r>
      <w:bookmarkEnd w:id="1"/>
    </w:p>
    <w:p>
      <w:pPr>
        <w:spacing w:after="120"/>
      </w:pPr>
      <w:r>
        <w:t xml:space="preserve">显示投资组合在过去30天回撤的面积图。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/api/v1/portfolio/drawdown_history，返回每日权益曲线+每个日期的最大DD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视觉：0%以下的区域填充为红色（回撤），0%以上的区域填充为绿色（恢复）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悬停：显示日期+当前DD+该期间的最大DD+从谷底的恢复%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缩放：选择日期范围向下钻取到特定回撤事件</w:t>
      </w:r>
    </w:p>
    <w:p>
      <w:pPr>
        <w:spacing w:after="150"/>
      </w:pPr>
    </w:p>
    <w:p>
      <w:pPr>
        <w:pStyle w:val="Heading3"/>
        <w:spacing w:after="120" w:before="200"/>
      </w:pPr>
      <w:bookmarkStart w:name="bm_566" w:id="1"/>
      <w:r>
        <w:t xml:space="preserve">风险限制指示灯</w:t>
      </w:r>
      <w:bookmarkEnd w:id="1"/>
    </w:p>
    <w:p>
      <w:pPr>
        <w:spacing w:after="120"/>
      </w:pPr>
      <w:r>
        <w:t xml:space="preserve">状态卡片显示投资组合的风险限制使用情况。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/api/v1/portfolio/limits，返回限制定义+当前使用情况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示例限制：最大部门敞口（例如，科技&lt; 40%）、最大单一头寸（&lt; 10%）、最大杠杆（&lt; 1.5倍）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视觉：每个限制一个卡片，带标签+进度条（&lt;80%为绿色、80-95%为黄色、&gt;95%为红色）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点击：显示限制配置+调整阈值选项（需要PM批准）</w:t>
      </w:r>
    </w:p>
    <w:p>
      <w:pPr>
        <w:spacing w:after="150"/>
      </w:pPr>
    </w:p>
    <w:p>
      <w:pPr>
        <w:pStyle w:val="Heading2"/>
        <w:spacing w:after="120" w:before="200"/>
      </w:pPr>
      <w:bookmarkStart w:name="bm_567" w:id="1"/>
      <w:r>
        <w:t xml:space="preserve">数据契约</w:t>
      </w:r>
      <w:bookmarkEnd w:id="1"/>
    </w:p>
    <w:p>
      <w:pPr>
        <w:spacing w:after="120"/>
      </w:pPr>
      <w:r>
        <w:t xml:space="preserve">投资组合风险响应：</w:t>
      </w:r>
    </w:p>
    <w:p>
      <w:pPr>
        <w:spacing w:after="120"/>
      </w:pPr>
      <w:r>
        <w:t xml:space="preserve">{
  "timestamp": "2026-04-12T14:30:15Z",
  "metrics": {
    "var_95_pct": -0.032,
    "cvar_95_pct": -0.048,
    "volatility_annual": 0.128,
    "max_drawdown": -0.156,
    "sharpe_ratio": 1.24,
    "herfindahl_index": 0.182
  },
  "limits": [
    { "name": "max_sector_tech", "limit": 0.40, "current": 0.38 },
    { "name": "max_single_position", "limit": 0.10, "current": 0.087 }
  ]
}</w:t>
      </w:r>
    </w:p>
    <w:p>
      <w:pPr>
        <w:spacing w:after="150"/>
      </w:pPr>
    </w:p>
    <w:p>
      <w:pPr>
        <w:pStyle w:val="Heading2"/>
        <w:spacing w:after="120" w:before="200"/>
      </w:pPr>
      <w:bookmarkStart w:name="bm_568" w:id="1"/>
      <w:r>
        <w:t xml:space="preserve">验收标准</w:t>
      </w:r>
      <w:bookmarkEnd w:id="1"/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树形图渲染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所有头寸在1秒内渲染，更新时无闪烁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风险指标准确度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VaR/CVaR与历史模拟匹配，误差&lt;0.001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Kelly计算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公式与学术Kelly匹配，误差&lt;0.0001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仪表刷新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投资组合变化后在60秒内更新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DD图表时间序列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从收益精确重建权益曲线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限制警报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限制突破时立即显示红色警告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69" w:id="1"/>
      <w:r>
        <w:t xml:space="preserve">边界场景与错误处理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投资组合为空：显示'无头寸'消息+提示启动第一笔交易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风险指标计算超时：显示'计算风险指标...'旋转器，回退到缓存值+年龄警告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回撤数据间隙：用NaN插值缺失日期，显示警告'历史不完整'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Kelly f*&gt; 100%（负优势）：以红色突出显示，显示工具提示'Kelly建议无头寸（检测到负优势）'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HHI &gt; 0.3（高集中度）：显示警告徽章'投资组合集中'，建议再平衡</w:t>
      </w:r>
    </w:p>
    <w:r>
      <w:br w:type="page"/>
    </w:r>
    <w:p>
      <w:pPr>
        <w:pStyle w:val="Heading1"/>
        <w:spacing w:after="120" w:before="200"/>
      </w:pPr>
      <w:bookmarkStart w:name="bm_570" w:id="1"/>
      <w:r>
        <w:t xml:space="preserve">模块6：订单执行网关</w:t>
      </w:r>
      <w:bookmarkEnd w:id="1"/>
    </w:p>
    <w:p>
      <w:pPr>
        <w:jc w:val="center"/>
      </w:pPr>
      <w:r>
        <w:drawing>
          <wp:inline distT="0" distB="0" distL="0" distR="0">
            <wp:extent cx="6477000" cy="3600450"/>
            <wp:effectExtent t="0" r="0" b="0" l="0"/>
            <wp:docPr id="1" name="mod6_wireframe" descr="Multi-gate score visualization, order queue, execution analytics, and decision chain" title="Order Execution Gatewa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pStyle w:val="Heading2"/>
        <w:spacing w:after="120" w:before="200"/>
      </w:pPr>
      <w:bookmarkStart w:name="bm_571" w:id="1"/>
      <w:r>
        <w:t xml:space="preserve">设计理念与用户心理</w:t>
      </w:r>
      <w:bookmarkEnd w:id="1"/>
    </w:p>
    <w:p>
      <w:pPr>
        <w:spacing w:after="120"/>
      </w:pPr>
      <w:r>
        <w:t xml:space="preserve">执行是策略成为现实的地方。模块6实现了多门槛框架：在订单可以执行之前，它必须通过基于制度的门槛、风险门槛和市场微观结构门槛。该设计可视化所有三个门槛及其分数，因此交易员理解为什么订单被持有、待处理或执行。</w:t>
      </w:r>
    </w:p>
    <w:p>
      <w:pPr>
        <w:spacing w:after="120"/>
      </w:pPr>
      <w:r>
        <w:t xml:space="preserve">决策链（信号→制度检查→风险检查→市场检查→执行/拒绝）是透明的。当订单被持有时，UI显示确切是哪个门槛阻止了它，减少交易员焦虑并建立对系统的信心。</w:t>
      </w:r>
    </w:p>
    <w:p>
      <w:pPr>
        <w:spacing w:after="150"/>
      </w:pPr>
    </w:p>
    <w:p>
      <w:pPr>
        <w:pStyle w:val="Heading2"/>
        <w:spacing w:after="120" w:before="200"/>
      </w:pPr>
      <w:bookmarkStart w:name="bm_572" w:id="1"/>
      <w:r>
        <w:t xml:space="preserve">组件清单</w:t>
      </w:r>
      <w:bookmarkEnd w:id="1"/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数据绑定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多门槛分数可视化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3个仪表条，带阈值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/api/v1/execution/gates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悬停→门槛定义+评分逻辑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综合分数指示灯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大型拨盘，带go/no-go阈值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/api/v1/execution/composite_score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执行准备就绪的视觉反馈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订单队列表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可排序表（纸张交易）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/api/v1/execution/orders, WebSocket /ws/orders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点击行→订单详情+审计跟踪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执行分析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KPI卡片+图表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/api/v1/execution/analytics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点击卡片→每日/小时向下钻取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决策链时间线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水平时间线（信号→成交）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/api/v1/execution/{order_id}/chain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点击步骤→显示时间戳+决策详情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bookmarkStart w:name="bm_573" w:id="1"/>
      <w:r>
        <w:t xml:space="preserve">多门槛分数可视化</w:t>
      </w:r>
      <w:bookmarkEnd w:id="1"/>
    </w:p>
    <w:p>
      <w:pPr>
        <w:spacing w:after="120"/>
      </w:pPr>
      <w:r>
        <w:t xml:space="preserve">3条水平仪表条表示3个执行门槛：(1)制度门槛、(2)风险门槛、(3)微观结构门槛。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/api/v1/execution/gates，每2秒轮询一次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每个门槛都有分数（0-100%）、通过阈值（例如60%）和当前状态（绿色/黄色/红色）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制度门槛：检查当前市场制度是否允许进入方向（例如，上升趋势中不做空）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风险门槛：检查订单是否会违反投资组合风险限制（VaR、集中度、杠杆）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微观结构门槛：检查市场深度+点差是否有利于执行（避免滑点）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视觉：条长=分数%，阈值线标记，分数&gt;阈值时为绿色，否则为红色</w:t>
      </w:r>
    </w:p>
    <w:p>
      <w:pPr>
        <w:spacing w:after="150"/>
      </w:pPr>
    </w:p>
    <w:p>
      <w:pPr>
        <w:pStyle w:val="Heading3"/>
        <w:spacing w:after="120" w:before="200"/>
      </w:pPr>
      <w:bookmarkStart w:name="bm_574" w:id="1"/>
      <w:r>
        <w:t xml:space="preserve">综合分数指示灯</w:t>
      </w:r>
      <w:bookmarkEnd w:id="1"/>
    </w:p>
    <w:p>
      <w:pPr>
        <w:spacing w:after="120"/>
      </w:pPr>
      <w:r>
        <w:t xml:space="preserve">显示整体执行就绪性（0-100%）的大型径向拨盘。在70%处标记阈值（go/no-go点）。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/api/v1/execution/composite_score（3个门槛的加权平均）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视觉：针指向综合分数，绿色区域（&gt;70%）=就绪、黄色（50-70%）=谨慎、红色（&lt;50%）=阻止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针动画：分数变化时平滑过渡</w:t>
      </w:r>
    </w:p>
    <w:p>
      <w:pPr>
        <w:spacing w:after="150"/>
      </w:pPr>
    </w:p>
    <w:p>
      <w:pPr>
        <w:pStyle w:val="Heading3"/>
        <w:spacing w:after="120" w:before="200"/>
      </w:pPr>
      <w:bookmarkStart w:name="bm_575" w:id="1"/>
      <w:r>
        <w:t xml:space="preserve">订单队列表</w:t>
      </w:r>
      <w:bookmarkEnd w:id="1"/>
    </w:p>
    <w:p>
      <w:pPr>
        <w:spacing w:after="120"/>
      </w:pPr>
      <w:r>
        <w:t xml:space="preserve">纸张交易模式中的待处理和已执行订单，显示详细的执行状态。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/api/v1/execution/orders（实时表），订阅/ws/orders获取实时更新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列：代码、方向（买/卖）、数量、限价、订单状态、成交%、成交价格、延迟(ms)、创建时间、执行时间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状态视觉：待处理（黄色）→部分（蓝色）→成交（绿色）→拒绝（红色）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点击行：展开显示订单详情+完整执行审计跟踪（时间戳+门槛决定）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可排序：点击列标题排序</w:t>
      </w:r>
    </w:p>
    <w:p>
      <w:pPr>
        <w:spacing w:after="150"/>
      </w:pPr>
    </w:p>
    <w:p>
      <w:pPr>
        <w:pStyle w:val="Heading3"/>
        <w:spacing w:after="120" w:before="200"/>
      </w:pPr>
      <w:bookmarkStart w:name="bm_576" w:id="1"/>
      <w:r>
        <w:t xml:space="preserve">执行分析</w:t>
      </w:r>
      <w:bookmarkEnd w:id="1"/>
    </w:p>
    <w:p>
      <w:pPr>
        <w:spacing w:after="120"/>
      </w:pPr>
      <w:r>
        <w:t xml:space="preserve">KPI卡片和图表总结执行质量。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指标：成交率（成交订单%）、平均滑点（基点）、平均延迟(ms)、成本（AUM%）、胜率（%）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/api/v1/execution/analytics，每1小时刷新一次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视觉：网格中的指标卡片，带趋势箭头（↑/↓）+迷你火花线（最后30天）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点击卡片：展开到该指标的每小时/每日条形图</w:t>
      </w:r>
    </w:p>
    <w:p>
      <w:pPr>
        <w:spacing w:after="150"/>
      </w:pPr>
    </w:p>
    <w:p>
      <w:pPr>
        <w:pStyle w:val="Heading3"/>
        <w:spacing w:after="120" w:before="200"/>
      </w:pPr>
      <w:bookmarkStart w:name="bm_577" w:id="1"/>
      <w:r>
        <w:t xml:space="preserve">决策链时间线</w:t>
      </w:r>
      <w:bookmarkEnd w:id="1"/>
    </w:p>
    <w:p>
      <w:pPr>
        <w:spacing w:after="120"/>
      </w:pPr>
      <w:r>
        <w:t xml:space="preserve">水平时间线显示订单从信号生成到成交的历程。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步骤：信号生成→制度检查→风险检查→微观结构检查→发送订单→确认→部分成交→完全成交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/api/v1/execution/{order_id}/chain，返回带时间戳的决策步骤数组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视觉：框（决策点）由箭头（因果关系）连接，当前事件突出显示为蓝色、完成的步骤为绿色、未来步骤为灰色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点击步骤：在详情面板中显示时间戳+决策详情（例如，'制度检查：当前制度为上升趋势；订单为多头进入=通过'）</w:t>
      </w:r>
    </w:p>
    <w:p>
      <w:pPr>
        <w:spacing w:after="150"/>
      </w:pPr>
    </w:p>
    <w:p>
      <w:pPr>
        <w:pStyle w:val="Heading2"/>
        <w:spacing w:after="120" w:before="200"/>
      </w:pPr>
      <w:bookmarkStart w:name="bm_578" w:id="1"/>
      <w:r>
        <w:t xml:space="preserve">数据契约</w:t>
      </w:r>
      <w:bookmarkEnd w:id="1"/>
    </w:p>
    <w:p>
      <w:pPr>
        <w:spacing w:after="120"/>
      </w:pPr>
      <w:r>
        <w:t xml:space="preserve">执行门槛响应：</w:t>
      </w:r>
    </w:p>
    <w:p>
      <w:pPr>
        <w:spacing w:after="120"/>
      </w:pPr>
      <w:r>
        <w:t xml:space="preserve">{
  "gates": [
    {
      "name": "regime",
      "score": 0.85,
      "threshold": 0.60,
      "status": "pass",
      "interpretation": "制度允许多头进入"
    },
    {
      "name": "risk",
      "score": 0.92,
      "threshold": 0.60,
      "status": "pass",
      "interpretation": "头寸在VaR限制内"
    },
    {
      "name": "microstructure",
      "score": 0.78,
      "threshold": 0.60,
      "status": "pass",
      "interpretation": "市场深度充分，点差紧密"
    }
  ],
  "composite_score": 0.85,
  "go_no_go": "GO",
  "timestamp": "2026-04-12T14:30:15Z"
}</w:t>
      </w:r>
    </w:p>
    <w:p>
      <w:pPr>
        <w:spacing w:after="150"/>
      </w:pPr>
    </w:p>
    <w:p>
      <w:pPr>
        <w:pStyle w:val="Heading2"/>
        <w:spacing w:after="120" w:before="200"/>
      </w:pPr>
      <w:bookmarkStart w:name="bm_579" w:id="1"/>
      <w:r>
        <w:t xml:space="preserve">验收标准</w:t>
      </w:r>
      <w:bookmarkEnd w:id="1"/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门槛分数刷新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计算后2秒内更新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综合分数计算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3个门槛的加权平均，计算&lt;100ms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订单队列同步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新订单在WebSocket推送后&lt;500ms出现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成交价格准确度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与交易所成交价格匹配，在1个基点内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决策链完整性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所有步骤记录，微秒精度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分析准确度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成交率、滑点与手动计算匹配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80" w:id="1"/>
      <w:r>
        <w:t xml:space="preserve">边界场景与错误处理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门槛分数超时：显示'计算门槛分数...'旋转器，回退到最后有效分数+年龄警告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订单拒绝：显示突出的红色横幅，包含拒绝原因+行动（例如，'风险门槛失败：VaR限制突破'）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滑点峰值&gt;100基点：显示警告徽章'高滑点'，暂停自动执行，待人工审查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决策链间隙（缺少步骤）：记录数据质量问题+显示'审计跟踪不完整'警告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成交价格NaN：视为数据错误，从交易所重新获取，记录事件</w:t>
      </w:r>
    </w:p>
    <w:r>
      <w:br w:type="page"/>
    </w:r>
    <w:p>
      <w:pPr>
        <w:pStyle w:val="Heading1"/>
        <w:spacing w:after="120" w:before="200"/>
      </w:pPr>
      <w:bookmarkStart w:name="bm_581" w:id="1"/>
      <w:r>
        <w:t xml:space="preserve">模块7：交易审计日志</w:t>
      </w:r>
      <w:bookmarkEnd w:id="1"/>
    </w:p>
    <w:p>
      <w:pPr>
        <w:jc w:val="center"/>
      </w:pPr>
      <w:r>
        <w:drawing>
          <wp:inline distT="0" distB="0" distL="0" distR="0">
            <wp:extent cx="6477000" cy="3600450"/>
            <wp:effectExtent t="0" r="0" b="0" l="0"/>
            <wp:docPr id="1" name="mod7_wireframe" descr="Event stream, decision chain explorer, LLM decision detail, and JSON viewer" title="Trading Audit Log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pPr>
        <w:pStyle w:val="Heading2"/>
        <w:spacing w:after="120" w:before="200"/>
      </w:pPr>
      <w:bookmarkStart w:name="bm_582" w:id="1"/>
      <w:r>
        <w:t xml:space="preserve">设计理念与用户心理</w:t>
      </w:r>
      <w:bookmarkEnd w:id="1"/>
    </w:p>
    <w:p>
      <w:pPr>
        <w:spacing w:after="120"/>
      </w:pPr>
      <w:r>
        <w:t xml:space="preserve">监管合规和交易后分析需要不可变的审计跟踪。模块7为交易员和合规团队提供了对每项决定的完整可见性：发生了什么、何时、为什么以及谁决定的。事件流是真实来源；决策链浏览器提供背景。</w:t>
      </w:r>
    </w:p>
    <w:p>
      <w:pPr>
        <w:spacing w:after="120"/>
      </w:pPr>
      <w:r>
        <w:t xml:space="preserve">LLM决策详情对于想要理解模型推理的研究人员至关重要。由LLM代理2生成的叙述解释使审计跟踪人类可读，而不仅仅是机器可读。</w:t>
      </w:r>
    </w:p>
    <w:p>
      <w:pPr>
        <w:spacing w:after="150"/>
      </w:pPr>
    </w:p>
    <w:p>
      <w:pPr>
        <w:pStyle w:val="Heading2"/>
        <w:spacing w:after="120" w:before="200"/>
      </w:pPr>
      <w:bookmarkStart w:name="bm_583" w:id="1"/>
      <w:r>
        <w:t xml:space="preserve">组件清单</w:t>
      </w:r>
      <w:bookmarkEnd w:id="1"/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数据绑定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事件流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带过滤器的虚拟滚动列表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/api/v1/audit/events, WebSocket /ws/audit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滚动、搜索、按类型/严重程度过滤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决策链浏览器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水平时间线+详情面板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/api/v1/audit/events/{event_id}/chain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点击事件→显示因果链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决策详情面板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呈现的markdown+结构化数据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/api/v1/audit/events/{event_id}/explanation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读取决策的叙述解释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合规汇总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KPI卡片+检查表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/api/v1/audit/compliance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查看合规规则状态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事件查看器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语法突出显示的代码块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/api/v1/audit/events/{event_id}/raw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查看原始JSON事件结构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bookmarkStart w:name="bm_584" w:id="1"/>
      <w:r>
        <w:t xml:space="preserve">事件流</w:t>
      </w:r>
      <w:bookmarkEnd w:id="1"/>
    </w:p>
    <w:p>
      <w:pPr>
        <w:spacing w:after="120"/>
      </w:pPr>
      <w:r>
        <w:t xml:space="preserve">审计事件（订单、成交、风险更新、模型变更、用户操作）的实时可滚动列表。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数据源：WebSocket /ws/audit（实时）+GET /api/v1/audit/events?limit=100&amp;offset=0（分页）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事件类型：OrderCreated、OrderFilled、OrderRejected、ModelUpdated、StrategyDeployed、RiskAlert等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列：时间戳、事件类型、代码、方向、数量、价格、状态、详情（截断）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过滤器：日期范围、事件类型、代码、严重程度（用于警报）、用户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搜索：跨事件字段进行全文搜索（票号、用户评论等）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虚拟滚动：一次只渲染可见行（例如，一次20行）以获得性能</w:t>
      </w:r>
    </w:p>
    <w:p>
      <w:pPr>
        <w:spacing w:after="150"/>
      </w:pPr>
    </w:p>
    <w:p>
      <w:pPr>
        <w:pStyle w:val="Heading3"/>
        <w:spacing w:after="120" w:before="200"/>
      </w:pPr>
      <w:bookmarkStart w:name="bm_585" w:id="1"/>
      <w:r>
        <w:t xml:space="preserve">决策链浏览器</w:t>
      </w:r>
      <w:bookmarkEnd w:id="1"/>
    </w:p>
    <w:p>
      <w:pPr>
        <w:spacing w:after="120"/>
      </w:pPr>
      <w:r>
        <w:t xml:space="preserve">水平时间线显示导致关键事件（例如订单成交）的因果决策序列。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/api/v1/audit/events/{event_id}/chain，按顺序返回决策数组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示例链：信号生成(T=0)→制度检查通过(T=10ms)→风险检查通过(T=20ms)→发送订单(T=100ms)→确认(T=150ms)→部分成交(T=2000ms)→完全成交(T=5000ms)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视觉：框（决策点）由箭头（因果关系）连接，当前事件突出显示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点击框：在详情面板中显示时间戳+决策详情</w:t>
      </w:r>
    </w:p>
    <w:p>
      <w:pPr>
        <w:spacing w:after="150"/>
      </w:pPr>
    </w:p>
    <w:p>
      <w:pPr>
        <w:pStyle w:val="Heading3"/>
        <w:spacing w:after="120" w:before="200"/>
      </w:pPr>
      <w:bookmarkStart w:name="bm_586" w:id="1"/>
      <w:r>
        <w:t xml:space="preserve">LLM 决策详情面板</w:t>
      </w:r>
      <w:bookmarkEnd w:id="1"/>
    </w:p>
    <w:p>
      <w:pPr>
        <w:spacing w:after="120"/>
      </w:pPr>
      <w:r>
        <w:t xml:space="preserve">由LLM代理2生成的交易决策的人类可读解释。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/api/v1/audit/events/{event_id}/explanation（LLM生成的叙述）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内容：Markdown格式的解释，总结决策链、制度状态、风险评估和执行结果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示例：'订单以2026-04-12 14:30:15买入500份AAPL已成功执行。市场制度为上升趋势（92%概率），有利于多头进入。VaR影响为+0.02%，在限制内。成交价178.45，1bp滑点。'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视觉：清晰的排版，关键事实加粗，行动项着色框</w:t>
      </w:r>
    </w:p>
    <w:p>
      <w:pPr>
        <w:spacing w:after="150"/>
      </w:pPr>
    </w:p>
    <w:p>
      <w:pPr>
        <w:pStyle w:val="Heading3"/>
        <w:spacing w:after="120" w:before="200"/>
      </w:pPr>
      <w:bookmarkStart w:name="bm_587" w:id="1"/>
      <w:r>
        <w:t xml:space="preserve">合规汇总面板</w:t>
      </w:r>
      <w:bookmarkEnd w:id="1"/>
    </w:p>
    <w:p>
      <w:pPr>
        <w:spacing w:after="120"/>
      </w:pPr>
      <w:r>
        <w:t xml:space="preserve">合规规则及其状态的检查表。对合规团队和风险经理有用。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规则：所有交易记录时间戳、无未授权订单修改、实施头寸限制、实施风险限制、每日P&amp;L调和等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/api/v1/audit/compliance，返回每条规则的状态（PASS/FAIL/WARNING）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视觉：每条规则一个复选框，绿色（通过）、黄色（警告）、红色（失败），带详情按钮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点击详情：显示违规、采取的纠正行动、合规官员签字</w:t>
      </w:r>
    </w:p>
    <w:p>
      <w:pPr>
        <w:spacing w:after="150"/>
      </w:pPr>
    </w:p>
    <w:p>
      <w:pPr>
        <w:pStyle w:val="Heading3"/>
        <w:spacing w:after="120" w:before="200"/>
      </w:pPr>
      <w:bookmarkStart w:name="bm_588" w:id="1"/>
      <w:r>
        <w:t xml:space="preserve">JSON 事件查看器</w:t>
      </w:r>
      <w:bookmarkEnd w:id="1"/>
    </w:p>
    <w:p>
      <w:pPr>
        <w:spacing w:after="120"/>
      </w:pPr>
      <w:r>
        <w:t xml:space="preserve">原始事件结构的语法突出显示JSON查看器。适合高级用户/合规审计。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数据源：GET /api/v1/audit/events/{event_id}/raw（完整JSON）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功能：语法突出显示、可折叠对象/数组、行号、复制到剪贴板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只读：无编辑（审计跟踪必须不可变）</w:t>
      </w:r>
    </w:p>
    <w:p>
      <w:pPr>
        <w:spacing w:after="150"/>
      </w:pPr>
    </w:p>
    <w:p>
      <w:pPr>
        <w:pStyle w:val="Heading2"/>
        <w:spacing w:after="120" w:before="200"/>
      </w:pPr>
      <w:bookmarkStart w:name="bm_589" w:id="1"/>
      <w:r>
        <w:t xml:space="preserve">数据契约</w:t>
      </w:r>
      <w:bookmarkEnd w:id="1"/>
    </w:p>
    <w:p>
      <w:pPr>
        <w:spacing w:after="120"/>
      </w:pPr>
      <w:r>
        <w:t xml:space="preserve">审计事件架构：</w:t>
      </w:r>
    </w:p>
    <w:p>
      <w:pPr>
        <w:spacing w:after="120"/>
      </w:pPr>
      <w:r>
        <w:t xml:space="preserve">{
  "event_id": "evt_abc123xyz",
  "timestamp": "2026-04-12T14:30:15.123456Z",
  "event_type": "OrderFilled",
  "user_id": "trader_001",
  "ticker": "AAPL",
  "side": "BUY",
  "quantity": 500,
  "order_price": 178.50,
  "fill_price": 178.45,
  "fill_quantity": 500,
  "decision_chain_id": "chain_xyz",
  "regime_state": { "current_regime": "trending_up", "probability": 0.92 },
  "risk_assessment": { "var_impact_bps": 2, "concentration_impact": 0.01 },
  "execution_latency_ms": 5000,
  "slippage_bps": 5,
  "tags": ["automated", "algogen"]
}</w:t>
      </w:r>
    </w:p>
    <w:p>
      <w:pPr>
        <w:spacing w:after="150"/>
      </w:pPr>
    </w:p>
    <w:p>
      <w:pPr>
        <w:pStyle w:val="Heading2"/>
        <w:spacing w:after="120" w:before="200"/>
      </w:pPr>
      <w:bookmarkStart w:name="bm_590" w:id="1"/>
      <w:r>
        <w:t xml:space="preserve">验收标准</w:t>
      </w:r>
      <w:bookmarkEnd w:id="1"/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事件流刷新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WebSocket推送后&lt;500ms出现新事件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搜索性能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全文搜索在&lt;1秒内返回结果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决策链准确度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链中记录的所有事件，因果关系正确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LLM解释质量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叙述可读、事实准确、简洁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合规检查表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所有规则已评估，状态与审计跟踪匹配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JSON查看器速度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大型事件(&gt;10KB)无延迟渲染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91" w:id="1"/>
      <w:r>
        <w:t xml:space="preserve">边界场景与错误处理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事件流延迟：显示'事件加载中...'指示灯，队列传入事件，重新连接时赶上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决策链间隙（缺少因果事件）：显示警告'审计跟踪不完整'+警报合规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LLM解释超时：显示'生成解释中...'旋转器，3秒后回退到原始JSON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合规规则失败：以红色突出显示+显示带所需纠正行动的详情面板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移动设备上的JSON查看器：切换到折叠树视图（完整JSON对小屏幕过于冗长）</w:t>
      </w:r>
    </w:p>
    <w:r>
      <w:br w:type="page"/>
    </w:r>
    <w:p>
      <w:pPr>
        <w:pStyle w:val="Heading1"/>
        <w:spacing w:after="120" w:before="200"/>
      </w:pPr>
      <w:bookmarkStart w:name="bm_592" w:id="1"/>
      <w:r>
        <w:t xml:space="preserve">前端迁移：React/Next.js</w:t>
      </w:r>
      <w:bookmarkEnd w:id="1"/>
    </w:p>
    <w:p>
      <w:pPr>
        <w:spacing w:after="120"/>
      </w:pPr>
      <w:r>
        <w:t xml:space="preserve">Alpha Core前端基于React 18+Next.js 14构建，组件库遵循设计系统原则。所有7个模块实现为独立页面，共享UI组件库。</w:t>
      </w:r>
    </w:p>
    <w:p>
      <w:pPr>
        <w:pStyle w:val="Heading2"/>
        <w:spacing w:after="120" w:before="200"/>
      </w:pPr>
      <w:bookmarkStart w:name="bm_593" w:id="1"/>
      <w:r>
        <w:t xml:space="preserve">组件技术栈</w:t>
      </w:r>
      <w:bookmarkEnd w:id="1"/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+ TanStack Store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高效服务器状态同步+实时更新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制图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Nivo（D3包装）+ TradingView Lightweight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复杂热力图+生产级价格图表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代码编辑器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Monaco编辑器（VS Code嵌入）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行业标准DSL创作体验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UI组件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Headless UI + TailwindCSS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可访问、可定制、轻量级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Socket.IO（WebSocket抽象）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优雅回退轮询，重新连接逻辑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快速、现代、与React最佳实践相匹配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94" w:id="1"/>
      <w:r>
        <w:t xml:space="preserve">UI 组件库结构</w:t>
      </w:r>
      <w:bookmarkEnd w:id="1"/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示例用法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ServiceCard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service_id, status, latency, uptime 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&lt;ServiceCard service_id='fastapi' status='green' /&gt;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CandlestickChart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ticker, data, onCrosshair 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&lt;CandlestickChart ticker='AAPL' data={candles} /&gt;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FeatureHeatmap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features, tickers, onCellClick 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&lt;FeatureHeatmap features={feat} tickers={tk} /&gt;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MonacoEditor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value, onChange, language, errors 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&lt;MonacoEditor language='alphadsl' value={code} /&gt;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PortfolioTreemap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positions, onTileClick 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&lt;PortfolioTreemap positions={pos} /&gt;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EventStream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events, onFilter, onSearch 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&lt;EventStream events={evt} onFilter={cb} /&gt;</w:t>
            </w:r>
          </w:p>
        </w:tc>
      </w:tr>
    </w:tbl>
    <w:p>
      <w:pPr>
        <w:spacing w:after="150"/>
      </w:pPr>
    </w:p>
    <w:p>
      <w:pPr>
        <w:pStyle w:val="Heading2"/>
        <w:spacing w:after="120" w:before="200"/>
      </w:pPr>
      <w:bookmarkStart w:name="bm_595" w:id="1"/>
      <w:r>
        <w:t xml:space="preserve">构建和部署</w:t>
      </w:r>
      <w:bookmarkEnd w:id="1"/>
    </w:p>
    <w:p>
      <w:pPr>
        <w:spacing w:after="120"/>
      </w:pPr>
      <w:r>
        <w:t xml:space="preserve">Next.js静态导出用于前端（单页应用程序），部署到CDN，24小时缓存标题。API路由（可选）使用无服务器函数处理轻量级auth逻辑。构建时间&lt;2分钟，部署&lt;5分钟。</w:t>
      </w:r>
    </w:p>
    <w:r>
      <w:br w:type="page"/>
    </w:r>
    <w:p>
      <w:pPr>
        <w:pStyle w:val="Heading1"/>
        <w:spacing w:after="120" w:before="200"/>
      </w:pPr>
      <w:bookmarkStart w:name="bm_596" w:id="1"/>
      <w:r>
        <w:t xml:space="preserve">分阶段交付计划</w:t>
      </w:r>
      <w:bookmarkEnd w:id="1"/>
    </w:p>
    <w:p>
      <w:pPr>
        <w:pStyle w:val="Heading2"/>
        <w:spacing w:after="120" w:before="200"/>
      </w:pPr>
      <w:bookmarkStart w:name="bm_597" w:id="1"/>
      <w:r>
        <w:t xml:space="preserve">第1阶段：概念验证（第1-2个月）</w:t>
      </w:r>
      <w:bookmarkEnd w:id="1"/>
    </w:p>
    <w:p>
      <w:pPr>
        <w:spacing w:after="120"/>
      </w:pPr>
      <w:r>
        <w:t xml:space="preserve">核心模块1–3（系统总线、行情数据、模型推理）：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后端：FastAPI服务器、健康检查微服务、市场数据摄取、模型推理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前端：模块1、2、3（基础版本，LLM集成除外）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数据：回测的模拟数据，yfinance的实时代码连接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可交付物：实时监控+市场数据可视化+模型预测的工作演示</w:t>
      </w:r>
    </w:p>
    <w:p>
      <w:pPr>
        <w:spacing w:after="150"/>
      </w:pPr>
    </w:p>
    <w:p>
      <w:pPr>
        <w:pStyle w:val="Heading2"/>
        <w:spacing w:after="120" w:before="200"/>
      </w:pPr>
      <w:bookmarkStart w:name="bm_598" w:id="1"/>
      <w:r>
        <w:t xml:space="preserve">第2阶段：策略和投资组合（第3-4个月）</w:t>
      </w:r>
      <w:bookmarkEnd w:id="1"/>
    </w:p>
    <w:p>
      <w:pPr>
        <w:spacing w:after="120"/>
      </w:pPr>
      <w:r>
        <w:t xml:space="preserve">模块4–5（Alpha实验室、投资组合与风险）：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因子DSL解析器和回测引擎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因子生成的LLM代理集成（代理1）和研究摘要（代理2）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风险引擎：VaR、CVaR、Kelly调整、集中度警报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可交付物：交易员可以编写因子、回测和构建投资组合</w:t>
      </w:r>
    </w:p>
    <w:p>
      <w:pPr>
        <w:spacing w:after="150"/>
      </w:pPr>
    </w:p>
    <w:p>
      <w:pPr>
        <w:pStyle w:val="Heading2"/>
        <w:spacing w:after="120" w:before="200"/>
      </w:pPr>
      <w:bookmarkStart w:name="bm_599" w:id="1"/>
      <w:r>
        <w:t xml:space="preserve">第3阶段：执行和审计（第5-6个月）</w:t>
      </w:r>
      <w:bookmarkEnd w:id="1"/>
    </w:p>
    <w:p>
      <w:pPr>
        <w:spacing w:after="120"/>
      </w:pPr>
      <w:r>
        <w:t xml:space="preserve">模块6–7（订单执行、审计日志）：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具有制度/风险/微观结构检查的多门槛执行框架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纸张交易模式（模拟订单）与执行分析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带LLM生成解释的不可变审计跟踪（代理2、4）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合规仪表板和规则检查表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可交付物：全链路交易工作流，带审计和合规</w:t>
      </w:r>
    </w:p>
    <w:p>
      <w:pPr>
        <w:spacing w:after="150"/>
      </w:pPr>
    </w:p>
    <w:p>
      <w:pPr>
        <w:pStyle w:val="Heading2"/>
        <w:spacing w:after="120" w:before="200"/>
      </w:pPr>
      <w:bookmarkStart w:name="bm_600" w:id="1"/>
      <w:r>
        <w:t xml:space="preserve">第4阶段：生产加固（第7-8个月，持续进行）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真实货币交易（具有风险限制）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性能优化（延迟目标：每个模块p95&lt;100ms）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可扩展性测试（1000个代码、10个并发用户、100k事件/天）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安全审计和合规认证（如需要）</w:t>
      </w:r>
    </w:p>
    <w:r>
      <w:br w:type="page"/>
    </w:r>
    <w:p>
      <w:pPr>
        <w:pStyle w:val="Heading1"/>
        <w:spacing w:after="120" w:before="200"/>
      </w:pPr>
      <w:bookmarkStart w:name="bm_601" w:id="1"/>
      <w:r>
        <w:t xml:space="preserve">技术参考</w:t>
      </w:r>
      <w:bookmarkEnd w:id="1"/>
    </w:p>
    <w:p>
      <w:pPr>
        <w:pStyle w:val="Heading2"/>
        <w:spacing w:after="120" w:before="200"/>
      </w:pPr>
      <w:bookmarkStart w:name="bm_602" w:id="1"/>
      <w:r>
        <w:t xml:space="preserve">开源栈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FastAPI（Python异步Web框架）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18 + Next.js 14（前端）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Nivo / D3.js（制图）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Monaco编辑器（代码编辑）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TanStack Query（服务器状态）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Socket.IO（实时WebSocket）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SQLite（本地状态）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yfinance（市场数据）</w:t>
      </w:r>
    </w:p>
    <w:p>
      <w:pPr>
        <w:spacing w:after="150"/>
      </w:pPr>
    </w:p>
    <w:p>
      <w:pPr>
        <w:pStyle w:val="Heading2"/>
        <w:spacing w:after="120" w:before="200"/>
      </w:pPr>
      <w:bookmarkStart w:name="bm_603" w:id="1"/>
      <w:r>
        <w:t xml:space="preserve">ML/研究库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scikit-learn（特征工程、模型训练）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hmmlearn（隐马尔可夫模型）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 / NumPy（数据操作）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backtrader / Zipline（回测引擎）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XGBoost（梯度提升）</w:t>
      </w:r>
    </w:p>
    <w:p>
      <w:pPr>
        <w:spacing w:after="150"/>
      </w:pPr>
    </w:p>
    <w:p>
      <w:pPr>
        <w:pStyle w:val="Heading2"/>
        <w:spacing w:after="120" w:before="200"/>
      </w:pPr>
      <w:bookmarkStart w:name="bm_604" w:id="1"/>
      <w:r>
        <w:t xml:space="preserve">学术和参考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Fama-French因子（动量、价值、规模、盈利性、投资）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均值回归和反转文献（Jegadeesh &amp; Titman）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Kelly准则（风险最优调整）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预期校准误差（置信度校准）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Sharpe比率、信息系数、最大回撤（风险指标）</w:t>
      </w:r>
    </w:p>
    <w:r>
      <w:br w:type="page"/>
    </w:r>
    <w:p>
      <w:pPr>
        <w:pStyle w:val="Heading1"/>
        <w:spacing w:after="120" w:before="200"/>
      </w:pPr>
      <w:bookmarkStart w:name="bm_605" w:id="1"/>
      <w:r>
        <w:t xml:space="preserve">附录：术语表</w:t>
      </w:r>
      <w:bookmarkEnd w:id="1"/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超过基准的超额收益（例如，策略收益-SPY收益）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回测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对历史数据进行策略模拟，以评估性能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校准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模型的置信度与实现准确度匹配的程度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蜡烛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烛形图上的一个条（OHLCV：开盘价、最高价、最低价、收盘价、成交量）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CVaR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条件风险价值；最坏情况情景下的平均损失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DSL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领域特定语言；用于表达因子的简化语言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ECE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预期校准误差；置信度校准的衡量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因子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计算的特征，用于预测股票收益（例如，动量、波动率）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成交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在市场价格执行订单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门槛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执行检查（制度、风险、微观结构），在发送订单前必须通过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HMM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隐马尔可夫模型；市场制度的概率模型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信息系数；因子与未来收益的相关性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ICIR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 / Std(IC)；因子的信息比率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Kelly准则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给定优势和赔率的最优头寸调整公式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延迟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从输入到输出的时间延迟（例如，信号到执行）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大型语言模型；用于文本生成的AI（GPT-4等）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最大回撤；最大的峰值到谷底下降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制度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市场状态（上升趋势、下降趋势、均值回归、危机）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Sharpe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Sharpe比率；风险调整收益指标（年度收益/年度波动率）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滑点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预期成交价格与实现成交价格之间的差异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周转率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投资组合流动率（再平衡频率和幅度）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风险价值（95%）；最坏5%天的潜在损失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波动率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收益的标准差；风险衡量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z-score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标准化值：(x - 平均值) / 标准差；标准差单位</w:t>
            </w:r>
          </w:p>
        </w:tc>
      </w:tr>
    </w:tbl>
    <w:r>
      <w:br w:type="page"/>
    </w:r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Arial" w:hAnsi="Arial"/>
        <w:color w:val="1B4F72"/>
        <w:sz w:val="20"/>
        <w:szCs w:val="20"/>
      </w:rPr>
      <w:t xml:space="preserve">Alpha Core — 系统建构蓝图 v2.0 | 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5f0b0b7f708ae4113665f2947697d499e8bacf.png"/><Relationship Id="rId10" Type="http://schemas.openxmlformats.org/officeDocument/2006/relationships/image" Target="media/20cf7ef80754e9380588c32956792ad25ed584fd.png"/><Relationship Id="rId11" Type="http://schemas.openxmlformats.org/officeDocument/2006/relationships/image" Target="media/aefa3f5855c77b2aeb6ab566c3a102aaa136444d.png"/><Relationship Id="rId12" Type="http://schemas.openxmlformats.org/officeDocument/2006/relationships/image" Target="media/690736e23192aa8d858914b5fde36f9ac4de29dc.png"/><Relationship Id="rId13" Type="http://schemas.openxmlformats.org/officeDocument/2006/relationships/image" Target="media/e6e5ab372b888ffe0c30a4f203a74b6941db8b59.png"/><Relationship Id="rId14" Type="http://schemas.openxmlformats.org/officeDocument/2006/relationships/image" Target="media/6b655487c875257678ef9cc7bd64cbe0e4392a54.png"/><Relationship Id="rId15" Type="http://schemas.openxmlformats.org/officeDocument/2006/relationships/image" Target="media/22ddb73714212477727c8af9faa457e6af0955a3.png"/><Relationship Id="rId16" Type="http://schemas.openxmlformats.org/officeDocument/2006/relationships/image" Target="media/9f7bf15e2ab450edbfeadf1eb4c52d9a0dc01cc6.png"/><Relationship Id="rId1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2026-04-12T13:25:27.405Z</dcterms:created>
  <dcterms:modified xsi:type="dcterms:W3CDTF">2026-04-12T13:25:27.405Z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