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4F72"/>
          <w:sz w:val="72"/>
          <w:szCs w:val="72"/>
        </w:rPr>
        <w:t xml:space="preserve">ALPHA CORE</w:t>
      </w:r>
    </w:p>
    <w:p>
      <w:pPr>
        <w:spacing w:after="200"/>
        <w:jc w:val="center"/>
      </w:pPr>
      <w:r>
        <w:rPr>
          <w:rFonts w:ascii="Arial" w:cs="Arial" w:eastAsia="Arial" w:hAnsi="Arial"/>
          <w:color w:val="2E75B6"/>
          <w:sz w:val="32"/>
          <w:szCs w:val="32"/>
        </w:rPr>
        <w:t xml:space="preserve">Quantitative Research &amp; Decision Platform</w:t>
      </w:r>
    </w:p>
    <w:p>
      <w:pPr>
        <w:spacing w:after="100"/>
        <w:jc w:val="center"/>
      </w:pPr>
      <w:r>
        <w:rPr>
          <w:rFonts w:ascii="Arial" w:cs="Arial" w:eastAsia="Arial" w:hAnsi="Arial"/>
          <w:color w:val="555555"/>
          <w:sz w:val="28"/>
          <w:szCs w:val="28"/>
        </w:rPr>
        <w:t xml:space="preserve">System Construction Blueprint</w:t>
      </w:r>
    </w:p>
    <w:p>
      <w:pPr>
        <w:pBdr>
          <w:bottom w:val="single" w:color="2E75B6" w:sz="6" w:space="1"/>
        </w:pBdr>
        <w:spacing w:after="600"/>
      </w:pPr>
    </w:p>
    <w:p>
      <w:pPr>
        <w:spacing w:after="100"/>
        <w:jc w:val="center"/>
      </w:pPr>
      <w:r>
        <w:rPr>
          <w:rFonts w:ascii="Arial" w:cs="Arial" w:eastAsia="Arial" w:hAnsi="Arial"/>
          <w:color w:val="777777"/>
          <w:sz w:val="22"/>
          <w:szCs w:val="22"/>
        </w:rPr>
        <w:t xml:space="preserve">Version 1.1  |  April 2026</w:t>
      </w:r>
    </w:p>
    <w:p>
      <w:pPr>
        <w:spacing w:after="100"/>
        <w:jc w:val="center"/>
      </w:pPr>
      <w:r>
        <w:rPr>
          <w:rFonts w:ascii="Arial" w:cs="Arial" w:eastAsia="Arial" w:hAnsi="Arial"/>
          <w:b/>
          <w:bCs/>
          <w:color w:val="E74C3C"/>
          <w:sz w:val="20"/>
          <w:szCs w:val="20"/>
        </w:rPr>
        <w:t xml:space="preserve">Classification: Internal – Confidential</w:t>
      </w:r>
    </w:p>
    <w:p>
      <w:pPr>
        <w:jc w:val="center"/>
      </w:pPr>
      <w:r>
        <w:rPr>
          <w:rFonts w:ascii="Arial" w:cs="Arial" w:eastAsia="Arial" w:hAnsi="Arial"/>
          <w:color w:val="555555"/>
          <w:sz w:val="20"/>
          <w:szCs w:val="20"/>
        </w:rPr>
        <w:t xml:space="preserve">Target: Full-Chain Productization (SaaS-Ready)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bookmarkStart w:name="bm_100" w:id="10"/>
      <w:r>
        <w:t xml:space="preserve">Executive Summary</w:t>
      </w:r>
      <w:bookmarkEnd w:id="10"/>
    </w:p>
    <w:p>
      <w:pPr>
        <w:spacing w:after="100"/>
      </w:pPr>
    </w:p>
    <w:p>
      <w:pPr>
        <w:spacing w:after="120"/>
      </w:pPr>
      <w:r>
        <w:t xml:space="preserve">Alpha Core is a full-stack quantitative research and decision platform designed to systematically unify the entire alpha lifecycle—from raw market data ingestion through feature engineering, ML-driven inference, strategy construction, risk management, simulated execution, and auditability—into a single, productizable system. This document serves as the </w:t>
      </w:r>
      <w:r>
        <w:rPr>
          <w:b/>
          <w:bCs/>
        </w:rPr>
        <w:t xml:space="preserve">Long-Range Task Blueprint</w:t>
      </w:r>
      <w:r>
        <w:t xml:space="preserve"> for the engineering team, defining the precise scope, acceptance criteria, and phased delivery plan for all seven core modules.</w:t>
      </w:r>
    </w:p>
    <w:p>
      <w:pPr>
        <w:spacing w:after="120"/>
      </w:pPr>
      <w:r>
        <w:t xml:space="preserve">The platform is architected around three foundational principles:</w:t>
      </w:r>
    </w:p>
    <w:p>
      <w:pPr>
        <w:pStyle w:val="ListParagraph"/>
        <w:numPr>
          <w:ilvl w:val="0"/>
          <w:numId w:val="2"/>
        </w:numPr>
        <w:spacing w:after="60"/>
      </w:pPr>
      <w:r>
        <w:rPr>
          <w:b/>
          <w:bCs/>
        </w:rPr>
        <w:t xml:space="preserve">First-Principles Decomposition: </w:t>
      </w:r>
      <w:r>
        <w:t xml:space="preserve">Each module maps to exactly one irreducible concern in the quantitative pipeline. There are no redundant layers, no premature abstractions. The seven modules emerged from answering: “What is the minimum set of components required to go from raw tick data to an auditable simulated trade?”</w:t>
      </w:r>
    </w:p>
    <w:p>
      <w:pPr>
        <w:pStyle w:val="ListParagraph"/>
        <w:numPr>
          <w:ilvl w:val="0"/>
          <w:numId w:val="2"/>
        </w:numPr>
        <w:spacing w:after="60"/>
      </w:pPr>
      <w:r>
        <w:rPr>
          <w:b/>
          <w:bCs/>
        </w:rPr>
        <w:t xml:space="preserve">Occam’s Razor in Engineering: </w:t>
      </w:r>
      <w:r>
        <w:t xml:space="preserve">We favor the simplest implementation that satisfies the acceptance criteria. sklearn over PyTorch for direction classifiers (until proven insufficient by backtests). Single-file HTML dashboard before React migration. Paper trading before broker integration. Complexity is earned, not assumed.</w:t>
      </w:r>
    </w:p>
    <w:p>
      <w:pPr>
        <w:pStyle w:val="ListParagraph"/>
        <w:numPr>
          <w:ilvl w:val="0"/>
          <w:numId w:val="2"/>
        </w:numPr>
        <w:spacing w:after="60"/>
      </w:pPr>
      <w:r>
        <w:rPr>
          <w:b/>
          <w:bCs/>
        </w:rPr>
        <w:t xml:space="preserve">Observable Contracts: </w:t>
      </w:r>
      <w:r>
        <w:t xml:space="preserve">Every module exposes a typed, immutable data contract (frozen dataclass or Pydantic model). Module boundaries are API surfaces, not directory conventions. This enables independent testing, parallel development, and future microservice extraction.</w:t>
      </w:r>
    </w:p>
    <w:p>
      <w:pPr>
        <w:spacing w:after="100"/>
      </w:pPr>
    </w:p>
    <w:p>
      <w:pPr>
        <w:spacing w:after="120"/>
      </w:pPr>
      <w:r>
        <w:rPr>
          <w:b/>
          <w:bCs/>
        </w:rPr>
        <w:t xml:space="preserve">Strategic Context: </w:t>
      </w:r>
      <w:r>
        <w:t xml:space="preserve">The platform targets US equities (S&amp;P 500 universe) as its primary market, with extensibility for A-shares via the existing AKShare data layer. The frontend will migrate from the current single-file HTML dashboard (~2,700 lines) to a componentized React/Next.js application. All trading functionality is research and paper-trading only; no live broker integration is in scope for the foreseeable future.</w:t>
      </w:r>
    </w:p>
    <w:p>
      <w:pPr>
        <w:spacing w:after="100"/>
      </w:pPr>
    </w:p>
    <w:p>
      <w:pPr>
        <w:spacing w:after="120"/>
      </w:pPr>
      <w:r>
        <w:rPr>
          <w:b/>
          <w:bCs/>
        </w:rPr>
        <w:t xml:space="preserve">Current State: </w:t>
      </w:r>
      <w:r>
        <w:t xml:space="preserve">The Model Inference &amp; State module is approximately 70% functional (HMM regime detection, XGBoost/LSTM direction prediction, weighted fusion). All other modules have skeleton API endpoints but lack substantive implementation. The factor engine (parser, evaluator, backtest) is mature with 90+ test cases.</w:t>
      </w:r>
    </w:p>
    <w:p>
      <w:pPr>
        <w:spacing w:after="100"/>
      </w:pPr>
    </w:p>
    <w:p>
      <w:pPr>
        <w:spacing w:after="120"/>
      </w:pPr>
      <w:r>
        <w:rPr>
          <w:b/>
          <w:bCs/>
        </w:rPr>
        <w:t xml:space="preserve">v1.1 Addendum: </w:t>
      </w:r>
      <w:r>
        <w:t xml:space="preserve">This version incorporates three additional architectural constraints: (1) All market data sourced exclusively from free, open-source providers (yfinance, AKShare, FRED) at daily granularity—no paid data subscriptions required. (2) LLM integration via cloud API subscriptions (Anthropic, OpenAI, Google AI) using existing Coding Plan credits, replacing the self-hosted Gemma 4 26B approach to eliminate GPU rental costs. (3) A comprehensive network security architecture covering rate limiting, port hardening, CORS policy, and suspicious connection blocking.</w:t>
      </w:r>
    </w:p>
    <w:p>
      <w:r>
        <w:br w:type="page"/>
      </w:r>
    </w:p>
    <w:p>
      <w:pPr>
        <w:pStyle w:val="Heading1"/>
      </w:pPr>
      <w:bookmarkStart w:name="bm_101" w:id="11"/>
      <w:r>
        <w:t xml:space="preserve">Module 1: System Bus Monitor</w:t>
      </w:r>
      <w:bookmarkEnd w:id="11"/>
    </w:p>
    <w:p>
      <w:pPr>
        <w:spacing w:after="80"/>
      </w:pPr>
    </w:p>
    <w:p>
      <w:pPr>
        <w:spacing w:after="120"/>
      </w:pPr>
      <w:r>
        <w:rPr>
          <w:b/>
          <w:bCs/>
        </w:rPr>
        <w:t xml:space="preserve">Purpose: </w:t>
      </w:r>
      <w:r>
        <w:t xml:space="preserve">Provide real-time observability into the health, latency, and throughput of every subsystem within Alpha Core. This is the “nervous system” of the platform—without it, operators cannot distinguish between a model producing poor signals and a data feed that silently failed 6 hours ago.</w:t>
      </w:r>
    </w:p>
    <w:p>
      <w:pPr>
        <w:spacing w:after="60"/>
      </w:pPr>
    </w:p>
    <w:p>
      <w:pPr>
        <w:pStyle w:val="Heading2"/>
      </w:pPr>
      <w:r>
        <w:t xml:space="preserve">1.1 Design Rationale</w:t>
      </w:r>
    </w:p>
    <w:p>
      <w:pPr>
        <w:spacing w:after="120"/>
      </w:pPr>
      <w:r>
        <w:t xml:space="preserve">In production quantitative systems (cf. Zipline’s Pipeline architecture, QuantConnect’s health monitors), silent failures are the most dangerous failure mode. A factor that returns stale features because the data provider timed out will produce valid-looking but meaningless predictions. The System Bus Monitor exists to make all such failures loud, immediate, and actionable.</w:t>
      </w:r>
    </w:p>
    <w:p>
      <w:pPr>
        <w:spacing w:after="120"/>
      </w:pPr>
      <w:r>
        <w:t xml:space="preserve">The module is modeled after the “control plane” concept from Kubernetes: it does not participate in the data path, but it continuously observes every component on the data path and exposes structured health telemetry.</w:t>
      </w:r>
    </w:p>
    <w:p>
      <w:pPr>
        <w:spacing w:after="60"/>
      </w:pPr>
    </w:p>
    <w:p>
      <w:pPr>
        <w:pStyle w:val="Heading2"/>
      </w:pPr>
      <w:r>
        <w:t xml:space="preserve">1.2 Functional Requirements</w:t>
      </w:r>
    </w:p>
    <w:p>
      <w:pPr>
        <w:spacing w:after="60"/>
      </w:pPr>
    </w:p>
    <w:p>
      <w:pPr>
        <w:pStyle w:val="Heading3"/>
      </w:pPr>
      <w:r>
        <w:t xml:space="preserve">1.2.1 Service Health Dashboard</w:t>
      </w:r>
    </w:p>
    <w:p>
      <w:pPr>
        <w:spacing w:after="120"/>
      </w:pPr>
      <w:r>
        <w:t xml:space="preserve">The system must provide a unified health view for all dependent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Service</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Health Check Method</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Polling Interval</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Failure Threshold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FastAPI Backend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/health with &lt;100ms response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10s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consecutive failures</w:t>
            </w:r>
          </w:p>
        </w:tc>
      </w:tr>
      <w:tr>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LLM API Endpoint</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POST /chat/completions health ping (empty prompt, max_tokens=1)</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60s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consecutive failures → fallback to next provider</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yfinance Data Feed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Fetch 1-day OHLCV for SPY; validate close &gt; 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60s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failure triggers cache-only mode</w:t>
            </w:r>
          </w:p>
        </w:tc>
      </w:tr>
      <w:tr>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AKShare Fallback</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Fetch 1 stock daily data; validate column schema</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300s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consecutive failures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SQLite Factor Registry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SELECT count(*) FROM factors; verify writable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60s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failure triggers read-only mode</w:t>
            </w:r>
          </w:p>
        </w:tc>
      </w:tr>
      <w:tr>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Model Artifact Store</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Verify .joblib files exist and mtime &lt; 48h</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120s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Stale triggers retraining alert</w:t>
            </w:r>
          </w:p>
        </w:tc>
      </w:tr>
    </w:tbl>
    <w:p>
      <w:pPr>
        <w:spacing w:after="100"/>
      </w:pPr>
    </w:p>
    <w:p>
      <w:pPr>
        <w:pStyle w:val="Heading3"/>
      </w:pPr>
      <w:r>
        <w:t xml:space="preserve">1.2.2 Pipeline Throughput Metrics</w:t>
      </w:r>
    </w:p>
    <w:p>
      <w:pPr>
        <w:spacing w:after="120"/>
      </w:pPr>
      <w:r>
        <w:t xml:space="preserve">Each pipeline stage emits timing and throughput metrics via structured logging (JSON format):</w:t>
      </w:r>
    </w:p>
    <w:p>
      <w:pPr>
        <w:pStyle w:val="ListParagraph"/>
        <w:numPr>
          <w:ilvl w:val="0"/>
          <w:numId w:val="2"/>
        </w:numPr>
        <w:spacing w:after="60"/>
      </w:pPr>
      <w:r>
        <w:rPr>
          <w:b/>
          <w:bCs/>
        </w:rPr>
        <w:t xml:space="preserve">Data Ingestion Latency: </w:t>
      </w:r>
      <w:r>
        <w:t xml:space="preserve">Time from API call to DataFrame ready, per ticker. Target: &lt;2s for single ticker via yfinance, &lt;500ms from cache.</w:t>
      </w:r>
    </w:p>
    <w:p>
      <w:pPr>
        <w:pStyle w:val="ListParagraph"/>
        <w:numPr>
          <w:ilvl w:val="0"/>
          <w:numId w:val="2"/>
        </w:numPr>
        <w:spacing w:after="60"/>
      </w:pPr>
      <w:r>
        <w:rPr>
          <w:b/>
          <w:bCs/>
        </w:rPr>
        <w:t xml:space="preserve">Feature Computation Latency: </w:t>
      </w:r>
      <w:r>
        <w:t xml:space="preserve">Time to compute all 6 technical features (log_return, volatility_20d, RSI-14, MACD, Bollinger %B, forward label) for one ticker. Target: &lt;200ms for 3-year daily data.</w:t>
      </w:r>
    </w:p>
    <w:p>
      <w:pPr>
        <w:pStyle w:val="ListParagraph"/>
        <w:numPr>
          <w:ilvl w:val="0"/>
          <w:numId w:val="2"/>
        </w:numPr>
        <w:spacing w:after="60"/>
      </w:pPr>
      <w:r>
        <w:rPr>
          <w:b/>
          <w:bCs/>
        </w:rPr>
        <w:t xml:space="preserve">Model Inference Latency: </w:t>
      </w:r>
      <w:r>
        <w:t xml:space="preserve">Time per model (XGBoost predict, LSTM predict, HMM predict) and total fusion time. Target: &lt;500ms aggregate for 3 models on 3 tickers.</w:t>
      </w:r>
    </w:p>
    <w:p>
      <w:pPr>
        <w:pStyle w:val="ListParagraph"/>
        <w:numPr>
          <w:ilvl w:val="0"/>
          <w:numId w:val="2"/>
        </w:numPr>
        <w:spacing w:after="60"/>
      </w:pPr>
      <w:r>
        <w:rPr>
          <w:b/>
          <w:bCs/>
        </w:rPr>
        <w:t xml:space="preserve">LLM Decision Latency: </w:t>
      </w:r>
      <w:r>
        <w:t xml:space="preserve">Time from prompt construction to parsed TradingDecision. Target: &lt;6s for cloud API (Anthropic/OpenAI), &lt;3s for lightweight models (Gemini Flash/DeepSeek). Includes fallback-to-rules timing on provider failure.</w:t>
      </w:r>
    </w:p>
    <w:p>
      <w:pPr>
        <w:pStyle w:val="ListParagraph"/>
        <w:numPr>
          <w:ilvl w:val="0"/>
          <w:numId w:val="2"/>
        </w:numPr>
        <w:spacing w:after="60"/>
      </w:pPr>
      <w:r>
        <w:rPr>
          <w:b/>
          <w:bCs/>
        </w:rPr>
        <w:t xml:space="preserve">End-to-End Pipeline Latency: </w:t>
      </w:r>
      <w:r>
        <w:t xml:space="preserve">Total wall-clock from /api/dashboard request to full JSON response. Target: &lt;10s cold start, &lt;3s warm (cache hit).</w:t>
      </w:r>
    </w:p>
    <w:p>
      <w:pPr>
        <w:spacing w:after="60"/>
      </w:pPr>
    </w:p>
    <w:p>
      <w:pPr>
        <w:pStyle w:val="Heading3"/>
      </w:pPr>
      <w:r>
        <w:t xml:space="preserve">1.2.3 Alert &amp; Notification System</w:t>
      </w:r>
    </w:p>
    <w:p>
      <w:pPr>
        <w:spacing w:after="120"/>
      </w:pPr>
      <w:r>
        <w:t xml:space="preserve">The monitor must implement a tiered alerting mechanism:</w:t>
      </w:r>
    </w:p>
    <w:p>
      <w:pPr>
        <w:pStyle w:val="ListParagraph"/>
        <w:numPr>
          <w:ilvl w:val="0"/>
          <w:numId w:val="2"/>
        </w:numPr>
        <w:spacing w:after="60"/>
      </w:pPr>
      <w:r>
        <w:rPr>
          <w:b/>
          <w:bCs/>
        </w:rPr>
        <w:t xml:space="preserve">Level 1 – INFO: </w:t>
      </w:r>
      <w:r>
        <w:t xml:space="preserve">Service recovered, cache hit ratio above 90%, model retrained successfully. Displayed as green toast in UI.</w:t>
      </w:r>
    </w:p>
    <w:p>
      <w:pPr>
        <w:pStyle w:val="ListParagraph"/>
        <w:numPr>
          <w:ilvl w:val="0"/>
          <w:numId w:val="2"/>
        </w:numPr>
        <w:spacing w:after="60"/>
      </w:pPr>
      <w:r>
        <w:rPr>
          <w:b/>
          <w:bCs/>
        </w:rPr>
        <w:t xml:space="preserve">Level 2 – WARN: </w:t>
      </w:r>
      <w:r>
        <w:t xml:space="preserve">Service degraded (responding but slow), cache staleness approaching threshold, model accuracy below 55% on recent validation. Displayed as yellow badge on System Bus tab.</w:t>
      </w:r>
    </w:p>
    <w:p>
      <w:pPr>
        <w:pStyle w:val="ListParagraph"/>
        <w:numPr>
          <w:ilvl w:val="0"/>
          <w:numId w:val="2"/>
        </w:numPr>
        <w:spacing w:after="60"/>
      </w:pPr>
      <w:r>
        <w:rPr>
          <w:b/>
          <w:bCs/>
        </w:rPr>
        <w:t xml:space="preserve">Level 3 – CRITICAL: </w:t>
      </w:r>
      <w:r>
        <w:t xml:space="preserve">Service unreachable, data feed returning empty DataFrames, model artifact missing or corrupt. Displayed as red pulsing indicator on sidebar; blocks pipeline execution with clear error message.</w:t>
      </w:r>
    </w:p>
    <w:p>
      <w:pPr>
        <w:spacing w:after="60"/>
      </w:pPr>
    </w:p>
    <w:p>
      <w:pPr>
        <w:pStyle w:val="Heading2"/>
      </w:pPr>
      <w:r>
        <w:t xml:space="preserve">1.3 Data Contract</w:t>
      </w:r>
    </w:p>
    <w:p>
      <w:pPr>
        <w:spacing w:after="120"/>
      </w:pPr>
      <w:r>
        <w:t xml:space="preserve">The /api/system endpoint must return the following typed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800"/>
        <w:gridCol w:w="3460"/>
      </w:tblGrid>
      <w:tr>
        <w:tc>
          <w:tcPr>
            <w:tcW w:type="dxa" w:w="3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services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Dict[str, ServiceHealth]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Map of service name to health status object</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services.*.status</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Literal["ok","degraded","down"]</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Current health state</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services.*.latency_ms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float | null</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Last measured response latency</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services.*.last_check</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ISO 8601 datetime</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Timestamp of most recent health check</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services.*.consecutive_failures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int</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Running count of consecutive failures</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pipeline_metrics</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Dict[str, PipelineMetric]</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Per-stage latency and throughput stats</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pipeline_metrics.*.p50_ms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Median latency over last 100 invocations</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pipeline_metrics.*.p99_ms</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99th percentile latency</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pipeline_metrics.*.invocations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int</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Total invocations since server start</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pipeline_metrics.*.error_rate</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Fraction of invocations that raised exceptions</w:t>
            </w:r>
          </w:p>
        </w:tc>
      </w:tr>
      <w:tr>
        <w:tc>
          <w:tcPr>
            <w:tcW w:type="dxa" w:w="3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alerts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List[Alert]</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Active alerts sorted by severity (CRITICAL first)</w:t>
            </w:r>
          </w:p>
        </w:tc>
      </w:tr>
      <w:tr>
        <w:tc>
          <w:tcPr>
            <w:tcW w:type="dxa" w:w="3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uptime_seconds</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Seconds since FastAPI server started</w:t>
            </w:r>
          </w:p>
        </w:tc>
      </w:tr>
    </w:tbl>
    <w:p>
      <w:pPr>
        <w:spacing w:after="100"/>
      </w:pPr>
    </w:p>
    <w:p>
      <w:pPr>
        <w:pStyle w:val="Heading2"/>
      </w:pPr>
      <w:r>
        <w:t xml:space="preserve">1.4 UI Specification</w:t>
      </w:r>
    </w:p>
    <w:p>
      <w:pPr>
        <w:spacing w:after="120"/>
      </w:pPr>
      <w:r>
        <w:t xml:space="preserve">The System Bus Monitor tab renders as a grid of service health cards and a real-time latency chart:</w:t>
      </w:r>
    </w:p>
    <w:p>
      <w:pPr>
        <w:pStyle w:val="ListParagraph"/>
        <w:numPr>
          <w:ilvl w:val="0"/>
          <w:numId w:val="2"/>
        </w:numPr>
        <w:spacing w:after="60"/>
      </w:pPr>
      <w:r>
        <w:rPr>
          <w:b/>
          <w:bCs/>
        </w:rPr>
        <w:t xml:space="preserve">Service Health Cards (top row): </w:t>
      </w:r>
      <w:r>
        <w:t xml:space="preserve">One card per service. Each card shows: service name, status badge (green/yellow/red circle with “ok”/“degraded”/“down” text), last check timestamp in relative format (“12s ago”), and latency sparkline (last 20 measurements). Cards are 200px wide, flex-wrap on smaller viewports.</w:t>
      </w:r>
    </w:p>
    <w:p>
      <w:pPr>
        <w:pStyle w:val="ListParagraph"/>
        <w:numPr>
          <w:ilvl w:val="0"/>
          <w:numId w:val="2"/>
        </w:numPr>
        <w:spacing w:after="60"/>
      </w:pPr>
      <w:r>
        <w:rPr>
          <w:b/>
          <w:bCs/>
        </w:rPr>
        <w:t xml:space="preserve">Pipeline Latency Chart (middle): </w:t>
      </w:r>
      <w:r>
        <w:t xml:space="preserve">Stacked horizontal bar chart showing p50 latency breakdown: Data → Features → Inference → Gate → Decision. Each segment uses a distinct color from the design system. Hover tooltip shows exact ms value. Total end-to-end time displayed as bold number above the bar.</w:t>
      </w:r>
    </w:p>
    <w:p>
      <w:pPr>
        <w:pStyle w:val="ListParagraph"/>
        <w:numPr>
          <w:ilvl w:val="0"/>
          <w:numId w:val="2"/>
        </w:numPr>
        <w:spacing w:after="60"/>
      </w:pPr>
      <w:r>
        <w:rPr>
          <w:b/>
          <w:bCs/>
        </w:rPr>
        <w:t xml:space="preserve">Alert Feed (bottom): </w:t>
      </w:r>
      <w:r>
        <w:t xml:space="preserve">Scrollable list of alerts, most recent first. Each alert shows: severity icon (info/warn/critical), timestamp, message, and source module. Critical alerts have a red left border. Feed auto-scrolls to newest alert but pauses auto-scroll when user scrolls up.</w:t>
      </w:r>
    </w:p>
    <w:p>
      <w:pPr>
        <w:spacing w:after="60"/>
      </w:pPr>
    </w:p>
    <w:p>
      <w:pPr>
        <w:pStyle w:val="Heading2"/>
      </w:pPr>
      <w:r>
        <w:t xml:space="preserve">1.5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AC-1.1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6 services in the health table return valid status within their configured polling intervals. Deliberately disabling the LLM API key causes the LLM endpoint status to transition to “down” within 60s, a CRITICAL alert to appear in the feed, and the system to fallback to rule-based decisions.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Functional</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AC-1.2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Pipeline latency metrics are accurate to within 5% of independently measured wall-clock times (verified by wrapping each pipeline stage with time.perf_counter()).</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Accuracy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AC-1.3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The stacked latency bar chart renders correctly with all 5 segments visible, colors matching the design system, and hover tooltips showing exact ms values that match the API response.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AC-1.4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Alert feed displays alerts in chronological order. Inserting a test CRITICAL alert causes: (a) red pulsing dot on sidebar, (b) alert appears at top of feed within 1 polling cycle, (c) pipeline execution endpoint returns HTTP 503 with structured error.</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Integration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AC-1.5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Service cards render responsively: 6 cards in a row on ≥1440px viewport, 3 per row on ≥1024px, 2 per row on ≥768px, 1 per row below 768px. No horizontal overflow at any breakpoint.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Responsive</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AC-1.6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The system health endpoint /api/system responds in &lt;200ms even when downstream services are slow or unreachable (health checks run asynchronously in background, API returns cached results).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Performance</w:t>
            </w:r>
          </w:p>
        </w:tc>
      </w:tr>
    </w:tbl>
    <w:p>
      <w:r>
        <w:br w:type="page"/>
      </w:r>
    </w:p>
    <w:p>
      <w:pPr>
        <w:pStyle w:val="Heading1"/>
      </w:pPr>
      <w:bookmarkStart w:name="bm_102" w:id="12"/>
      <w:r>
        <w:t xml:space="preserve">Module 2: Market Feed &amp; Features</w:t>
      </w:r>
      <w:bookmarkEnd w:id="12"/>
    </w:p>
    <w:p>
      <w:pPr>
        <w:spacing w:after="80"/>
      </w:pPr>
    </w:p>
    <w:p>
      <w:pPr>
        <w:spacing w:after="120"/>
      </w:pPr>
      <w:r>
        <w:rPr>
          <w:b/>
          <w:bCs/>
        </w:rPr>
        <w:t xml:space="preserve">Purpose: </w:t>
      </w:r>
      <w:r>
        <w:t xml:space="preserve">Serve as the single source of truth for all market data consumed by downstream modules. This module owns the entire data lifecycle: acquisition from external providers, normalization to canonical schema, caching for latency reduction, quality validation, and feature engineering. No other module directly calls yfinance, AKShare, or any external data API.</w:t>
      </w:r>
    </w:p>
    <w:p>
      <w:pPr>
        <w:spacing w:after="60"/>
      </w:pPr>
    </w:p>
    <w:p>
      <w:pPr>
        <w:pStyle w:val="Heading2"/>
      </w:pPr>
      <w:r>
        <w:t xml:space="preserve">2.1 Design Rationale</w:t>
      </w:r>
    </w:p>
    <w:p>
      <w:pPr>
        <w:spacing w:after="120"/>
      </w:pPr>
      <w:r>
        <w:t xml:space="preserve">The current implementation splits data across two providers (AKShareProvider for A-shares, YFinanceProvider for US equities) with inconsistent schemas. The canonical redesign must unify these behind a single DataProvider interface that returns identically-structured DataFrames regardless of source. This follows the Adapter Pattern as implemented in frameworks like Qlib’s DataHandler and Zipline’s DataPortal.</w:t>
      </w:r>
    </w:p>
    <w:p>
      <w:pPr>
        <w:spacing w:after="120"/>
      </w:pPr>
      <w:r>
        <w:rPr>
          <w:b/>
          <w:bCs/>
        </w:rPr>
        <w:t xml:space="preserve">Key Insight (First Principles): </w:t>
      </w:r>
      <w:r>
        <w:t xml:space="preserve">A quantitative factor is a mathematical function of OHLCV + derived features. The factor does not care whether the data came from yfinance or Bloomberg. Therefore, the data layer’s only job is to guarantee: (1) correct values, (2) no gaps in the time series, (3) consistent column semantics, (4) timezone-aware timestamps aligned to market close.</w:t>
      </w:r>
    </w:p>
    <w:p>
      <w:pPr>
        <w:spacing w:after="60"/>
      </w:pPr>
    </w:p>
    <w:p>
      <w:pPr>
        <w:pStyle w:val="Heading2"/>
      </w:pPr>
      <w:r>
        <w:t xml:space="preserve">2.2 Functional Requirements</w:t>
      </w:r>
    </w:p>
    <w:p>
      <w:pPr>
        <w:spacing w:after="60"/>
      </w:pPr>
    </w:p>
    <w:p>
      <w:pPr>
        <w:pStyle w:val="Heading3"/>
      </w:pPr>
      <w:r>
        <w:t xml:space="preserve">2.2.1 Unified Data Provider Interface</w:t>
      </w:r>
    </w:p>
    <w:p>
      <w:pPr>
        <w:spacing w:after="120"/>
      </w:pPr>
      <w:r>
        <w:t xml:space="preserve">All data providers must implement the following abstract interface:</w:t>
      </w:r>
    </w:p>
    <w:p>
      <w:pPr>
        <w:pStyle w:val="ListParagraph"/>
        <w:numPr>
          <w:ilvl w:val="0"/>
          <w:numId w:val="2"/>
        </w:numPr>
        <w:spacing w:after="60"/>
      </w:pPr>
      <w:r>
        <w:rPr>
          <w:b/>
          <w:bCs/>
        </w:rPr>
        <w:t xml:space="preserve">fetch(tickers, start_date, end_date) → DataFrame: </w:t>
      </w:r>
      <w:r>
        <w:t xml:space="preserve">Returns a DataFrame with MultiIndex (date: DatetimeTZ[US/Eastern], ticker: str) and columns: open, high, low, close, volume, adj_close. All prices in USD. Volume in shares. Dates represent market close timestamps.</w:t>
      </w:r>
    </w:p>
    <w:p>
      <w:pPr>
        <w:pStyle w:val="ListParagraph"/>
        <w:numPr>
          <w:ilvl w:val="0"/>
          <w:numId w:val="2"/>
        </w:numPr>
        <w:spacing w:after="60"/>
      </w:pPr>
      <w:r>
        <w:rPr>
          <w:b/>
          <w:bCs/>
        </w:rPr>
        <w:t xml:space="preserve">supports(market) → bool: </w:t>
      </w:r>
      <w:r>
        <w:t xml:space="preserve">Returns True if the provider can service the given market (“US”, “CN”). Used by the ProviderRouter to select the correct backend.</w:t>
      </w:r>
    </w:p>
    <w:p>
      <w:pPr>
        <w:pStyle w:val="ListParagraph"/>
        <w:numPr>
          <w:ilvl w:val="0"/>
          <w:numId w:val="2"/>
        </w:numPr>
        <w:spacing w:after="60"/>
      </w:pPr>
      <w:r>
        <w:rPr>
          <w:b/>
          <w:bCs/>
        </w:rPr>
        <w:t xml:space="preserve">health_check() → ServiceHealth: </w:t>
      </w:r>
      <w:r>
        <w:t xml:space="preserve">Returns the provider’s current availability status for the System Bus Monitor.</w:t>
      </w:r>
    </w:p>
    <w:p>
      <w:pPr>
        <w:spacing w:after="60"/>
      </w:pPr>
    </w:p>
    <w:p>
      <w:pPr>
        <w:pStyle w:val="Heading3"/>
      </w:pPr>
      <w:r>
        <w:t xml:space="preserve">2.2.2 Data Quality Validation</w:t>
      </w:r>
    </w:p>
    <w:p>
      <w:pPr>
        <w:spacing w:after="120"/>
      </w:pPr>
      <w:r>
        <w:t xml:space="preserve">Every DataFrame returned by a provider must pass through a validation pipeline before reaching any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Check</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Rule</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on Failure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Schema Validation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6 required columns present; dtypes are float64 (prices) and int64 (volume)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Raise DataSchemaError; do not cache</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Completeness</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No gaps &gt; 3 trading days for any ticker (weekends/holidays excluded)</w:t>
            </w:r>
          </w:p>
        </w:tc>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Log WARNING; forward-fill gaps ≤3 days; reject if &gt;3 days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Price Sanity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close &gt; 0; high ≥ low; high ≥ open; high ≥ close; volume ≥ 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Drop rows violating constraints; log per-row violations</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Staleness</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Latest date in DataFrame ≥ previous trading day (accounting for market hours)</w:t>
            </w:r>
          </w:p>
        </w:tc>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Return data but flag as “stale” in metadata; System Bus emits WARN alert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Split/Dividend Adjustment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adj_close provided and ratio to close is consistent across lookback window</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If adj_close missing, attempt adjustment via yfinance; otherwise log WARNING</w:t>
            </w:r>
          </w:p>
        </w:tc>
      </w:tr>
    </w:tbl>
    <w:p>
      <w:pPr>
        <w:spacing w:after="100"/>
      </w:pPr>
    </w:p>
    <w:p>
      <w:pPr>
        <w:pStyle w:val="Heading3"/>
      </w:pPr>
      <w:r>
        <w:t xml:space="preserve">2.2.3 Feature Engineering Pipeline</w:t>
      </w:r>
    </w:p>
    <w:p>
      <w:pPr>
        <w:spacing w:after="120"/>
      </w:pPr>
      <w:r>
        <w:t xml:space="preserve">The feature module computes a standardized feature matrix from validated OHLCV data. Features are grouped into tiers:</w:t>
      </w:r>
    </w:p>
    <w:p>
      <w:pPr>
        <w:spacing w:after="60"/>
      </w:pPr>
    </w:p>
    <w:p>
      <w:pPr>
        <w:spacing w:after="120"/>
      </w:pPr>
      <w:r>
        <w:rPr>
          <w:b/>
          <w:bCs/>
        </w:rPr>
        <w:t xml:space="preserve">Tier 1 – Core Features (current implementation, must be preserved):</w:t>
      </w:r>
    </w:p>
    <w:p>
      <w:pPr>
        <w:pStyle w:val="ListParagraph"/>
        <w:numPr>
          <w:ilvl w:val="0"/>
          <w:numId w:val="2"/>
        </w:numPr>
        <w:spacing w:after="60"/>
      </w:pPr>
      <w:r>
        <w:t xml:space="preserve">log_return: ln(close_t / close_{t-1})</w:t>
      </w:r>
    </w:p>
    <w:p>
      <w:pPr>
        <w:pStyle w:val="ListParagraph"/>
        <w:numPr>
          <w:ilvl w:val="0"/>
          <w:numId w:val="2"/>
        </w:numPr>
        <w:spacing w:after="60"/>
      </w:pPr>
      <w:r>
        <w:t xml:space="preserve">volatility_20d: rolling 20-day standard deviation of log_return</w:t>
      </w:r>
    </w:p>
    <w:p>
      <w:pPr>
        <w:pStyle w:val="ListParagraph"/>
        <w:numPr>
          <w:ilvl w:val="0"/>
          <w:numId w:val="2"/>
        </w:numPr>
        <w:spacing w:after="60"/>
      </w:pPr>
      <w:r>
        <w:t xml:space="preserve">rsi_14: Wilder’s RSI with 14-period lookback</w:t>
      </w:r>
    </w:p>
    <w:p>
      <w:pPr>
        <w:pStyle w:val="ListParagraph"/>
        <w:numPr>
          <w:ilvl w:val="0"/>
          <w:numId w:val="2"/>
        </w:numPr>
        <w:spacing w:after="60"/>
      </w:pPr>
      <w:r>
        <w:t xml:space="preserve">macd_norm: (EMA_12 - EMA_26) / close, normalized to price scale</w:t>
      </w:r>
    </w:p>
    <w:p>
      <w:pPr>
        <w:pStyle w:val="ListParagraph"/>
        <w:numPr>
          <w:ilvl w:val="0"/>
          <w:numId w:val="2"/>
        </w:numPr>
        <w:spacing w:after="60"/>
      </w:pPr>
      <w:r>
        <w:t xml:space="preserve">bollinger_pctb: (close - lower_band) / (upper_band - lower_band) using 20-day, 2σ bands</w:t>
      </w:r>
    </w:p>
    <w:p>
      <w:pPr>
        <w:spacing w:after="60"/>
      </w:pPr>
    </w:p>
    <w:p>
      <w:pPr>
        <w:spacing w:after="120"/>
      </w:pPr>
      <w:r>
        <w:rPr>
          <w:b/>
          <w:bCs/>
        </w:rPr>
        <w:t xml:space="preserve">Tier 2 – Extended Features (new, required for improved model accuracy):</w:t>
      </w:r>
    </w:p>
    <w:p>
      <w:pPr>
        <w:pStyle w:val="ListParagraph"/>
        <w:numPr>
          <w:ilvl w:val="0"/>
          <w:numId w:val="2"/>
        </w:numPr>
        <w:spacing w:after="60"/>
      </w:pPr>
      <w:r>
        <w:rPr>
          <w:b/>
          <w:bCs/>
        </w:rPr>
        <w:t xml:space="preserve">Volume Profile: </w:t>
      </w:r>
      <w:r>
        <w:t xml:space="preserve">vwap_deviation = (close - VWAP) / close; volume_zscore = (volume - mean_20d) / std_20d; obv_slope = OBV linear regression slope over 10 days.</w:t>
      </w:r>
    </w:p>
    <w:p>
      <w:pPr>
        <w:pStyle w:val="ListParagraph"/>
        <w:numPr>
          <w:ilvl w:val="0"/>
          <w:numId w:val="2"/>
        </w:numPr>
        <w:spacing w:after="60"/>
      </w:pPr>
      <w:r>
        <w:rPr>
          <w:b/>
          <w:bCs/>
        </w:rPr>
        <w:t xml:space="preserve">Microstructure Proxies: </w:t>
      </w:r>
      <w:r>
        <w:t xml:space="preserve">amihud_illiquidity = |log_return| / dollar_volume (Amihud 2002); roll_spread = 2 * sqrt(-cov(delta_close_t, delta_close_{t-1})) (Roll 1984).</w:t>
      </w:r>
    </w:p>
    <w:p>
      <w:pPr>
        <w:pStyle w:val="ListParagraph"/>
        <w:numPr>
          <w:ilvl w:val="0"/>
          <w:numId w:val="2"/>
        </w:numPr>
        <w:spacing w:after="60"/>
      </w:pPr>
      <w:r>
        <w:rPr>
          <w:b/>
          <w:bCs/>
        </w:rPr>
        <w:t xml:space="preserve">Cross-Asset Signals: </w:t>
      </w:r>
      <w:r>
        <w:t xml:space="preserve">sp500_beta = rolling 60-day OLS beta vs SPY returns; sector_momentum = 20-day return of corresponding GICS sector ETF.</w:t>
      </w:r>
    </w:p>
    <w:p>
      <w:pPr>
        <w:pStyle w:val="ListParagraph"/>
        <w:numPr>
          <w:ilvl w:val="0"/>
          <w:numId w:val="2"/>
        </w:numPr>
        <w:spacing w:after="60"/>
      </w:pPr>
      <w:r>
        <w:rPr>
          <w:b/>
          <w:bCs/>
        </w:rPr>
        <w:t xml:space="preserve">Calendar Features: </w:t>
      </w:r>
      <w:r>
        <w:t xml:space="preserve">day_of_week (0-4), month (1-12), is_month_end (bool), days_to_expiry (options expiry calendar).</w:t>
      </w:r>
    </w:p>
    <w:p>
      <w:pPr>
        <w:spacing w:after="60"/>
      </w:pPr>
    </w:p>
    <w:p>
      <w:pPr>
        <w:spacing w:after="120"/>
      </w:pPr>
      <w:r>
        <w:rPr>
          <w:b/>
          <w:bCs/>
        </w:rPr>
        <w:t xml:space="preserve">Tier 3 – Alternative Data Features (future, not in current scope but interface reserved):</w:t>
      </w:r>
    </w:p>
    <w:p>
      <w:pPr>
        <w:pStyle w:val="ListParagraph"/>
        <w:numPr>
          <w:ilvl w:val="0"/>
          <w:numId w:val="2"/>
        </w:numPr>
        <w:spacing w:after="60"/>
      </w:pPr>
      <w:r>
        <w:t xml:space="preserve">Sentiment scores from NLP on earnings call transcripts</w:t>
      </w:r>
    </w:p>
    <w:p>
      <w:pPr>
        <w:pStyle w:val="ListParagraph"/>
        <w:numPr>
          <w:ilvl w:val="0"/>
          <w:numId w:val="2"/>
        </w:numPr>
        <w:spacing w:after="60"/>
      </w:pPr>
      <w:r>
        <w:t xml:space="preserve">Short interest ratio from FINRA data</w:t>
      </w:r>
    </w:p>
    <w:p>
      <w:pPr>
        <w:pStyle w:val="ListParagraph"/>
        <w:numPr>
          <w:ilvl w:val="0"/>
          <w:numId w:val="2"/>
        </w:numPr>
        <w:spacing w:after="60"/>
      </w:pPr>
      <w:r>
        <w:t xml:space="preserve">Insider trading signals from SEC Form 4 filings</w:t>
      </w:r>
    </w:p>
    <w:p>
      <w:pPr>
        <w:spacing w:after="60"/>
      </w:pPr>
    </w:p>
    <w:p>
      <w:pPr>
        <w:pStyle w:val="Heading3"/>
      </w:pPr>
      <w:r>
        <w:t xml:space="preserve">2.2.4 Caching Architecture</w:t>
      </w:r>
    </w:p>
    <w:p>
      <w:pPr>
        <w:spacing w:after="120"/>
      </w:pPr>
      <w:r>
        <w:t xml:space="preserve">The caching layer must implement a two-tier strategy:</w:t>
      </w:r>
    </w:p>
    <w:p>
      <w:pPr>
        <w:pStyle w:val="ListParagraph"/>
        <w:numPr>
          <w:ilvl w:val="0"/>
          <w:numId w:val="2"/>
        </w:numPr>
        <w:spacing w:after="60"/>
      </w:pPr>
      <w:r>
        <w:rPr>
          <w:b/>
          <w:bCs/>
        </w:rPr>
        <w:t xml:space="preserve">L1 – In-Memory TTL Cache: </w:t>
      </w:r>
      <w:r>
        <w:t xml:space="preserve">LRU dictionary with configurable TTL (default 300s for API responses). Keyed by (ticker, date_range_hash). Maximum 500 entries. Used for repeated /api/market requests within the same session.</w:t>
      </w:r>
    </w:p>
    <w:p>
      <w:pPr>
        <w:pStyle w:val="ListParagraph"/>
        <w:numPr>
          <w:ilvl w:val="0"/>
          <w:numId w:val="2"/>
        </w:numPr>
        <w:spacing w:after="60"/>
      </w:pPr>
      <w:r>
        <w:rPr>
          <w:b/>
          <w:bCs/>
        </w:rPr>
        <w:t xml:space="preserve">L2 – Parquet Disk Cache: </w:t>
      </w:r>
      <w:r>
        <w:t xml:space="preserve">Per-ticker Parquet files in data/parquet/. Max age configurable (default 24h). On cache hit, validate that requested date range is fully covered; on partial hit, fetch only the missing date range and merge. Supports concurrent reads (Parquet is immutable-write).</w:t>
      </w:r>
    </w:p>
    <w:p>
      <w:pPr>
        <w:spacing w:after="60"/>
      </w:pPr>
    </w:p>
    <w:p>
      <w:pPr>
        <w:pStyle w:val="Heading2"/>
      </w:pPr>
      <w:r>
        <w:t xml:space="preserve">2.3 Data Contract</w:t>
      </w:r>
    </w:p>
    <w:p>
      <w:pPr>
        <w:spacing w:after="120"/>
      </w:pPr>
      <w:r>
        <w:t xml:space="preserve">The /api/market endpoint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560"/>
        <w:gridCol w:w="3400"/>
      </w:tblGrid>
      <w:tr>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tickers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List[str]</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Active ticker symbols in the universe</w:t>
            </w:r>
          </w:p>
        </w:tc>
      </w:tr>
      <w:tr>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ohlcv</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Dict[str, List[OHLCVRecord]]</w:t>
            </w:r>
          </w:p>
        </w:tc>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Per-ticker OHLCV records (last N trading days)</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ohlcv.*.date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ISO 8601 date</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Trading date (market close)</w:t>
            </w:r>
          </w:p>
        </w:tc>
      </w:tr>
      <w:tr>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ohlcv.*.open/high/low/close</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Prices in USD, split-adjusted</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ohlcv.*.volume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Trading volume in shares</w:t>
            </w:r>
          </w:p>
        </w:tc>
      </w:tr>
      <w:tr>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features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Dict[str, List[FeatureRecord]]</w:t>
            </w:r>
          </w:p>
        </w:tc>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Per-ticker computed features (last N days)</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features.*.log_return ... bollinger_pctb</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Tier 1 feature values</w:t>
            </w:r>
          </w:p>
        </w:tc>
      </w:tr>
      <w:tr>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features.*.vwap_deviation ... sector_momentum</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 | null</w:t>
            </w:r>
          </w:p>
        </w:tc>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Tier 2 features (null if unavailable)</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data_quality</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DataQualityReport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Validation summary per ticker</w:t>
            </w:r>
          </w:p>
        </w:tc>
      </w:tr>
      <w:tr>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data_quality.*.completeness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Fraction of expected trading days present (0-1)</w:t>
            </w:r>
          </w:p>
        </w:tc>
      </w:tr>
      <w:tr>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data_quality.*.staleness_hours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float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Hours since most recent data point</w:t>
            </w:r>
          </w:p>
        </w:tc>
      </w:tr>
    </w:tbl>
    <w:p>
      <w:pPr>
        <w:spacing w:after="100"/>
      </w:pPr>
    </w:p>
    <w:p>
      <w:pPr>
        <w:pStyle w:val="Heading2"/>
      </w:pPr>
      <w:r>
        <w:t xml:space="preserve">2.4 UI Specification</w:t>
      </w:r>
    </w:p>
    <w:p>
      <w:pPr>
        <w:spacing w:after="120"/>
      </w:pPr>
      <w:r>
        <w:t xml:space="preserve">The Market Feed &amp; Features tab presents three panels:</w:t>
      </w:r>
    </w:p>
    <w:p>
      <w:pPr>
        <w:pStyle w:val="ListParagraph"/>
        <w:numPr>
          <w:ilvl w:val="0"/>
          <w:numId w:val="2"/>
        </w:numPr>
        <w:spacing w:after="60"/>
      </w:pPr>
      <w:r>
        <w:rPr>
          <w:b/>
          <w:bCs/>
        </w:rPr>
        <w:t xml:space="preserve">OHLCV Price Chart (main area, 60% width): </w:t>
      </w:r>
      <w:r>
        <w:t xml:space="preserve">Interactive candlestick chart for the selected ticker. X-axis: trading dates, aligned to market calendar (no gaps for weekends). Y-axis: price in USD. Volume bars displayed as secondary Y-axis below the candles. Supports zoom (mouse wheel), pan (click-drag), and crosshair cursor showing exact OHLCV + volume at the hovered date. Time range selector: 1M / 3M / 6M / 1Y / 3Y / MAX buttons. Default to 3M. Library: Lightweight Charts (TradingView open-source) or Recharts with custom candlestick renderer.</w:t>
      </w:r>
    </w:p>
    <w:p>
      <w:pPr>
        <w:pStyle w:val="ListParagraph"/>
        <w:numPr>
          <w:ilvl w:val="0"/>
          <w:numId w:val="2"/>
        </w:numPr>
        <w:spacing w:after="60"/>
      </w:pPr>
      <w:r>
        <w:rPr>
          <w:b/>
          <w:bCs/>
        </w:rPr>
        <w:t xml:space="preserve">Feature Heatmap (right panel, 40% width): </w:t>
      </w:r>
      <w:r>
        <w:t xml:space="preserve">Matrix visualization with tickers as rows and features as columns. Cell color: diverging color scale (red → white → green) representing z-scored feature values. Hover shows exact value. Sortable by any column. Highlights extreme values (|z| &gt; 2) with bold border.</w:t>
      </w:r>
    </w:p>
    <w:p>
      <w:pPr>
        <w:pStyle w:val="ListParagraph"/>
        <w:numPr>
          <w:ilvl w:val="0"/>
          <w:numId w:val="2"/>
        </w:numPr>
        <w:spacing w:after="60"/>
      </w:pPr>
      <w:r>
        <w:rPr>
          <w:b/>
          <w:bCs/>
        </w:rPr>
        <w:t xml:space="preserve">Data Quality Badges (below chart): </w:t>
      </w:r>
      <w:r>
        <w:t xml:space="preserve">Per-ticker row showing: completeness bar (green if &gt;99%, yellow if &gt;95%, red if &lt;95%), staleness indicator (“fresh” / “2h stale” / “STALE” in red), provider source badge (“yfinance” / “AKShare” / “Cache”).</w:t>
      </w:r>
    </w:p>
    <w:p>
      <w:pPr>
        <w:spacing w:after="60"/>
      </w:pPr>
    </w:p>
    <w:p>
      <w:pPr>
        <w:pStyle w:val="Heading2"/>
      </w:pPr>
      <w:r>
        <w:t xml:space="preserve">2.5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AC-2.1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Fetching 3 years of daily data for 3 tickers (NVDA, AAPL, TSLA) completes in &lt;6s from yfinance (cold) and &lt;500ms from Parquet cache (warm). Measured via pytest benchmark.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Performance</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AC-2.2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Data quality validation catches: (a) a DataFrame with missing “close” column raises DataSchemaError, (b) a 5-day gap in AAPL data triggers a WARNING log and the gap is forward-filled, (c) a row with close=-1 is dropped and logged.</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Validation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AC-2.3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Tier 1 features produce identical values (within floating point tolerance of 1e-8) to the reference implementation in the existing compute_features() function. Verified by diff test against snapshot.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Regression</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AC-2.4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Tier 2 features: vwap_deviation has correlation &gt; 0.3 with next-day returns across S&amp;P 500 top-50 (2022-2024 backtest window); amihud_illiquidity rank-sorts correctly with small-cap stocks showing higher illiquidity. Statistical tests documented.</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Signal Quality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AC-2.5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Candlestick chart renders 3M of daily candles for NVDA with correct OHLC colors (green for close&gt;open, red for close&lt;open), volume bars underneath, and crosshair showing all 5 values. Zoom to 1-week range shows individual candles clearly without overlap.</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AC-2.6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Feature heatmap correctly z-scores all values cross-sectionally (across tickers for each feature). Sorting by RSI column reorders tickers from lowest to highest RSI. Extreme values (|z|&gt;2) display with bold cell borders.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AC-2.7</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When yfinance is unreachable (simulated by blocking the domain in /etc/hosts), the system gracefully falls back to AKShare for supported tickers and returns cached data for US tickers, with a “degraded” status in the data quality report.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Resilience</w:t>
            </w:r>
          </w:p>
        </w:tc>
      </w:tr>
    </w:tbl>
    <w:p>
      <w:r>
        <w:br w:type="page"/>
      </w:r>
    </w:p>
    <w:p>
      <w:pPr>
        <w:pStyle w:val="Heading1"/>
      </w:pPr>
      <w:bookmarkStart w:name="bm_103" w:id="13"/>
      <w:r>
        <w:t xml:space="preserve">Module 3: Model Inference &amp; State</w:t>
      </w:r>
      <w:bookmarkEnd w:id="13"/>
    </w:p>
    <w:p>
      <w:pPr>
        <w:spacing w:after="80"/>
      </w:pPr>
    </w:p>
    <w:p>
      <w:pPr>
        <w:spacing w:after="120"/>
      </w:pPr>
      <w:r>
        <w:rPr>
          <w:b/>
          <w:bCs/>
        </w:rPr>
        <w:t xml:space="preserve">Purpose: </w:t>
      </w:r>
      <w:r>
        <w:t xml:space="preserve">Execute ML model inference to produce market regime classification (HMM), directional predictions (XGBoost, LSTM), and a fused consensus signal. This module is the “brain” of Alpha Core—it transforms features into actionable probabilistic views on each asset.</w:t>
      </w:r>
    </w:p>
    <w:p>
      <w:pPr>
        <w:spacing w:after="60"/>
      </w:pPr>
    </w:p>
    <w:p>
      <w:pPr>
        <w:spacing w:after="120"/>
      </w:pPr>
      <w:r>
        <w:rPr>
          <w:b/>
          <w:bCs/>
        </w:rPr>
        <w:t xml:space="preserve">Current State: </w:t>
      </w:r>
      <w:r>
        <w:t xml:space="preserve">This is the most developed module (~70% functional). HMM 4-state regime detection, GradientBoostingClassifier (as XGBoost proxy), MLPClassifier (as LSTM proxy), and weighted fusion are all operational. The primary gaps are: (1) no model performance monitoring, (2) no automated retraining triggers, (3) hardcoded fusion weights, (4) no confidence calibration.</w:t>
      </w:r>
    </w:p>
    <w:p>
      <w:pPr>
        <w:spacing w:after="60"/>
      </w:pPr>
    </w:p>
    <w:p>
      <w:pPr>
        <w:pStyle w:val="Heading2"/>
      </w:pPr>
      <w:r>
        <w:t xml:space="preserve">3.1 Design Rationale</w:t>
      </w:r>
    </w:p>
    <w:p>
      <w:pPr>
        <w:spacing w:after="120"/>
      </w:pPr>
      <w:r>
        <w:t xml:space="preserve">The current architecture makes a deliberate trade-off: sklearn classifiers instead of full XGBoost/PyTorch, prioritizing simplicity and CPU-only deployment. With v1.1’s shift to cloud LLM APIs (no local GPU required), this trade-off is even more justified—the server runs entirely on CPU, keeping infrastructure costs minimal. This must be revisited as the universe expands beyond 50 stocks, at which point XGBoost (xgboost library) should replace GradientBoostingClassifier.</w:t>
      </w:r>
    </w:p>
    <w:p>
      <w:pPr>
        <w:spacing w:after="120"/>
      </w:pPr>
      <w:r>
        <w:t xml:space="preserve">The fusion mechanism (XGBoost 45%, LSTM 35%, HMM 20%) is a static weighted average. Research from Bao et al. (2017, “Deep learning for financial time series”) and Sezer et al. (2020, “Financial time series forecasting with deep learning: A systematic literature review”) suggests that regime-aware dynamic weighting significantly outperforms static fusion. The roadmap includes a meta-learner that adjusts fusion weights based on recent regime and per-model rolling accuracy.</w:t>
      </w:r>
    </w:p>
    <w:p>
      <w:pPr>
        <w:spacing w:after="60"/>
      </w:pPr>
    </w:p>
    <w:p>
      <w:pPr>
        <w:pStyle w:val="Heading2"/>
      </w:pPr>
      <w:r>
        <w:t xml:space="preserve">3.2 Functional Requirements</w:t>
      </w:r>
    </w:p>
    <w:p>
      <w:pPr>
        <w:spacing w:after="60"/>
      </w:pPr>
    </w:p>
    <w:p>
      <w:pPr>
        <w:pStyle w:val="Heading3"/>
      </w:pPr>
      <w:r>
        <w:t xml:space="preserve">3.2.1 HMM Regime Detection</w:t>
      </w:r>
    </w:p>
    <w:p>
      <w:pPr>
        <w:spacing w:after="120"/>
      </w:pPr>
      <w:r>
        <w:t xml:space="preserve">The 4-state Gaussian HMM classifies the market into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660"/>
        <w:gridCol w:w="22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Regime</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Characteristics</w:t>
            </w:r>
          </w:p>
        </w:tc>
        <w:tc>
          <w:tcPr>
            <w:tcW w:type="dxa" w:w="2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Trading Implication</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Assignment Heuristic</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Trend (趋势)</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High return, low volatility</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Trend-following strategies favored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3rd quartile by mean return</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Oscillation (震荡)</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Low return, low volatility</w:t>
            </w:r>
          </w:p>
        </w:tc>
        <w:tc>
          <w:tcPr>
            <w:tcW w:type="dxa" w:w="26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Mean-reversion, range-bound strategies</w:t>
            </w:r>
          </w:p>
        </w:tc>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2nd quartile by mean return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Arbitrage (套利)</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Highest return, mixed volatility</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Momentum capture, pairs trading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4th quartile by mean return</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Crash (暴跌)</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Negative return, high volatility</w:t>
            </w:r>
          </w:p>
        </w:tc>
        <w:tc>
          <w:tcPr>
            <w:tcW w:type="dxa" w:w="26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Defensive, reduce exposure</w:t>
            </w:r>
          </w:p>
        </w:tc>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1st quartile by mean return</w:t>
            </w:r>
          </w:p>
        </w:tc>
      </w:tr>
    </w:tbl>
    <w:p>
      <w:pPr>
        <w:spacing w:after="60"/>
      </w:pPr>
    </w:p>
    <w:p>
      <w:pPr>
        <w:spacing w:after="120"/>
      </w:pPr>
      <w:r>
        <w:rPr>
          <w:b/>
          <w:bCs/>
        </w:rPr>
        <w:t xml:space="preserve">Enhancement Required: </w:t>
      </w:r>
      <w:r>
        <w:t xml:space="preserve">The current HMM label assignment is a simple sort-by-mean heuristic. This must be improved to use a 2D clustering approach that considers both the return mean and the volatility mean of each hidden state, producing more stable and interpretable regime assignments across retraining cycles.</w:t>
      </w:r>
    </w:p>
    <w:p>
      <w:pPr>
        <w:spacing w:after="60"/>
      </w:pPr>
    </w:p>
    <w:p>
      <w:pPr>
        <w:pStyle w:val="Heading3"/>
      </w:pPr>
      <w:r>
        <w:t xml:space="preserve">3.2.2 Direction Prediction Models</w:t>
      </w:r>
    </w:p>
    <w:p>
      <w:pPr>
        <w:spacing w:after="120"/>
      </w:pPr>
      <w:r>
        <w:t xml:space="preserve">Each directional model must satisfy:</w:t>
      </w:r>
    </w:p>
    <w:p>
      <w:pPr>
        <w:pStyle w:val="ListParagraph"/>
        <w:numPr>
          <w:ilvl w:val="0"/>
          <w:numId w:val="2"/>
        </w:numPr>
        <w:spacing w:after="60"/>
      </w:pPr>
      <w:r>
        <w:rPr>
          <w:b/>
          <w:bCs/>
        </w:rPr>
        <w:t xml:space="preserve">Input: </w:t>
      </w:r>
      <w:r>
        <w:t xml:space="preserve">Feature matrix from Module 2 (Tier 1 + Tier 2 features), with NaN lookback rows dropped. Shape: (T, F) where T = trading days, F = number of features.</w:t>
      </w:r>
    </w:p>
    <w:p>
      <w:pPr>
        <w:pStyle w:val="ListParagraph"/>
        <w:numPr>
          <w:ilvl w:val="0"/>
          <w:numId w:val="2"/>
        </w:numPr>
        <w:spacing w:after="60"/>
      </w:pPr>
      <w:r>
        <w:rPr>
          <w:b/>
          <w:bCs/>
        </w:rPr>
        <w:t xml:space="preserve">Output: </w:t>
      </w:r>
      <w:r>
        <w:t xml:space="preserve">DirectionPrediction(ticker, bull_prob, bear_prob, direction) where bull_prob + bear_prob = 1.0 and direction = “Bullish” if bull_prob &gt; 0.5 else “Bearish”.</w:t>
      </w:r>
    </w:p>
    <w:p>
      <w:pPr>
        <w:pStyle w:val="ListParagraph"/>
        <w:numPr>
          <w:ilvl w:val="0"/>
          <w:numId w:val="2"/>
        </w:numPr>
        <w:spacing w:after="60"/>
      </w:pPr>
      <w:r>
        <w:rPr>
          <w:b/>
          <w:bCs/>
        </w:rPr>
        <w:t xml:space="preserve">Training Protocol: </w:t>
      </w:r>
      <w:r>
        <w:t xml:space="preserve">80/20 temporal split (no shuffle). Training data: first 80% of rows. Test data: last 20%. No future data leakage. Cross-validation via expanding-window walk-forward (5 folds minimum).</w:t>
      </w:r>
    </w:p>
    <w:p>
      <w:pPr>
        <w:pStyle w:val="ListParagraph"/>
        <w:numPr>
          <w:ilvl w:val="0"/>
          <w:numId w:val="2"/>
        </w:numPr>
        <w:spacing w:after="60"/>
      </w:pPr>
      <w:r>
        <w:rPr>
          <w:b/>
          <w:bCs/>
        </w:rPr>
        <w:t xml:space="preserve">Performance Baseline: </w:t>
      </w:r>
      <w:r>
        <w:t xml:space="preserve">Each model must achieve &gt;52% accuracy on the held-out test set (statistically significant above random at p&lt;0.05 via binomial test). Models below this threshold should log a WARNING and flag as “low confidence” in the inference response.</w:t>
      </w:r>
    </w:p>
    <w:p>
      <w:pPr>
        <w:spacing w:after="60"/>
      </w:pPr>
    </w:p>
    <w:p>
      <w:pPr>
        <w:pStyle w:val="Heading3"/>
      </w:pPr>
      <w:r>
        <w:t xml:space="preserve">3.2.3 Model Fusion Engine</w:t>
      </w:r>
    </w:p>
    <w:p>
      <w:pPr>
        <w:spacing w:after="120"/>
      </w:pPr>
      <w:r>
        <w:t xml:space="preserve">The fusion engine combines sub-model predictions into a single consensus signal:</w:t>
      </w:r>
    </w:p>
    <w:p>
      <w:pPr>
        <w:pStyle w:val="ListParagraph"/>
        <w:numPr>
          <w:ilvl w:val="0"/>
          <w:numId w:val="2"/>
        </w:numPr>
        <w:spacing w:after="60"/>
      </w:pPr>
      <w:r>
        <w:rPr>
          <w:b/>
          <w:bCs/>
        </w:rPr>
        <w:t xml:space="preserve">Phase 1 (Current): </w:t>
      </w:r>
      <w:r>
        <w:t xml:space="preserve">Static weighted average. Weights: XGBoost 0.45, LSTM 0.35, HMM 0.20. HMM contributes via a regime-derived bull_bias (Arbitrage/Trend → higher bias, Crash → lower bias).</w:t>
      </w:r>
    </w:p>
    <w:p>
      <w:pPr>
        <w:pStyle w:val="ListParagraph"/>
        <w:numPr>
          <w:ilvl w:val="0"/>
          <w:numId w:val="2"/>
        </w:numPr>
        <w:spacing w:after="60"/>
      </w:pPr>
      <w:r>
        <w:rPr>
          <w:b/>
          <w:bCs/>
        </w:rPr>
        <w:t xml:space="preserve">Phase 2 (Target): </w:t>
      </w:r>
      <w:r>
        <w:t xml:space="preserve">Dynamic meta-learner. A lightweight LogisticRegression trained on rolling 60-day windows of (xgb_prob, lstm_prob, hmm_regime_onehot, volatility_20d) → actual_direction. Updated daily. Weights implicitly learned.</w:t>
      </w:r>
    </w:p>
    <w:p>
      <w:pPr>
        <w:pStyle w:val="ListParagraph"/>
        <w:numPr>
          <w:ilvl w:val="0"/>
          <w:numId w:val="2"/>
        </w:numPr>
        <w:spacing w:after="60"/>
      </w:pPr>
      <w:r>
        <w:rPr>
          <w:b/>
          <w:bCs/>
        </w:rPr>
        <w:t xml:space="preserve">Confidence Calibration: </w:t>
      </w:r>
      <w:r>
        <w:t xml:space="preserve">Raw fusion probabilities must be calibrated using Platt scaling or isotonic regression so that “70% confidence” empirically means ~70% accuracy over a 100-prediction rolling window.</w:t>
      </w:r>
    </w:p>
    <w:p>
      <w:pPr>
        <w:spacing w:after="60"/>
      </w:pPr>
    </w:p>
    <w:p>
      <w:pPr>
        <w:pStyle w:val="Heading3"/>
      </w:pPr>
      <w:r>
        <w:t xml:space="preserve">3.2.4 Model Performance Monitoring</w:t>
      </w:r>
    </w:p>
    <w:p>
      <w:pPr>
        <w:spacing w:after="120"/>
      </w:pPr>
      <w:r>
        <w:t xml:space="preserve">The system must track and expose per-model performance over time:</w:t>
      </w:r>
    </w:p>
    <w:p>
      <w:pPr>
        <w:pStyle w:val="ListParagraph"/>
        <w:numPr>
          <w:ilvl w:val="0"/>
          <w:numId w:val="2"/>
        </w:numPr>
        <w:spacing w:after="60"/>
      </w:pPr>
      <w:r>
        <w:rPr>
          <w:b/>
          <w:bCs/>
        </w:rPr>
        <w:t xml:space="preserve">Rolling Accuracy: </w:t>
      </w:r>
      <w:r>
        <w:t xml:space="preserve">20-day and 60-day rolling accuracy (fraction of correct direction predictions). Displayed as sparkline in the Model Voting panel.</w:t>
      </w:r>
    </w:p>
    <w:p>
      <w:pPr>
        <w:pStyle w:val="ListParagraph"/>
        <w:numPr>
          <w:ilvl w:val="0"/>
          <w:numId w:val="2"/>
        </w:numPr>
        <w:spacing w:after="60"/>
      </w:pPr>
      <w:r>
        <w:rPr>
          <w:b/>
          <w:bCs/>
        </w:rPr>
        <w:t xml:space="preserve">Brier Score: </w:t>
      </w:r>
      <w:r>
        <w:t xml:space="preserve">Mean squared error between predicted probability and actual outcome. Lower is better. Target: &lt;0.25.</w:t>
      </w:r>
    </w:p>
    <w:p>
      <w:pPr>
        <w:pStyle w:val="ListParagraph"/>
        <w:numPr>
          <w:ilvl w:val="0"/>
          <w:numId w:val="2"/>
        </w:numPr>
        <w:spacing w:after="60"/>
      </w:pPr>
      <w:r>
        <w:rPr>
          <w:b/>
          <w:bCs/>
        </w:rPr>
        <w:t xml:space="preserve">Calibration Plot: </w:t>
      </w:r>
      <w:r>
        <w:t xml:space="preserve">Binned reliability diagram (10 bins from 0.0 to 1.0). X-axis: predicted probability. Y-axis: observed frequency. Perfect calibration = 45° line.</w:t>
      </w:r>
    </w:p>
    <w:p>
      <w:pPr>
        <w:pStyle w:val="ListParagraph"/>
        <w:numPr>
          <w:ilvl w:val="0"/>
          <w:numId w:val="2"/>
        </w:numPr>
        <w:spacing w:after="60"/>
      </w:pPr>
      <w:r>
        <w:rPr>
          <w:b/>
          <w:bCs/>
        </w:rPr>
        <w:t xml:space="preserve">Retraining Trigger: </w:t>
      </w:r>
      <w:r>
        <w:t xml:space="preserve">If rolling 20-day accuracy drops below 48% for any model, emit a WARN alert and schedule retraining. If below 45% for 5 consecutive days, auto-retrain with the latest data.</w:t>
      </w:r>
    </w:p>
    <w:p>
      <w:pPr>
        <w:spacing w:after="60"/>
      </w:pPr>
    </w:p>
    <w:p>
      <w:pPr>
        <w:pStyle w:val="Heading2"/>
      </w:pPr>
      <w:r>
        <w:t xml:space="preserve">3.3 UI Specification</w:t>
      </w:r>
    </w:p>
    <w:p>
      <w:pPr>
        <w:spacing w:after="120"/>
      </w:pPr>
      <w:r>
        <w:t xml:space="preserve">The Model Inference &amp; State tab (currently the most developed) should be enhanced:</w:t>
      </w:r>
    </w:p>
    <w:p>
      <w:pPr>
        <w:pStyle w:val="ListParagraph"/>
        <w:numPr>
          <w:ilvl w:val="0"/>
          <w:numId w:val="2"/>
        </w:numPr>
        <w:spacing w:after="60"/>
      </w:pPr>
      <w:r>
        <w:rPr>
          <w:b/>
          <w:bCs/>
        </w:rPr>
        <w:t xml:space="preserve">Market State Card (top-left): </w:t>
      </w:r>
      <w:r>
        <w:t xml:space="preserve">Current regime badge with transition probability. Regime probability bar (horizontal stacked bar showing all 4 regime probabilities). Historical regime timeline (horizontal bar chart showing regime over last 60 trading days, color-coded). Model score breakdown table (HMM, XGBoost, LSTM scores).</w:t>
      </w:r>
    </w:p>
    <w:p>
      <w:pPr>
        <w:pStyle w:val="ListParagraph"/>
        <w:numPr>
          <w:ilvl w:val="0"/>
          <w:numId w:val="2"/>
        </w:numPr>
        <w:spacing w:after="60"/>
      </w:pPr>
      <w:r>
        <w:rPr>
          <w:b/>
          <w:bCs/>
        </w:rPr>
        <w:t xml:space="preserve">Model Inference Results (top-right): </w:t>
      </w:r>
      <w:r>
        <w:t xml:space="preserve">Per-ticker directional prediction cards. Each card: ticker name, bull/bear probability bar (green/red horizontal bar), direction badge, and “model agreement” indicator (all models agree = solid, mixed = hatched). Consensus direction as large text with confidence percentage.</w:t>
      </w:r>
    </w:p>
    <w:p>
      <w:pPr>
        <w:pStyle w:val="ListParagraph"/>
        <w:numPr>
          <w:ilvl w:val="0"/>
          <w:numId w:val="2"/>
        </w:numPr>
        <w:spacing w:after="60"/>
      </w:pPr>
      <w:r>
        <w:rPr>
          <w:b/>
          <w:bCs/>
        </w:rPr>
        <w:t xml:space="preserve">Model Voting Panel (bottom-left): </w:t>
      </w:r>
      <w:r>
        <w:t xml:space="preserve">Table of sub-models with columns: Model Name, Score (0-100), Weight (%), Direction Vote, Rolling 20d Accuracy (sparkline). Fusion row at bottom showing aggregated result.</w:t>
      </w:r>
    </w:p>
    <w:p>
      <w:pPr>
        <w:pStyle w:val="ListParagraph"/>
        <w:numPr>
          <w:ilvl w:val="0"/>
          <w:numId w:val="2"/>
        </w:numPr>
        <w:spacing w:after="60"/>
      </w:pPr>
      <w:r>
        <w:rPr>
          <w:b/>
          <w:bCs/>
        </w:rPr>
        <w:t xml:space="preserve">Performance Monitor (bottom-right, NEW): </w:t>
      </w:r>
      <w:r>
        <w:t xml:space="preserve">Tabbed panel with: (a) Accuracy over Time: line chart with 20-day and 60-day rolling accuracy for each model, (b) Calibration Plot: reliability diagram updated daily, (c) Confusion Matrix: 2x2 matrix for each model over trailing 60 days.</w:t>
      </w:r>
    </w:p>
    <w:p>
      <w:pPr>
        <w:spacing w:after="60"/>
      </w:pPr>
    </w:p>
    <w:p>
      <w:pPr>
        <w:pStyle w:val="Heading2"/>
      </w:pPr>
      <w:r>
        <w:t xml:space="preserve">3.4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AC-3.1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HMM correctly identifies at least 3 of 4 regimes when tested on synthetic data with known regime transitions. Regime labels are stable across 5 consecutive retraining cycles on the same data (no label swapping).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Model Quality</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AC-3.2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XGBoost and LSTM both achieve &gt;52% directional accuracy on the 20% test split (2024-06 to 2024-12) for NVDA. Accuracy is measured as fraction of trading days where predicted direction matches actual next-5-day return sign.</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Model Quality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AC-3.3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Fusion engine produces predictions that are at least as accurate as the best individual model over any rolling 60-day window in the test period. Verified by paired t-test (p&lt;0.05) or at minimum non-inferior.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Fusion</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AC-3.4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Confidence calibration: after Platt scaling, the predicted probability bins (0.5-0.6, 0.6-0.7, 0.7-0.8, 0.8-0.9, 0.9-1.0) each have observed accuracy within ±10 percentage points of the bin center.</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Calibration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AC-3.5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Model performance monitoring correctly detects a simulated accuracy degradation (injecting 20 consecutive wrong predictions) and triggers: (a) WARN alert within 1 check cycle, (b) auto-retrain within 5 days if degradation persists.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Monitoring</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AC-3.6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The inference endpoint /api/inference returns valid JSON for all 3 dashboard tickers in &lt;3s (warm). Each ticker has complete xgboost, lstm, and consensus_direction fields. No null values except where explicitly documented as optional.</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AC-3.7</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 renders: regime timeline shows correct color coding, model voting table shows all 3 models with scores, calibration plot updates when new data is available. All interactive elements (hover tooltips, tab switching) respond within 100ms.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w:t>
            </w:r>
          </w:p>
        </w:tc>
      </w:tr>
    </w:tbl>
    <w:p>
      <w:r>
        <w:br w:type="page"/>
      </w:r>
    </w:p>
    <w:p>
      <w:pPr>
        <w:pStyle w:val="Heading1"/>
      </w:pPr>
      <w:bookmarkStart w:name="bm_104" w:id="14"/>
      <w:r>
        <w:t xml:space="preserve">Module 4: Alpha Strategy Lab</w:t>
      </w:r>
      <w:bookmarkEnd w:id="14"/>
    </w:p>
    <w:p>
      <w:pPr>
        <w:spacing w:after="80"/>
      </w:pPr>
    </w:p>
    <w:p>
      <w:pPr>
        <w:spacing w:after="120"/>
      </w:pPr>
      <w:r>
        <w:rPr>
          <w:b/>
          <w:bCs/>
        </w:rPr>
        <w:t xml:space="preserve">Purpose: </w:t>
      </w:r>
      <w:r>
        <w:t xml:space="preserve">Provide a complete environment for quantitative factor research: generating alpha hypotheses (via LLM or manual input), expressing them in a domain-specific language (DSL), backtesting them against historical data, evaluating their statistical significance, and persisting successful factors to a deduplicated registry. This is the “research engine” of Alpha Core.</w:t>
      </w:r>
    </w:p>
    <w:p>
      <w:pPr>
        <w:spacing w:after="60"/>
      </w:pPr>
    </w:p>
    <w:p>
      <w:pPr>
        <w:pStyle w:val="Heading2"/>
      </w:pPr>
      <w:r>
        <w:t xml:space="preserve">4.1 Design Rationale</w:t>
      </w:r>
    </w:p>
    <w:p>
      <w:pPr>
        <w:spacing w:after="120"/>
      </w:pPr>
      <w:r>
        <w:t xml:space="preserve">The factor research pipeline is inspired by the open-source Qlib framework (Microsoft, 2020) and the WorldQuant Alpha Research process. The core insight is that alpha generation is a search problem: the space of possible factor expressions is combinatorially large, and the researcher’s job is to efficiently explore this space using domain knowledge (hypotheses) and statistical validation (backtests).</w:t>
      </w:r>
    </w:p>
    <w:p>
      <w:pPr>
        <w:spacing w:after="120"/>
      </w:pPr>
      <w:r>
        <w:t xml:space="preserve">Alpha Core’s unique contribution is the LLM-in-the-loop: the HypothesisAgent generates research directions from natural language, the FactorAgent translates hypotheses into DSL expressions, and the EvalAgent decides whether to accept, reject, or refine. This 4-agent feedback loop (Hypothesis → Factor → Backtest → Eval) runs up to 3 iterations per query.</w:t>
      </w:r>
    </w:p>
    <w:p>
      <w:pPr>
        <w:spacing w:after="60"/>
      </w:pPr>
    </w:p>
    <w:p>
      <w:pPr>
        <w:pStyle w:val="Heading2"/>
      </w:pPr>
      <w:r>
        <w:t xml:space="preserve">4.2 Functional Requirements</w:t>
      </w:r>
    </w:p>
    <w:p>
      <w:pPr>
        <w:spacing w:after="60"/>
      </w:pPr>
    </w:p>
    <w:p>
      <w:pPr>
        <w:pStyle w:val="Heading3"/>
      </w:pPr>
      <w:r>
        <w:t xml:space="preserve">4.2.1 Factor DSL &amp; Parser</w:t>
      </w:r>
    </w:p>
    <w:p>
      <w:pPr>
        <w:spacing w:after="120"/>
      </w:pPr>
      <w:r>
        <w:t xml:space="preserve">The recursive descent parser supports Qlib-compatible expressions:</w:t>
      </w:r>
    </w:p>
    <w:p>
      <w:pPr>
        <w:pStyle w:val="ListParagraph"/>
        <w:numPr>
          <w:ilvl w:val="0"/>
          <w:numId w:val="2"/>
        </w:numPr>
        <w:spacing w:after="60"/>
      </w:pPr>
      <w:r>
        <w:rPr>
          <w:b/>
          <w:bCs/>
        </w:rPr>
        <w:t xml:space="preserve">Operators: </w:t>
      </w:r>
      <w:r>
        <w:t xml:space="preserve">Time-series (Ref, Mean, Sum, Std, Var, Max, Min, Delta, EMA, WMA, Corr, Cov, Skew, Kurt, Med, Slope, Count), Cross-sectional (Rank, Zscore), Elementwise (Abs, Sign, Log, If).</w:t>
      </w:r>
    </w:p>
    <w:p>
      <w:pPr>
        <w:pStyle w:val="ListParagraph"/>
        <w:numPr>
          <w:ilvl w:val="0"/>
          <w:numId w:val="2"/>
        </w:numPr>
        <w:spacing w:after="60"/>
      </w:pPr>
      <w:r>
        <w:rPr>
          <w:b/>
          <w:bCs/>
        </w:rPr>
        <w:t xml:space="preserve">Features: </w:t>
      </w:r>
      <w:r>
        <w:t xml:space="preserve">$open, $close, $high, $low, $volume, $amount. Dollar-prefix notation for unambiguous feature reference.</w:t>
      </w:r>
    </w:p>
    <w:p>
      <w:pPr>
        <w:pStyle w:val="ListParagraph"/>
        <w:numPr>
          <w:ilvl w:val="0"/>
          <w:numId w:val="2"/>
        </w:numPr>
        <w:spacing w:after="60"/>
      </w:pPr>
      <w:r>
        <w:rPr>
          <w:b/>
          <w:bCs/>
        </w:rPr>
        <w:t xml:space="preserve">Arithmetic: </w:t>
      </w:r>
      <w:r>
        <w:t xml:space="preserve">Full infix with correct precedence: comparison &lt; add/sub &lt; mul/div &lt; unary &lt; power &lt; atom. Parentheses for grouping.</w:t>
      </w:r>
    </w:p>
    <w:p>
      <w:pPr>
        <w:pStyle w:val="ListParagraph"/>
        <w:numPr>
          <w:ilvl w:val="0"/>
          <w:numId w:val="2"/>
        </w:numPr>
        <w:spacing w:after="60"/>
      </w:pPr>
      <w:r>
        <w:rPr>
          <w:b/>
          <w:bCs/>
        </w:rPr>
        <w:t xml:space="preserve">AST Regularization: </w:t>
      </w:r>
      <w:r>
        <w:t xml:space="preserve">Structural deduplication via tree-hash. Expressions like Rank(-Delta($close, 5)) and Rank(Delta($close, 5) * -1) should hash to the same canonical form.</w:t>
      </w:r>
    </w:p>
    <w:p>
      <w:pPr>
        <w:spacing w:after="60"/>
      </w:pPr>
    </w:p>
    <w:p>
      <w:pPr>
        <w:pStyle w:val="Heading3"/>
      </w:pPr>
      <w:r>
        <w:t xml:space="preserve">4.2.2 Backtesting Engine</w:t>
      </w:r>
    </w:p>
    <w:p>
      <w:pPr>
        <w:spacing w:after="120"/>
      </w:pPr>
      <w:r>
        <w:t xml:space="preserve">The backtest engine evaluates factor quality using the following protocol:</w:t>
      </w:r>
    </w:p>
    <w:p>
      <w:pPr>
        <w:pStyle w:val="ListParagraph"/>
        <w:numPr>
          <w:ilvl w:val="0"/>
          <w:numId w:val="2"/>
        </w:numPr>
        <w:spacing w:after="60"/>
      </w:pPr>
      <w:r>
        <w:rPr>
          <w:b/>
          <w:bCs/>
        </w:rPr>
        <w:t xml:space="preserve">Data Window: </w:t>
      </w:r>
      <w:r>
        <w:t xml:space="preserve">Default 2022-01-01 to 2024-12-31 (configurable). Training/test split: first 80% / last 20%. Factor computed on full window; metrics reported separately for in-sample and out-of-sample.</w:t>
      </w:r>
    </w:p>
    <w:p>
      <w:pPr>
        <w:pStyle w:val="ListParagraph"/>
        <w:numPr>
          <w:ilvl w:val="0"/>
          <w:numId w:val="2"/>
        </w:numPr>
        <w:spacing w:after="60"/>
      </w:pPr>
      <w:r>
        <w:rPr>
          <w:b/>
          <w:bCs/>
        </w:rPr>
        <w:t xml:space="preserve">Forward Returns: </w:t>
      </w:r>
      <w:r>
        <w:t xml:space="preserve">Multi-horizon: 1, 2, 3, 5, 10, 20 trading days. Cross-sectionally grouped by date. Used for IC computation.</w:t>
      </w:r>
    </w:p>
    <w:p>
      <w:pPr>
        <w:pStyle w:val="ListParagraph"/>
        <w:numPr>
          <w:ilvl w:val="0"/>
          <w:numId w:val="2"/>
        </w:numPr>
        <w:spacing w:after="60"/>
      </w:pPr>
      <w:r>
        <w:rPr>
          <w:b/>
          <w:bCs/>
        </w:rPr>
        <w:t xml:space="preserve">Information Coefficient (IC): </w:t>
      </w:r>
      <w:r>
        <w:t xml:space="preserve">Pearson correlation between factor values and forward returns, computed cross-sectionally per date, then averaged. IC mean, IC std, and ICIR (IC_mean / IC_std) reported.</w:t>
      </w:r>
    </w:p>
    <w:p>
      <w:pPr>
        <w:pStyle w:val="ListParagraph"/>
        <w:numPr>
          <w:ilvl w:val="0"/>
          <w:numId w:val="2"/>
        </w:numPr>
        <w:spacing w:after="60"/>
      </w:pPr>
      <w:r>
        <w:rPr>
          <w:b/>
          <w:bCs/>
        </w:rPr>
        <w:t xml:space="preserve">Rank IC: </w:t>
      </w:r>
      <w:r>
        <w:t xml:space="preserve">Spearman rank correlation variant. More robust to outliers than Pearson IC.</w:t>
      </w:r>
    </w:p>
    <w:p>
      <w:pPr>
        <w:pStyle w:val="ListParagraph"/>
        <w:numPr>
          <w:ilvl w:val="0"/>
          <w:numId w:val="2"/>
        </w:numPr>
        <w:spacing w:after="60"/>
      </w:pPr>
      <w:r>
        <w:rPr>
          <w:b/>
          <w:bCs/>
        </w:rPr>
        <w:t xml:space="preserve">Long-Short Portfolio: </w:t>
      </w:r>
      <w:r>
        <w:t xml:space="preserve">Equal-weighted quintile strategy: long top 20% by factor value, short bottom 20%. Daily rebalanced. Sharpe ratio (annualized, 252 days), cumulative return, max drawdown, and turnover computed.</w:t>
      </w:r>
    </w:p>
    <w:p>
      <w:pPr>
        <w:pStyle w:val="ListParagraph"/>
        <w:numPr>
          <w:ilvl w:val="0"/>
          <w:numId w:val="2"/>
        </w:numPr>
        <w:spacing w:after="60"/>
      </w:pPr>
      <w:r>
        <w:rPr>
          <w:b/>
          <w:bCs/>
        </w:rPr>
        <w:t xml:space="preserve">Alpha Decay: </w:t>
      </w:r>
      <w:r>
        <w:t xml:space="preserve">IC computed at each forward horizon (1d, 2d, ..., 20d). Plotted as decay curve. Factors with IC that decays to &lt;50% of 1d IC by day 5 are flagged as “short-lived”.</w:t>
      </w:r>
    </w:p>
    <w:p>
      <w:pPr>
        <w:spacing w:after="60"/>
      </w:pPr>
    </w:p>
    <w:p>
      <w:pPr>
        <w:pStyle w:val="Heading3"/>
      </w:pPr>
      <w:r>
        <w:t xml:space="preserve">4.2.3 Profit &amp; Loss (P&amp;L) Visualization</w:t>
      </w:r>
    </w:p>
    <w:p>
      <w:pPr>
        <w:spacing w:after="120"/>
      </w:pPr>
      <w:r>
        <w:t xml:space="preserve">The P&amp;L chart is the centerpiece of factor evaluation. Specifications:</w:t>
      </w:r>
    </w:p>
    <w:p>
      <w:pPr>
        <w:pStyle w:val="ListParagraph"/>
        <w:numPr>
          <w:ilvl w:val="0"/>
          <w:numId w:val="2"/>
        </w:numPr>
        <w:spacing w:after="60"/>
      </w:pPr>
      <w:r>
        <w:rPr>
          <w:b/>
          <w:bCs/>
        </w:rPr>
        <w:t xml:space="preserve">X-Axis: </w:t>
      </w:r>
      <w:r>
        <w:t xml:space="preserve">Trading date timeline, aligned to market calendar. Granularity: daily. No gaps for weekends/holidays (continuous line with implicit skip). Date range matches the backtest window (2022-01-01 to 2024-12-31).</w:t>
      </w:r>
    </w:p>
    <w:p>
      <w:pPr>
        <w:pStyle w:val="ListParagraph"/>
        <w:numPr>
          <w:ilvl w:val="0"/>
          <w:numId w:val="2"/>
        </w:numPr>
        <w:spacing w:after="60"/>
      </w:pPr>
      <w:r>
        <w:rPr>
          <w:b/>
          <w:bCs/>
        </w:rPr>
        <w:t xml:space="preserve">Y-Axis: </w:t>
      </w:r>
      <w:r>
        <w:t xml:space="preserve">Cumulative return in percentage (%), starting at 0% on day 1. Left Y-axis for strategy returns; right Y-axis optionally for drawdown if enabled.</w:t>
      </w:r>
    </w:p>
    <w:p>
      <w:pPr>
        <w:pStyle w:val="ListParagraph"/>
        <w:numPr>
          <w:ilvl w:val="0"/>
          <w:numId w:val="2"/>
        </w:numPr>
        <w:spacing w:after="60"/>
      </w:pPr>
      <w:r>
        <w:rPr>
          <w:b/>
          <w:bCs/>
        </w:rPr>
        <w:t xml:space="preserve">Strategy Line (green, #4ade80): </w:t>
      </w:r>
      <w:r>
        <w:t xml:space="preserve">Cumulative P&amp;L of the long-short quintile portfolio. Line width 2px. Fill area between line and 0% baseline with 10% opacity green.</w:t>
      </w:r>
    </w:p>
    <w:p>
      <w:pPr>
        <w:pStyle w:val="ListParagraph"/>
        <w:numPr>
          <w:ilvl w:val="0"/>
          <w:numId w:val="2"/>
        </w:numPr>
        <w:spacing w:after="60"/>
      </w:pPr>
      <w:r>
        <w:rPr>
          <w:b/>
          <w:bCs/>
        </w:rPr>
        <w:t xml:space="preserve">Benchmark Line (red, #ef4444): </w:t>
      </w:r>
      <w:r>
        <w:t xml:space="preserve">Cumulative return of S&amp;P 500 (SPY) over the same period. Real data fetched from yfinance, NOT synthetic. Line width 1.5px, dashed style.</w:t>
      </w:r>
    </w:p>
    <w:p>
      <w:pPr>
        <w:pStyle w:val="ListParagraph"/>
        <w:numPr>
          <w:ilvl w:val="0"/>
          <w:numId w:val="2"/>
        </w:numPr>
        <w:spacing w:after="60"/>
      </w:pPr>
      <w:r>
        <w:rPr>
          <w:b/>
          <w:bCs/>
        </w:rPr>
        <w:t xml:space="preserve">Drawdown Overlay (optional toggle): </w:t>
      </w:r>
      <w:r>
        <w:t xml:space="preserve">Filled area chart below 0% showing underwater equity curve. Color: red with 15% opacity. Only visible when “Show Drawdown” toggle is enabled.</w:t>
      </w:r>
    </w:p>
    <w:p>
      <w:pPr>
        <w:pStyle w:val="ListParagraph"/>
        <w:numPr>
          <w:ilvl w:val="0"/>
          <w:numId w:val="2"/>
        </w:numPr>
        <w:spacing w:after="60"/>
      </w:pPr>
      <w:r>
        <w:rPr>
          <w:b/>
          <w:bCs/>
        </w:rPr>
        <w:t xml:space="preserve">Crosshair Interaction: </w:t>
      </w:r>
      <w:r>
        <w:t xml:space="preserve">As the mouse moves horizontally across the chart, a vertical line follows the cursor. At each hovered date, a tooltip displays: (1) Date, (2) Strategy cumulative return %, (3) Benchmark cumulative return %, (4) Excess return (strategy - benchmark), (5) Current drawdown %. Tooltip follows cursor smoothly with no lag.</w:t>
      </w:r>
    </w:p>
    <w:p>
      <w:pPr>
        <w:pStyle w:val="ListParagraph"/>
        <w:numPr>
          <w:ilvl w:val="0"/>
          <w:numId w:val="2"/>
        </w:numPr>
        <w:spacing w:after="60"/>
      </w:pPr>
      <w:r>
        <w:rPr>
          <w:b/>
          <w:bCs/>
        </w:rPr>
        <w:t xml:space="preserve">Key Metrics Overlay: </w:t>
      </w:r>
      <w:r>
        <w:t xml:space="preserve">Top-right corner of chart area: Sharpe Ratio, Max Drawdown, Annual Return, IC Mean, ICIR—each as a compact badge.</w:t>
      </w:r>
    </w:p>
    <w:p>
      <w:pPr>
        <w:spacing w:after="60"/>
      </w:pPr>
    </w:p>
    <w:p>
      <w:pPr>
        <w:pStyle w:val="Heading3"/>
      </w:pPr>
      <w:r>
        <w:t xml:space="preserve">4.2.4 LLM-Powered Research Loop</w:t>
      </w:r>
    </w:p>
    <w:p>
      <w:pPr>
        <w:spacing w:after="120"/>
      </w:pPr>
      <w:r>
        <w:t xml:space="preserve">The 4-agent pipeline operates as follows:</w:t>
      </w:r>
    </w:p>
    <w:p>
      <w:pPr>
        <w:pStyle w:val="ListParagraph"/>
        <w:numPr>
          <w:ilvl w:val="0"/>
          <w:numId w:val="3"/>
        </w:numPr>
        <w:spacing w:after="60"/>
      </w:pPr>
      <w:r>
        <w:rPr>
          <w:b/>
          <w:bCs/>
        </w:rPr>
        <w:t xml:space="preserve">HypothesisAgent: </w:t>
      </w:r>
      <w:r>
        <w:t xml:space="preserve">Receives natural language research query (e.g., “find short-term reversal factors”). Generates 3-5 structured hypotheses, each with: name, description, expected mechanism, relevant features. Uses LLM via LLMClientFactory (primary: Claude Sonnet 4, fallback: GPT-4.1-mini).</w:t>
      </w:r>
    </w:p>
    <w:p>
      <w:pPr>
        <w:pStyle w:val="ListParagraph"/>
        <w:numPr>
          <w:ilvl w:val="0"/>
          <w:numId w:val="3"/>
        </w:numPr>
        <w:spacing w:after="60"/>
      </w:pPr>
      <w:r>
        <w:rPr>
          <w:b/>
          <w:bCs/>
        </w:rPr>
        <w:t xml:space="preserve">FactorAgent: </w:t>
      </w:r>
      <w:r>
        <w:t xml:space="preserve">Takes hypotheses and generates 1-3 DSL expressions per hypothesis. Validates each expression parses correctly. Includes rationale mapping expression to hypothesis mechanism.</w:t>
      </w:r>
    </w:p>
    <w:p>
      <w:pPr>
        <w:pStyle w:val="ListParagraph"/>
        <w:numPr>
          <w:ilvl w:val="0"/>
          <w:numId w:val="3"/>
        </w:numPr>
        <w:spacing w:after="60"/>
      </w:pPr>
      <w:r>
        <w:rPr>
          <w:b/>
          <w:bCs/>
        </w:rPr>
        <w:t xml:space="preserve">BacktestAgent: </w:t>
      </w:r>
      <w:r>
        <w:t xml:space="preserve">Evaluates each factor expression against the backtest engine. Collects all metrics (IC, ICIR, Sharpe, drawdown, turnover, alpha decay).</w:t>
      </w:r>
    </w:p>
    <w:p>
      <w:pPr>
        <w:pStyle w:val="ListParagraph"/>
        <w:numPr>
          <w:ilvl w:val="0"/>
          <w:numId w:val="3"/>
        </w:numPr>
        <w:spacing w:after="60"/>
      </w:pPr>
      <w:r>
        <w:rPr>
          <w:b/>
          <w:bCs/>
        </w:rPr>
        <w:t xml:space="preserve">EvalAgent: </w:t>
      </w:r>
      <w:r>
        <w:t xml:space="preserve">Reviews backtest results. Decision: ACCEPT (IC &gt; 0.03, ICIR &gt; 0.5, Sharpe &gt; 0.5), REJECT (IC &lt; 0.01 or Sharpe &lt; 0), or REFINE (promising but needs iteration). On REFINE, provides specific feedback to FactorAgent for next iteration.</w:t>
      </w:r>
    </w:p>
    <w:p>
      <w:pPr>
        <w:spacing w:after="60"/>
      </w:pPr>
    </w:p>
    <w:p>
      <w:pPr>
        <w:pStyle w:val="Heading2"/>
      </w:pPr>
      <w:r>
        <w:t xml:space="preserve">4.3 UI Specification</w:t>
      </w:r>
    </w:p>
    <w:p>
      <w:pPr>
        <w:spacing w:after="120"/>
      </w:pPr>
      <w:r>
        <w:t xml:space="preserve">The Alpha Strategy Lab tab is organized as a research workbench:</w:t>
      </w:r>
    </w:p>
    <w:p>
      <w:pPr>
        <w:pStyle w:val="ListParagraph"/>
        <w:numPr>
          <w:ilvl w:val="0"/>
          <w:numId w:val="2"/>
        </w:numPr>
        <w:spacing w:after="60"/>
      </w:pPr>
      <w:r>
        <w:rPr>
          <w:b/>
          <w:bCs/>
        </w:rPr>
        <w:t xml:space="preserve">Research Input (top): </w:t>
      </w:r>
      <w:r>
        <w:t xml:space="preserve">Text input field for natural language queries + “Run Research” button. Below: DSL expression editor (Monaco-style code editor with syntax highlighting for the factor DSL) + “Backtest” button for manual factor entry. Pipeline progress indicator showing current stage (Hypothesis → Factor → Backtest → Eval) with animation.</w:t>
      </w:r>
    </w:p>
    <w:p>
      <w:pPr>
        <w:pStyle w:val="ListParagraph"/>
        <w:numPr>
          <w:ilvl w:val="0"/>
          <w:numId w:val="2"/>
        </w:numPr>
        <w:spacing w:after="60"/>
      </w:pPr>
      <w:r>
        <w:rPr>
          <w:b/>
          <w:bCs/>
        </w:rPr>
        <w:t xml:space="preserve">P&amp;L Chart (center): </w:t>
      </w:r>
      <w:r>
        <w:t xml:space="preserve">As specified in 4.2.3. Takes full width. Below chart: horizontal tabs for different factor candidates generated in the current research session.</w:t>
      </w:r>
    </w:p>
    <w:p>
      <w:pPr>
        <w:pStyle w:val="ListParagraph"/>
        <w:numPr>
          <w:ilvl w:val="0"/>
          <w:numId w:val="2"/>
        </w:numPr>
        <w:spacing w:after="60"/>
      </w:pPr>
      <w:r>
        <w:rPr>
          <w:b/>
          <w:bCs/>
        </w:rPr>
        <w:t xml:space="preserve">Metrics Dashboard (right panel): </w:t>
      </w:r>
      <w:r>
        <w:t xml:space="preserve">All backtest metrics in a structured card layout: IC metrics (IC Mean, Rank IC Mean, ICIR), Portfolio metrics (Sharpe, Annual Return, Max Drawdown, Turnover), Alpha Decay mini-chart (10-bar chart showing IC at each forward horizon).</w:t>
      </w:r>
    </w:p>
    <w:p>
      <w:pPr>
        <w:pStyle w:val="ListParagraph"/>
        <w:numPr>
          <w:ilvl w:val="0"/>
          <w:numId w:val="2"/>
        </w:numPr>
        <w:spacing w:after="60"/>
      </w:pPr>
      <w:r>
        <w:rPr>
          <w:b/>
          <w:bCs/>
        </w:rPr>
        <w:t xml:space="preserve">Factor Registry (bottom): </w:t>
      </w:r>
      <w:r>
        <w:t xml:space="preserve">Table of all accepted factors in SQLite. Columns: ID, Expression (monospace), Hypothesis, IC Mean, ICIR, Sharpe, Accepted Date. Sortable by any column. Click to load factor into P&amp;L chart.</w:t>
      </w:r>
    </w:p>
    <w:p>
      <w:pPr>
        <w:spacing w:after="60"/>
      </w:pPr>
    </w:p>
    <w:p>
      <w:pPr>
        <w:pStyle w:val="Heading2"/>
      </w:pPr>
      <w:r>
        <w:t xml:space="preserve">4.4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AC-4.1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P&amp;L chart renders with: (a) green strategy line and red dashed benchmark line, (b) benchmark data is real SPY data (verified by comparing to Yahoo Finance for 3 random dates), (c) crosshair shows all 5 tooltip values, (d) tooltip follows mouse with &lt;50ms latency, (e) metric badges visible in top-right.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AC-4.2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Backtest engine produces IC values within 1e-6 of a reference pandas computation for the factor Rank(-Delta($close, 5)) on the CSI300/S&amp;P500 top-50 universe over 2022-2024.</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Numerical Accuracy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AC-4.3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The LLM research loop completes within 3 minutes for a simple query (“find momentum factors”). At least 2 factor expressions are generated, backtested, and evaluated. The evaluation decision (accept/reject/refine) is logged with reasoning.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End-to-End</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AC-4.4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Factor registry correctly deduplicates: submitting Rank(-Delta($close, 5)) and Rank(Delta($close, 5) * -1) results in only 1 registry entry (same tree hash). Second submission returns existing ID, not a new row.</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Deduplication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AC-4.5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DSL editor provides syntax highlighting for: function names (blue), features with $ prefix (orange), numbers (green), operators (gray). Parse errors show red underline at the error position with a tooltip message.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UX</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AC-4.6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Alpha decay chart correctly shows IC values decreasing across forward horizons 1-20 days. Chart has labeled X-axis (horizon days) and Y-axis (IC value). A factor with known short-lived alpha (e.g., 1-day reversal) shows steep decay.</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Visualization</w:t>
            </w:r>
          </w:p>
        </w:tc>
      </w:tr>
    </w:tbl>
    <w:p>
      <w:r>
        <w:br w:type="page"/>
      </w:r>
    </w:p>
    <w:p>
      <w:pPr>
        <w:pStyle w:val="Heading1"/>
      </w:pPr>
      <w:bookmarkStart w:name="bm_105" w:id="15"/>
      <w:r>
        <w:t xml:space="preserve">Module 5: Portfolio &amp; Risk Engine</w:t>
      </w:r>
      <w:bookmarkEnd w:id="15"/>
    </w:p>
    <w:p>
      <w:pPr>
        <w:spacing w:after="80"/>
      </w:pPr>
    </w:p>
    <w:p>
      <w:pPr>
        <w:spacing w:after="120"/>
      </w:pPr>
      <w:r>
        <w:rPr>
          <w:b/>
          <w:bCs/>
        </w:rPr>
        <w:t xml:space="preserve">Purpose: </w:t>
      </w:r>
      <w:r>
        <w:t xml:space="preserve">Transform model signals and alpha factors into concrete portfolio positions, enforce risk constraints, and provide a comprehensive risk dashboard. This module bridges the gap between “what the model thinks” and “what we would actually hold”—applying position sizing, diversification rules, and drawdown limits.</w:t>
      </w:r>
    </w:p>
    <w:p>
      <w:pPr>
        <w:spacing w:after="60"/>
      </w:pPr>
    </w:p>
    <w:p>
      <w:pPr>
        <w:pStyle w:val="Heading2"/>
      </w:pPr>
      <w:r>
        <w:t xml:space="preserve">5.1 Design Rationale</w:t>
      </w:r>
    </w:p>
    <w:p>
      <w:pPr>
        <w:spacing w:after="120"/>
      </w:pPr>
      <w:r>
        <w:t xml:space="preserve">The current implementation uses naive equal-weight allocation (1/N per ticker). Real portfolio construction requires optimization under constraints. However, per the Occam’s Razor principle, we avoid mean-variance optimization (Markowitz) in Phase 1 due to its well-known sensitivity to estimation error. Instead, we implement a risk-parity-inspired approach with hard constraints, following the methodology described in Roncalli (2013, “Introduction to Risk Parity and Budgeting”).</w:t>
      </w:r>
    </w:p>
    <w:p>
      <w:pPr>
        <w:spacing w:after="120"/>
      </w:pPr>
      <w:r>
        <w:rPr>
          <w:b/>
          <w:bCs/>
        </w:rPr>
        <w:t xml:space="preserve">Key Principle: </w:t>
      </w:r>
      <w:r>
        <w:t xml:space="preserve">The portfolio engine operates on simulated positions only. No real capital is at risk. However, the system must be designed as if it were managing real capital, because (a) this is a SaaS productization target, and (b) paper trading that doesn’t respect real constraints produces misleading backtest results.</w:t>
      </w:r>
    </w:p>
    <w:p>
      <w:pPr>
        <w:spacing w:after="60"/>
      </w:pPr>
    </w:p>
    <w:p>
      <w:pPr>
        <w:pStyle w:val="Heading2"/>
      </w:pPr>
      <w:r>
        <w:t xml:space="preserve">5.2 Functional Requirements</w:t>
      </w:r>
    </w:p>
    <w:p>
      <w:pPr>
        <w:spacing w:after="60"/>
      </w:pPr>
    </w:p>
    <w:p>
      <w:pPr>
        <w:pStyle w:val="Heading3"/>
      </w:pPr>
      <w:r>
        <w:t xml:space="preserve">5.2.1 Portfolio Construction</w:t>
      </w:r>
    </w:p>
    <w:p>
      <w:pPr>
        <w:pStyle w:val="ListParagraph"/>
        <w:numPr>
          <w:ilvl w:val="0"/>
          <w:numId w:val="2"/>
        </w:numPr>
        <w:spacing w:after="60"/>
      </w:pPr>
      <w:r>
        <w:rPr>
          <w:b/>
          <w:bCs/>
        </w:rPr>
        <w:t xml:space="preserve">Signal-Weighted Allocation: </w:t>
      </w:r>
      <w:r>
        <w:t xml:space="preserve">Position weight for ticker i = signal_score_i / sum(|signal_score_j|) for all j. Signal score from the fusion engine’s bull_prob (0-1), centered to (-0.5, 0.5). Long positions for positive signals, short for negative.</w:t>
      </w:r>
    </w:p>
    <w:p>
      <w:pPr>
        <w:pStyle w:val="ListParagraph"/>
        <w:numPr>
          <w:ilvl w:val="0"/>
          <w:numId w:val="2"/>
        </w:numPr>
        <w:spacing w:after="60"/>
      </w:pPr>
      <w:r>
        <w:rPr>
          <w:b/>
          <w:bCs/>
        </w:rPr>
        <w:t xml:space="preserve">Risk Parity Adjustment: </w:t>
      </w:r>
      <w:r>
        <w:t xml:space="preserve">Adjust weights inversely proportional to realized 20-day volatility. Target: equal risk contribution per position. w_i = (1/σ_i) / sum(1/σ_j).</w:t>
      </w:r>
    </w:p>
    <w:p>
      <w:pPr>
        <w:pStyle w:val="ListParagraph"/>
        <w:numPr>
          <w:ilvl w:val="0"/>
          <w:numId w:val="2"/>
        </w:numPr>
        <w:spacing w:after="60"/>
      </w:pPr>
      <w:r>
        <w:rPr>
          <w:b/>
          <w:bCs/>
        </w:rPr>
        <w:t xml:space="preserve">Constraint Enforcement: </w:t>
      </w:r>
      <w:r>
        <w:t xml:space="preserve">Max single position: 15% of portfolio. Max total gross exposure: 200% (100% long + 100% short for market neutral). Max sector exposure: 30% per GICS sector. Min position count: 5 long + 5 short.</w:t>
      </w:r>
    </w:p>
    <w:p>
      <w:pPr>
        <w:spacing w:after="60"/>
      </w:pPr>
    </w:p>
    <w:p>
      <w:pPr>
        <w:pStyle w:val="Heading3"/>
      </w:pPr>
      <w:r>
        <w:t xml:space="preserve">5.2.2 Risk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Computation</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Target/Threshold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Portfolio Volatility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Annualized std dev of daily portfolio returns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Display; target &lt; 15% annualized</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Sharpe Ratio</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(Annual return - Rf) / Annual volatility; Rf = Fed Funds Rate</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Display; target &gt; 1.0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Max Drawdown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Max peak-to-trough decline in cumulative returns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Hard limit: -20% triggers auto-deleverage</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Value-at-Risk (95%)</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5th percentile of 252-day rolling returns, scaled to 1-day</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Display; alert if VaR exceeds 3%</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Beta to SPY</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Rolling 60-day OLS regression slope vs SPY returns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Target: |beta| &lt; 0.3 for market neutral</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Concentration (HHI)</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Herfindahl-Hirschman Index of position weights</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Alert if HHI &gt; 0.15 (high concentration)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Turnover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Sum of |weight_change| across all positions per rebalance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Display; alert if daily turnover &gt; 30%</w:t>
            </w:r>
          </w:p>
        </w:tc>
      </w:tr>
    </w:tbl>
    <w:p>
      <w:pPr>
        <w:spacing w:after="100"/>
      </w:pPr>
    </w:p>
    <w:p>
      <w:pPr>
        <w:pStyle w:val="Heading3"/>
      </w:pPr>
      <w:r>
        <w:t xml:space="preserve">5.2.3 Position Sizing via Kelly Criterion</w:t>
      </w:r>
    </w:p>
    <w:p>
      <w:pPr>
        <w:spacing w:after="120"/>
      </w:pPr>
      <w:r>
        <w:t xml:space="preserve">For each signal, compute the theoretical Kelly fraction f* = (p * b - q) / b, where p = model’s calibrated win probability, q = 1 - p, and b = average win/loss ratio from backtest. In practice, use half-Kelly (f*/2) to reduce variance. Position size = min(half_kelly * capital, max_position_constraint).</w:t>
      </w:r>
    </w:p>
    <w:p>
      <w:pPr>
        <w:spacing w:after="60"/>
      </w:pPr>
    </w:p>
    <w:p>
      <w:pPr>
        <w:pStyle w:val="Heading2"/>
      </w:pPr>
      <w:r>
        <w:t xml:space="preserve">5.3 UI Specification</w:t>
      </w:r>
    </w:p>
    <w:p>
      <w:pPr>
        <w:pStyle w:val="ListParagraph"/>
        <w:numPr>
          <w:ilvl w:val="0"/>
          <w:numId w:val="2"/>
        </w:numPr>
        <w:spacing w:after="60"/>
      </w:pPr>
      <w:r>
        <w:rPr>
          <w:b/>
          <w:bCs/>
        </w:rPr>
        <w:t xml:space="preserve">Portfolio Overview (top): </w:t>
      </w:r>
      <w:r>
        <w:t xml:space="preserve">Treemap visualization of current positions. Each rectangle: ticker label, weight %, direction indicator (green border for long, red for short). Rectangle area proportional to weight. Hover shows full detail: ticker, direction, weight, entry signal, current P&amp;L.</w:t>
      </w:r>
    </w:p>
    <w:p>
      <w:pPr>
        <w:pStyle w:val="ListParagraph"/>
        <w:numPr>
          <w:ilvl w:val="0"/>
          <w:numId w:val="2"/>
        </w:numPr>
        <w:spacing w:after="60"/>
      </w:pPr>
      <w:r>
        <w:rPr>
          <w:b/>
          <w:bCs/>
        </w:rPr>
        <w:t xml:space="preserve">Risk Dashboard (middle): </w:t>
      </w:r>
      <w:r>
        <w:t xml:space="preserve">Grid of metric cards: Portfolio Volatility, Sharpe, Max Drawdown, VaR(95%), Beta, HHI, Turnover. Each card: large number, trend arrow (↑↓ vs previous day), color coding (green = within target, yellow = warning, red = breach). Drawdown meter: horizontal gauge showing current drawdown vs -20% limit.</w:t>
      </w:r>
    </w:p>
    <w:p>
      <w:pPr>
        <w:pStyle w:val="ListParagraph"/>
        <w:numPr>
          <w:ilvl w:val="0"/>
          <w:numId w:val="2"/>
        </w:numPr>
        <w:spacing w:after="60"/>
      </w:pPr>
      <w:r>
        <w:rPr>
          <w:b/>
          <w:bCs/>
        </w:rPr>
        <w:t xml:space="preserve">Risk Decomposition Chart (bottom-left): </w:t>
      </w:r>
      <w:r>
        <w:t xml:space="preserve">Stacked bar chart showing risk contribution per position. X-axis: tickers. Y-axis: marginal risk contribution (%). Bars stacked by component: systematic (beta) and idiosyncratic. Allows identifying which positions dominate portfolio risk.</w:t>
      </w:r>
    </w:p>
    <w:p>
      <w:pPr>
        <w:pStyle w:val="ListParagraph"/>
        <w:numPr>
          <w:ilvl w:val="0"/>
          <w:numId w:val="2"/>
        </w:numPr>
        <w:spacing w:after="60"/>
      </w:pPr>
      <w:r>
        <w:rPr>
          <w:b/>
          <w:bCs/>
        </w:rPr>
        <w:t xml:space="preserve">Historical Performance Chart (bottom-right): </w:t>
      </w:r>
      <w:r>
        <w:t xml:space="preserve">Line chart of simulated portfolio equity curve since inception. Same crosshair interaction as P&amp;L chart in Module 4. Includes benchmark (SPY) overlay. Drawdown shading below the equity line.</w:t>
      </w:r>
    </w:p>
    <w:p>
      <w:pPr>
        <w:spacing w:after="60"/>
      </w:pPr>
    </w:p>
    <w:p>
      <w:pPr>
        <w:pStyle w:val="Heading2"/>
      </w:pPr>
      <w:r>
        <w:t xml:space="preserve">5.4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AC-5.1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Portfolio weights sum to ≤200% gross exposure and ≤15% per single position. Verified by passing edge cases: (a) all signals positive (long only, capped at 100%), (b) one signal 10x larger than others (capped at 15%), (c) fewer than 10 tickers in universe (min position constraint relaxed with warning).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Constraints</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AC-5.2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Risk parity adjustment produces measurably more equal risk contribution than equal-weight: for a 10-stock portfolio, the coefficient of variation of marginal risk contributions should be &lt;0.3 (vs ~0.5 for equal-weight). Verified on 2023 historical data.</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Portfolio Construction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AC-5.3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Max drawdown hard limit works: when simulated cumulative return reaches -20%, the system automatically reduces all positions to 50% of current weight and logs a CRITICAL alert. No further position increases until drawdown recovers to -10%.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Risk Management</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AC-5.4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Treemap renders with correct proportional sizing, color coding, and hover tooltips. A portfolio with 5 positions of weights [30%, 25%, 20%, 15%, 10%] shows clearly distinguishable rectangle sizes.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AC-5.5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7 risk metrics compute correctly against a reference implementation. VaR(95%) matches scipy.stats.percentileofscore at 5th percentile within 0.1% tolerance.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Numerical Accuracy</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AC-5.6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Kelly position sizing: for a signal with 60% win rate and 1.5 win/loss ratio, half-Kelly produces ~13.3% allocation (f* = (0.6*1.5 - 0.4)/1.5 = 0.267, half = 0.133). Verified by unit test.</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Sizing</w:t>
            </w:r>
          </w:p>
        </w:tc>
      </w:tr>
    </w:tbl>
    <w:p>
      <w:r>
        <w:br w:type="page"/>
      </w:r>
    </w:p>
    <w:p>
      <w:pPr>
        <w:pStyle w:val="Heading1"/>
      </w:pPr>
      <w:bookmarkStart w:name="bm_106" w:id="16"/>
      <w:r>
        <w:t xml:space="preserve">Module 6: Order Execution Gateway</w:t>
      </w:r>
      <w:bookmarkEnd w:id="16"/>
    </w:p>
    <w:p>
      <w:pPr>
        <w:spacing w:after="80"/>
      </w:pPr>
    </w:p>
    <w:p>
      <w:pPr>
        <w:spacing w:after="120"/>
      </w:pPr>
      <w:r>
        <w:rPr>
          <w:b/>
          <w:bCs/>
        </w:rPr>
        <w:t xml:space="preserve">Purpose: </w:t>
      </w:r>
      <w:r>
        <w:t xml:space="preserve">Translate portfolio target weights into executable order instructions, enforce pre-trade risk gates (multi-timeframe confirmation), simulate order fills with realistic assumptions, and maintain an order lifecycle state machine. In paper-trading mode, this module is the simulation engine; its design, however, must accommodate future broker integration without architectural changes.</w:t>
      </w:r>
    </w:p>
    <w:p>
      <w:pPr>
        <w:spacing w:after="60"/>
      </w:pPr>
    </w:p>
    <w:p>
      <w:pPr>
        <w:pStyle w:val="Heading2"/>
      </w:pPr>
      <w:r>
        <w:t xml:space="preserve">6.1 Design Rationale</w:t>
      </w:r>
    </w:p>
    <w:p>
      <w:pPr>
        <w:spacing w:after="120"/>
      </w:pPr>
      <w:r>
        <w:t xml:space="preserve">Even in a pure simulation context, order execution is not trivial. The current implementation has a skeleton /api/orders endpoint that returns an empty pending_orders list. The gap between “model says buy NVDA” and “simulated fill at $X” requires: (1) multi-timeframe confirmation to avoid entering against the short-term trend, (2) order type selection (market vs limit), (3) fill simulation with slippage and market impact, (4) order state management.</w:t>
      </w:r>
    </w:p>
    <w:p>
      <w:pPr>
        <w:spacing w:after="120"/>
      </w:pPr>
      <w:r>
        <w:t xml:space="preserve">The multi-timeframe gate (4H Trend + 1H Momentum + 15M Entry) is already implemented in trading/gate.py. This is a sound approach borrowed from discretionary trading (Elder’s Triple Screen) adapted for systematic use. The execution gateway wraps this gate as a pre-trade check.</w:t>
      </w:r>
    </w:p>
    <w:p>
      <w:pPr>
        <w:spacing w:after="60"/>
      </w:pPr>
    </w:p>
    <w:p>
      <w:pPr>
        <w:pStyle w:val="Heading2"/>
      </w:pPr>
      <w:r>
        <w:t xml:space="preserve">6.2 Functional Requirements</w:t>
      </w:r>
    </w:p>
    <w:p>
      <w:pPr>
        <w:spacing w:after="60"/>
      </w:pPr>
    </w:p>
    <w:p>
      <w:pPr>
        <w:pStyle w:val="Heading3"/>
      </w:pPr>
      <w:r>
        <w:t xml:space="preserve">6.2.1 Order Lifecycle State Machine</w:t>
      </w:r>
    </w:p>
    <w:p>
      <w:pPr>
        <w:spacing w:after="120"/>
      </w:pPr>
      <w:r>
        <w:t xml:space="preserve">Each order follows an immutable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Transitions To</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PENDING_GATE</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Awaiting multi-timeframe gate evaluation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GATE_PASSED, GATE_REJECTED</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GATE_PASSED</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All timeframe gates passed; eligible for execution</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SUBMITTED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GATE_REJECTED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One or more gates failed; order held for re-evaluation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PENDING_GATE (on next cycle), CANCELLED</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SUBMITTED</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Sent to execution engine (simulated broker)</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FILLED, PARTIALLY_FILLED, REJECTED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FILLED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Order fully executed at simulated price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Terminal</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PARTIALLY_FILLED</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Order partially executed (for large orders with market impact)</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FILLED, CANCELLED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CANCELLED</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Order cancelled by user, risk system, or timeout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Terminal</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REJECTED</w:t>
            </w:r>
          </w:p>
        </w:tc>
        <w:tc>
          <w:tcPr>
            <w:tcW w:type="dxa" w:w="4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Broker/simulation rejected (invalid ticker, market closed, etc.)</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Terminal</w:t>
            </w:r>
          </w:p>
        </w:tc>
      </w:tr>
    </w:tbl>
    <w:p>
      <w:pPr>
        <w:spacing w:after="100"/>
      </w:pPr>
    </w:p>
    <w:p>
      <w:pPr>
        <w:pStyle w:val="Heading3"/>
      </w:pPr>
      <w:r>
        <w:t xml:space="preserve">6.2.2 Multi-Timeframe Gate (Pre-Trade)</w:t>
      </w:r>
    </w:p>
    <w:p>
      <w:pPr>
        <w:spacing w:after="120"/>
      </w:pPr>
      <w:r>
        <w:t xml:space="preserve">Before any order is submitted, it must pass all three timeframe gates:</w:t>
      </w:r>
    </w:p>
    <w:p>
      <w:pPr>
        <w:pStyle w:val="ListParagraph"/>
        <w:numPr>
          <w:ilvl w:val="0"/>
          <w:numId w:val="2"/>
        </w:numPr>
        <w:spacing w:after="60"/>
      </w:pPr>
      <w:r>
        <w:rPr>
          <w:b/>
          <w:bCs/>
        </w:rPr>
        <w:t xml:space="preserve">4H Trend Gate (weight 0.4): </w:t>
      </w:r>
      <w:r>
        <w:t xml:space="preserve">EMA(8) vs EMA(21) on daily data (approximating 4H). Score: normalized distance between fast and slow EMA. Pass threshold: 0.5.</w:t>
      </w:r>
    </w:p>
    <w:p>
      <w:pPr>
        <w:pStyle w:val="ListParagraph"/>
        <w:numPr>
          <w:ilvl w:val="0"/>
          <w:numId w:val="2"/>
        </w:numPr>
        <w:spacing w:after="60"/>
      </w:pPr>
      <w:r>
        <w:rPr>
          <w:b/>
          <w:bCs/>
        </w:rPr>
        <w:t xml:space="preserve">1H Momentum Gate (weight 0.35): </w:t>
      </w:r>
      <w:r>
        <w:t xml:space="preserve">RSI(14) on hourly data. Score: (RSI - 30) / 40, mapped to 0-1. Pass threshold: 0.5. RSI in 30-70 range is neutral; strong momentum requires RSI &gt; 50.</w:t>
      </w:r>
    </w:p>
    <w:p>
      <w:pPr>
        <w:pStyle w:val="ListParagraph"/>
        <w:numPr>
          <w:ilvl w:val="0"/>
          <w:numId w:val="2"/>
        </w:numPr>
        <w:spacing w:after="60"/>
      </w:pPr>
      <w:r>
        <w:rPr>
          <w:b/>
          <w:bCs/>
        </w:rPr>
        <w:t xml:space="preserve">15M Entry Gate (weight 0.25): </w:t>
      </w:r>
      <w:r>
        <w:t xml:space="preserve">MACD signal cross on 15-minute data. Score: normalized MACD histogram. Pass threshold: 0.5. Positive histogram = bullish entry signal.</w:t>
      </w:r>
    </w:p>
    <w:p>
      <w:pPr>
        <w:spacing w:after="120"/>
      </w:pPr>
      <w:r>
        <w:rPr>
          <w:b/>
          <w:bCs/>
        </w:rPr>
        <w:t xml:space="preserve">Gate Logic: </w:t>
      </w:r>
      <w:r>
        <w:t xml:space="preserve">All 3 gates must individually pass (score ≥ 0.5) AND the weighted composite score must exceed 0.5. If the overall signal is SELL but the trend gate is bullish, the gate rejects (directional conflict).</w:t>
      </w:r>
    </w:p>
    <w:p>
      <w:pPr>
        <w:spacing w:after="60"/>
      </w:pPr>
    </w:p>
    <w:p>
      <w:pPr>
        <w:pStyle w:val="Heading3"/>
      </w:pPr>
      <w:r>
        <w:t xml:space="preserve">6.2.3 Fill Simulation</w:t>
      </w:r>
    </w:p>
    <w:p>
      <w:pPr>
        <w:spacing w:after="120"/>
      </w:pPr>
      <w:r>
        <w:t xml:space="preserve">Paper trading fills must be realistic:</w:t>
      </w:r>
    </w:p>
    <w:p>
      <w:pPr>
        <w:pStyle w:val="ListParagraph"/>
        <w:numPr>
          <w:ilvl w:val="0"/>
          <w:numId w:val="2"/>
        </w:numPr>
        <w:spacing w:after="60"/>
      </w:pPr>
      <w:r>
        <w:rPr>
          <w:b/>
          <w:bCs/>
        </w:rPr>
        <w:t xml:space="preserve">Market Orders: </w:t>
      </w:r>
      <w:r>
        <w:t xml:space="preserve">Fill at last known price ± slippage. Slippage model: 0.05% base + market_impact. Market impact = 0.1 * sqrt(order_shares / avg_daily_volume). For a 1000-share order on a stock with 10M daily volume, impact ≈ 0.001%.</w:t>
      </w:r>
    </w:p>
    <w:p>
      <w:pPr>
        <w:pStyle w:val="ListParagraph"/>
        <w:numPr>
          <w:ilvl w:val="0"/>
          <w:numId w:val="2"/>
        </w:numPr>
        <w:spacing w:after="60"/>
      </w:pPr>
      <w:r>
        <w:rPr>
          <w:b/>
          <w:bCs/>
        </w:rPr>
        <w:t xml:space="preserve">Limit Orders: </w:t>
      </w:r>
      <w:r>
        <w:t xml:space="preserve">Fill only if simulated intraday price (estimated from daily high/low range) crosses the limit price. Use uniform distribution between daily low and high for intra-day simulation.</w:t>
      </w:r>
    </w:p>
    <w:p>
      <w:pPr>
        <w:pStyle w:val="ListParagraph"/>
        <w:numPr>
          <w:ilvl w:val="0"/>
          <w:numId w:val="2"/>
        </w:numPr>
        <w:spacing w:after="60"/>
      </w:pPr>
      <w:r>
        <w:rPr>
          <w:b/>
          <w:bCs/>
        </w:rPr>
        <w:t xml:space="preserve">Partial Fills: </w:t>
      </w:r>
      <w:r>
        <w:t xml:space="preserve">If order size exceeds 1% of average daily volume, simulate partial fill at order_size * 0.01 * avg_daily_volume per simulation step. Remaining order stays in PARTIALLY_FILLED state.</w:t>
      </w:r>
    </w:p>
    <w:p>
      <w:pPr>
        <w:spacing w:after="60"/>
      </w:pPr>
    </w:p>
    <w:p>
      <w:pPr>
        <w:pStyle w:val="Heading2"/>
      </w:pPr>
      <w:r>
        <w:t xml:space="preserve">6.3 UI Specification</w:t>
      </w:r>
    </w:p>
    <w:p>
      <w:pPr>
        <w:pStyle w:val="ListParagraph"/>
        <w:numPr>
          <w:ilvl w:val="0"/>
          <w:numId w:val="2"/>
        </w:numPr>
        <w:spacing w:after="60"/>
      </w:pPr>
      <w:r>
        <w:rPr>
          <w:b/>
          <w:bCs/>
        </w:rPr>
        <w:t xml:space="preserve">Gate Evaluation Panel (top): </w:t>
      </w:r>
      <w:r>
        <w:t xml:space="preserve">Three-column layout showing each timeframe gate: gauge/dial showing score (0-1), pass/fail badge, and description. Overall gate score as large number. Directional conflict warning in red if applicable.</w:t>
      </w:r>
    </w:p>
    <w:p>
      <w:pPr>
        <w:pStyle w:val="ListParagraph"/>
        <w:numPr>
          <w:ilvl w:val="0"/>
          <w:numId w:val="2"/>
        </w:numPr>
        <w:spacing w:after="60"/>
      </w:pPr>
      <w:r>
        <w:rPr>
          <w:b/>
          <w:bCs/>
        </w:rPr>
        <w:t xml:space="preserve">Order Book (center): </w:t>
      </w:r>
      <w:r>
        <w:t xml:space="preserve">Table of all orders (active + historical for current session). Columns: ID, Ticker, Direction, Quantity, Type (Market/Limit), State (color-coded badge), Fill Price, Slippage, Timestamp. Click row to expand order details including gate scores at time of evaluation.</w:t>
      </w:r>
    </w:p>
    <w:p>
      <w:pPr>
        <w:pStyle w:val="ListParagraph"/>
        <w:numPr>
          <w:ilvl w:val="0"/>
          <w:numId w:val="2"/>
        </w:numPr>
        <w:spacing w:after="60"/>
      </w:pPr>
      <w:r>
        <w:rPr>
          <w:b/>
          <w:bCs/>
        </w:rPr>
        <w:t xml:space="preserve">Execution Config (right panel): </w:t>
      </w:r>
      <w:r>
        <w:t xml:space="preserve">Form controls: Mode (Paper/Live-disabled), Default Order Type (Market/Limit), Max Position Size %, Max Leverage, Slippage Model toggle. “Manual Order” button to submit a one-off order for testing.</w:t>
      </w:r>
    </w:p>
    <w:p>
      <w:pPr>
        <w:spacing w:after="60"/>
      </w:pPr>
    </w:p>
    <w:p>
      <w:pPr>
        <w:pStyle w:val="Heading2"/>
      </w:pPr>
      <w:r>
        <w:t xml:space="preserve">6.4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AC-6.1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Order state machine transitions are correct: (a) PENDING_GATE → GATE_PASSED when all gates pass, (b) PENDING_GATE → GATE_REJECTED when any gate fails, (c) GATE_PASSED → FILLED with valid fill price, (d) no invalid transitions (e.g., FILLED → PENDING_GATE). Verified by state machine unit tests covering all 8 states and 10 transitions.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State Machine</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AC-6.2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Gate evaluation produces scores consistent with the existing trading/gate.py implementation. Score differences between old and new implementations &lt;0.01 for the same input data.</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Regression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AC-6.3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Fill simulation slippage is within expected range: for a 1000-share market order on NVDA (avg daily volume ~50M), slippage should be 0.05% ± 0.01%. Verified across 100 simulated fills with statistical test.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Simulation Quality</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AC-6.4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Order book table displays all orders with correct state badges. Clicking an order row expands to show: gate scores at evaluation time, fill price and slippage breakdown, total cost including simulated commission ($0.005/share).</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AC-6.5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Directional conflict detection works: placing a BUY order when the 4H trend gate has a bearish score (&lt;0.3) triggers a “Directional Conflict” warning in the UI and the order enters GATE_REJECTED state with reason “trend opposes entry direction”.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Risk Gate</w:t>
            </w:r>
          </w:p>
        </w:tc>
      </w:tr>
    </w:tbl>
    <w:p>
      <w:r>
        <w:br w:type="page"/>
      </w:r>
    </w:p>
    <w:p>
      <w:pPr>
        <w:pStyle w:val="Heading1"/>
      </w:pPr>
      <w:bookmarkStart w:name="bm_107" w:id="17"/>
      <w:r>
        <w:t xml:space="preserve">Module 7: Trading Audit Log</w:t>
      </w:r>
      <w:bookmarkEnd w:id="17"/>
    </w:p>
    <w:p>
      <w:pPr>
        <w:spacing w:after="80"/>
      </w:pPr>
    </w:p>
    <w:p>
      <w:pPr>
        <w:spacing w:after="120"/>
      </w:pPr>
      <w:r>
        <w:rPr>
          <w:b/>
          <w:bCs/>
        </w:rPr>
        <w:t xml:space="preserve">Purpose: </w:t>
      </w:r>
      <w:r>
        <w:t xml:space="preserve">Maintain a complete, immutable, and queryable record of every decision made by the system—from model predictions through gate evaluations to final order outcomes. The audit log serves three purposes: (1) research reproducibility (replay any historical decision), (2) compliance documentation (demonstrate that risk gates were active and enforced), (3) system debugging (trace any anomalous outcome to its root cause).</w:t>
      </w:r>
    </w:p>
    <w:p>
      <w:pPr>
        <w:spacing w:after="60"/>
      </w:pPr>
    </w:p>
    <w:p>
      <w:pPr>
        <w:pStyle w:val="Heading2"/>
      </w:pPr>
      <w:r>
        <w:t xml:space="preserve">7.1 Design Rationale</w:t>
      </w:r>
    </w:p>
    <w:p>
      <w:pPr>
        <w:spacing w:after="120"/>
      </w:pPr>
      <w:r>
        <w:t xml:space="preserve">In regulated financial services, audit trails are not optional. Even though Alpha Core currently operates in paper-trading mode, building the audit infrastructure now establishes the foundation for future compliance requirements (SEC Rule 17a-4 for broker-dealers, FINRA supervision requirements). More immediately, the audit log is essential for quant research: understanding why a model made a particular prediction on a particular day is the starting point for improving that model.</w:t>
      </w:r>
    </w:p>
    <w:p>
      <w:pPr>
        <w:spacing w:after="120"/>
      </w:pPr>
      <w:r>
        <w:t xml:space="preserve">The design follows the event-sourcing pattern: every state change in the system is captured as an immutable event. The current state of any entity (order, model prediction, portfolio position) can be reconstructed by replaying events from the beginning.</w:t>
      </w:r>
    </w:p>
    <w:p>
      <w:pPr>
        <w:spacing w:after="60"/>
      </w:pPr>
    </w:p>
    <w:p>
      <w:pPr>
        <w:pStyle w:val="Heading2"/>
      </w:pPr>
      <w:r>
        <w:t xml:space="preserve">7.2 Functional Requirements</w:t>
      </w:r>
    </w:p>
    <w:p>
      <w:pPr>
        <w:spacing w:after="60"/>
      </w:pPr>
    </w:p>
    <w:p>
      <w:pPr>
        <w:pStyle w:val="Heading3"/>
      </w:pPr>
      <w:r>
        <w:t xml:space="preserve">7.2.1 Audit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event_id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UUID v4</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Globally unique event identifier</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event_type</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Enum</w:t>
            </w:r>
          </w:p>
        </w:tc>
        <w:tc>
          <w:tcPr>
            <w:tcW w:type="dxa" w:w="4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One of: MODEL_PREDICTION, GATE_EVALUATION, ORDER_STATE_CHANGE, RISK_ALERT, PORTFOLIO_REBALANCE, SYSTEM_EVENT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timestamp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ISO 8601 with TZ</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Event creation time (UTC)</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ticker</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str | null</w:t>
            </w:r>
          </w:p>
        </w:tc>
        <w:tc>
          <w:tcPr>
            <w:tcW w:type="dxa" w:w="4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Ticker symbol (null for system events)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source_module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str</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Module that generated the event (e.g., “inference”, “gate”, “execution”)</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payload</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JSON object</w:t>
            </w:r>
          </w:p>
        </w:tc>
        <w:tc>
          <w:tcPr>
            <w:tcW w:type="dxa" w:w="4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Event-specific data (model scores, gate results, order details, etc.)</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decision_chain_id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UUID v4 | null</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Links all events in a single decision pipeline run</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parent_event_id</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UUID v4 | null</w:t>
            </w:r>
          </w:p>
        </w:tc>
        <w:tc>
          <w:tcPr>
            <w:tcW w:type="dxa" w:w="4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References the event that triggered this one (causal chain)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user_id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str | null</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User who initiated the action (for manual orders)</w:t>
            </w:r>
          </w:p>
        </w:tc>
      </w:tr>
      <w:tr>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metadata</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JSON object</w:t>
            </w:r>
          </w:p>
        </w:tc>
        <w:tc>
          <w:tcPr>
            <w:tcW w:type="dxa" w:w="4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Arbitrary key-value pairs (model version, config snapshot, etc.)</w:t>
            </w:r>
          </w:p>
        </w:tc>
      </w:tr>
    </w:tbl>
    <w:p>
      <w:pPr>
        <w:spacing w:after="100"/>
      </w:pPr>
    </w:p>
    <w:p>
      <w:pPr>
        <w:pStyle w:val="Heading3"/>
      </w:pPr>
      <w:r>
        <w:t xml:space="preserve">7.2.2 Storage Backend</w:t>
      </w:r>
    </w:p>
    <w:p>
      <w:pPr>
        <w:spacing w:after="120"/>
      </w:pPr>
      <w:r>
        <w:t xml:space="preserve">Audit events are stored in SQLite (consistent with the existing factor registry):</w:t>
      </w:r>
    </w:p>
    <w:p>
      <w:pPr>
        <w:pStyle w:val="ListParagraph"/>
        <w:numPr>
          <w:ilvl w:val="0"/>
          <w:numId w:val="2"/>
        </w:numPr>
        <w:spacing w:after="60"/>
      </w:pPr>
      <w:r>
        <w:rPr>
          <w:b/>
          <w:bCs/>
        </w:rPr>
        <w:t xml:space="preserve">Table: </w:t>
      </w:r>
      <w:r>
        <w:t xml:space="preserve">audit_events with the schema above. Indexed on: event_type, timestamp, ticker, decision_chain_id.</w:t>
      </w:r>
    </w:p>
    <w:p>
      <w:pPr>
        <w:pStyle w:val="ListParagraph"/>
        <w:numPr>
          <w:ilvl w:val="0"/>
          <w:numId w:val="2"/>
        </w:numPr>
        <w:spacing w:after="60"/>
      </w:pPr>
      <w:r>
        <w:rPr>
          <w:b/>
          <w:bCs/>
        </w:rPr>
        <w:t xml:space="preserve">Retention: </w:t>
      </w:r>
      <w:r>
        <w:t xml:space="preserve">All events retained indefinitely in paper-trading mode. Future: configurable retention with archival to Parquet for long-term storage.</w:t>
      </w:r>
    </w:p>
    <w:p>
      <w:pPr>
        <w:pStyle w:val="ListParagraph"/>
        <w:numPr>
          <w:ilvl w:val="0"/>
          <w:numId w:val="2"/>
        </w:numPr>
        <w:spacing w:after="60"/>
      </w:pPr>
      <w:r>
        <w:rPr>
          <w:b/>
          <w:bCs/>
        </w:rPr>
        <w:t xml:space="preserve">Write Pattern: </w:t>
      </w:r>
      <w:r>
        <w:t xml:space="preserve">Append-only. No UPDATE or DELETE operations on audit events. Immutability enforced at the application layer (no exposed mutation endpoints).</w:t>
      </w:r>
    </w:p>
    <w:p>
      <w:pPr>
        <w:pStyle w:val="ListParagraph"/>
        <w:numPr>
          <w:ilvl w:val="0"/>
          <w:numId w:val="2"/>
        </w:numPr>
        <w:spacing w:after="60"/>
      </w:pPr>
      <w:r>
        <w:rPr>
          <w:b/>
          <w:bCs/>
        </w:rPr>
        <w:t xml:space="preserve">Query Performance: </w:t>
      </w:r>
      <w:r>
        <w:t xml:space="preserve">Queries for the last 1000 events by timestamp should complete in &lt;100ms. Decision chain reconstruction (all events with a given decision_chain_id) should complete in &lt;50ms.</w:t>
      </w:r>
    </w:p>
    <w:p>
      <w:pPr>
        <w:spacing w:after="60"/>
      </w:pPr>
    </w:p>
    <w:p>
      <w:pPr>
        <w:pStyle w:val="Heading3"/>
      </w:pPr>
      <w:r>
        <w:t xml:space="preserve">7.2.3 Decision Chain Tracing</w:t>
      </w:r>
    </w:p>
    <w:p>
      <w:pPr>
        <w:spacing w:after="120"/>
      </w:pPr>
      <w:r>
        <w:t xml:space="preserve">Every invocation of the full pipeline (from /api/dashboard or /api/inference trigger) generates a decision_chain_id. All events produced during that invocation share this ID. This enables:</w:t>
      </w:r>
    </w:p>
    <w:p>
      <w:pPr>
        <w:pStyle w:val="ListParagraph"/>
        <w:numPr>
          <w:ilvl w:val="0"/>
          <w:numId w:val="2"/>
        </w:numPr>
        <w:spacing w:after="60"/>
      </w:pPr>
      <w:r>
        <w:rPr>
          <w:b/>
          <w:bCs/>
        </w:rPr>
        <w:t xml:space="preserve">Forward Tracing: </w:t>
      </w:r>
      <w:r>
        <w:t xml:space="preserve">Given a model prediction, find the gate evaluation, order, and fill that resulted from it.</w:t>
      </w:r>
    </w:p>
    <w:p>
      <w:pPr>
        <w:pStyle w:val="ListParagraph"/>
        <w:numPr>
          <w:ilvl w:val="0"/>
          <w:numId w:val="2"/>
        </w:numPr>
        <w:spacing w:after="60"/>
      </w:pPr>
      <w:r>
        <w:rPr>
          <w:b/>
          <w:bCs/>
        </w:rPr>
        <w:t xml:space="preserve">Backward Tracing: </w:t>
      </w:r>
      <w:r>
        <w:t xml:space="preserve">Given a filled order, trace back to the model prediction and feature values that produced the signal.</w:t>
      </w:r>
    </w:p>
    <w:p>
      <w:pPr>
        <w:pStyle w:val="ListParagraph"/>
        <w:numPr>
          <w:ilvl w:val="0"/>
          <w:numId w:val="2"/>
        </w:numPr>
        <w:spacing w:after="60"/>
      </w:pPr>
      <w:r>
        <w:rPr>
          <w:b/>
          <w:bCs/>
        </w:rPr>
        <w:t xml:space="preserve">Divergence Analysis: </w:t>
      </w:r>
      <w:r>
        <w:t xml:space="preserve">Compare two decision chains for the same ticker on consecutive days. Identify which input changed (features, model scores, gate scores) to cause a different outcome.</w:t>
      </w:r>
    </w:p>
    <w:p>
      <w:pPr>
        <w:spacing w:after="60"/>
      </w:pPr>
    </w:p>
    <w:p>
      <w:pPr>
        <w:pStyle w:val="Heading2"/>
      </w:pPr>
      <w:r>
        <w:t xml:space="preserve">7.3 UI Specification</w:t>
      </w:r>
    </w:p>
    <w:p>
      <w:pPr>
        <w:pStyle w:val="ListParagraph"/>
        <w:numPr>
          <w:ilvl w:val="0"/>
          <w:numId w:val="2"/>
        </w:numPr>
        <w:spacing w:after="60"/>
      </w:pPr>
      <w:r>
        <w:rPr>
          <w:b/>
          <w:bCs/>
        </w:rPr>
        <w:t xml:space="preserve">Event Stream (main area): </w:t>
      </w:r>
      <w:r>
        <w:t xml:space="preserve">Reverse-chronological feed of audit events. Each event rendered as a card: event_type icon, timestamp (relative + absolute on hover), ticker badge, one-line summary. Click to expand full payload in a formatted JSON viewer with syntax highlighting.</w:t>
      </w:r>
    </w:p>
    <w:p>
      <w:pPr>
        <w:pStyle w:val="ListParagraph"/>
        <w:numPr>
          <w:ilvl w:val="0"/>
          <w:numId w:val="2"/>
        </w:numPr>
        <w:spacing w:after="60"/>
      </w:pPr>
      <w:r>
        <w:rPr>
          <w:b/>
          <w:bCs/>
        </w:rPr>
        <w:t xml:space="preserve">Filters (top bar): </w:t>
      </w:r>
      <w:r>
        <w:t xml:space="preserve">Dropdown filters for: event_type (multi-select), ticker (multi-select), date range (calendar picker), source_module (multi-select). Full-text search across payload JSON. Filters apply in real-time (client-side for last 1000 events, server-side for older events).</w:t>
      </w:r>
    </w:p>
    <w:p>
      <w:pPr>
        <w:pStyle w:val="ListParagraph"/>
        <w:numPr>
          <w:ilvl w:val="0"/>
          <w:numId w:val="2"/>
        </w:numPr>
        <w:spacing w:after="60"/>
      </w:pPr>
      <w:r>
        <w:rPr>
          <w:b/>
          <w:bCs/>
        </w:rPr>
        <w:t xml:space="preserve">Decision Chain View (side panel): </w:t>
      </w:r>
      <w:r>
        <w:t xml:space="preserve">When a decision_chain_id is selected, the side panel shows a vertical timeline of all events in that chain, ordered chronologically. Events connected by lines. Each node shows: event_type, timestamp, key metric (e.g., for MODEL_PREDICTION: “NVDA Bullish 72%”). Clicking a node scrolls the main area to that event.</w:t>
      </w:r>
    </w:p>
    <w:p>
      <w:pPr>
        <w:pStyle w:val="ListParagraph"/>
        <w:numPr>
          <w:ilvl w:val="0"/>
          <w:numId w:val="2"/>
        </w:numPr>
        <w:spacing w:after="60"/>
      </w:pPr>
      <w:r>
        <w:rPr>
          <w:b/>
          <w:bCs/>
        </w:rPr>
        <w:t xml:space="preserve">Export: </w:t>
      </w:r>
      <w:r>
        <w:t xml:space="preserve">Button to export filtered events as CSV or JSON. Includes all fields. Date range and filter state preserved in export filename.</w:t>
      </w:r>
    </w:p>
    <w:p>
      <w:pPr>
        <w:spacing w:after="60"/>
      </w:pPr>
    </w:p>
    <w:p>
      <w:pPr>
        <w:pStyle w:val="Heading2"/>
      </w:pPr>
      <w:r>
        <w:t xml:space="preserve">7.4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AC-7.1</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 full pipeline run for 3 tickers produces exactly the expected number of audit events: 3 MODEL_PREDICTION (one per ticker) + 1 GATE_EVALUATION + 1 ORDER_STATE_CHANGE (if gate passed) + 1 PORTFOLIO_REBALANCE. All events share the same decision_chain_id.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Event Integrity</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AC-7.2</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Audit events are truly immutable: no API endpoint allows modification or deletion. Attempting to DELETE on /api/audit/events/{id} returns HTTP 405 Method Not Allowed.</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Immutability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AC-7.3</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Decision chain tracing works end-to-end: given a filled order’s event_id, the API returns the full chain including the triggering model prediction with exact feature values and model scores at that timestamp.</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Traceability</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AC-7.4</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Query performance: fetching the last 1000 events completes in &lt;100ms. Reconstructing a decision chain (5-7 events) completes in &lt;50ms. Measured via pytest-benchmark on a database with 100,000+ events.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Performance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AC-7.5</w:t>
            </w:r>
          </w:p>
        </w:tc>
        <w:tc>
          <w:tcPr>
            <w:tcW w:type="dxa" w:w="6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 event stream loads initial 50 events in &lt;500ms. Scrolling loads next 50 events on demand (infinite scroll). Filter changes re-render in &lt;200ms for client-side filtering.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UI</w:t>
            </w:r>
          </w:p>
        </w:tc>
      </w:tr>
      <w:tr>
        <w:tc>
          <w:tcPr>
            <w:tcW w:type="dxa" w:w="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AC-7.6</w:t>
            </w:r>
          </w:p>
        </w:tc>
        <w:tc>
          <w:tcPr>
            <w:tcW w:type="dxa" w:w="68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CSV export of 10,000 filtered events completes in &lt;3s and produces a valid CSV file openable in Excel. All JSON payload fields are flattened into separate columns.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Export</w:t>
            </w:r>
          </w:p>
        </w:tc>
      </w:tr>
    </w:tbl>
    <w:p>
      <w:r>
        <w:br w:type="page"/>
      </w:r>
    </w:p>
    <w:p>
      <w:pPr>
        <w:pStyle w:val="Heading1"/>
      </w:pPr>
      <w:bookmarkStart w:name="bm_108" w:id="18"/>
      <w:r>
        <w:t xml:space="preserve">Phased Delivery Plan</w:t>
      </w:r>
      <w:bookmarkEnd w:id="18"/>
    </w:p>
    <w:p>
      <w:pPr>
        <w:spacing w:after="80"/>
      </w:pPr>
    </w:p>
    <w:p>
      <w:pPr>
        <w:spacing w:after="120"/>
      </w:pPr>
      <w:r>
        <w:t xml:space="preserve">The seven modules are delivered across four phases, each producing a testable MVP increment:</w:t>
      </w:r>
    </w:p>
    <w:p>
      <w:pPr>
        <w:spacing w:after="60"/>
      </w:pPr>
    </w:p>
    <w:p>
      <w:pPr>
        <w:pStyle w:val="Heading2"/>
      </w:pPr>
      <w:r>
        <w:t xml:space="preserve">Phase 1: Foundation Hardening (Weeks 1-3)</w:t>
      </w:r>
    </w:p>
    <w:p>
      <w:pPr>
        <w:spacing w:after="120"/>
      </w:pPr>
      <w:r>
        <w:rPr>
          <w:b/>
          <w:bCs/>
        </w:rPr>
        <w:t xml:space="preserve">Goal: </w:t>
      </w:r>
      <w:r>
        <w:t xml:space="preserve">Solidify the data and inference layers. After Phase 1, the system reliably ingests US equity data, computes validated features, and produces calibrated model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28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Week</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Deliverables</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Acceptance Criteria</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M2: Market Feed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Unified DataProvider interface, data quality validation pipeline, L1/L2 caching</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AC-2.1, AC-2.2, AC-2.7</w:t>
            </w:r>
          </w:p>
        </w:tc>
      </w:tr>
      <w:tr>
        <w:tc>
          <w:tcPr>
            <w:tcW w:type="dxa" w:w="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M2: Features + M3: Models</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Tier 2 features, model performance monitoring, confidence calibration</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AC-2.3, AC-2.4, AC-3.2, AC-3.4</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M1: System Bus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Health check framework, pipeline latency metrics, alert system</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AC-1.1, AC-1.2, AC-1.6</w:t>
            </w:r>
          </w:p>
        </w:tc>
      </w:tr>
    </w:tbl>
    <w:p>
      <w:pPr>
        <w:spacing w:after="100"/>
      </w:pPr>
    </w:p>
    <w:p>
      <w:pPr>
        <w:pStyle w:val="Heading2"/>
      </w:pPr>
      <w:r>
        <w:t xml:space="preserve">Phase 2: Research Engine (Weeks 4-6)</w:t>
      </w:r>
    </w:p>
    <w:p>
      <w:pPr>
        <w:spacing w:after="120"/>
      </w:pPr>
      <w:r>
        <w:rPr>
          <w:b/>
          <w:bCs/>
        </w:rPr>
        <w:t xml:space="preserve">Goal: </w:t>
      </w:r>
      <w:r>
        <w:t xml:space="preserve">Deliver the full alpha research workflow. After Phase 2, a researcher can input a natural language query, receive backtested factor candidates, and view P&amp;L charts with benchmark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60"/>
        <w:gridCol w:w="24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Week</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Deliverables</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Acceptance Criteria</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M4: Alpha Lab (Backend)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Backtest engine enhancements (out-of-sample split, alpha decay), factor registry improvements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AC-4.2, AC-4.4</w:t>
            </w:r>
          </w:p>
        </w:tc>
      </w:tr>
      <w:tr>
        <w:tc>
          <w:tcPr>
            <w:tcW w:type="dxa" w:w="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M4: Alpha Lab (LLM Loop)</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Full 4-agent pipeline integration, automated accept/reject/refine</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AC-4.3</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M4: Alpha Lab (UI)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P&amp;L chart with benchmark, DSL editor, metrics dashboard, factor registry table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AC-4.1, AC-4.5, AC-4.6</w:t>
            </w:r>
          </w:p>
        </w:tc>
      </w:tr>
    </w:tbl>
    <w:p>
      <w:pPr>
        <w:spacing w:after="100"/>
      </w:pPr>
    </w:p>
    <w:p>
      <w:pPr>
        <w:pStyle w:val="Heading2"/>
      </w:pPr>
      <w:r>
        <w:t xml:space="preserve">Phase 3: Portfolio &amp; Execution (Weeks 7-9)</w:t>
      </w:r>
    </w:p>
    <w:p>
      <w:pPr>
        <w:spacing w:after="120"/>
      </w:pPr>
      <w:r>
        <w:rPr>
          <w:b/>
          <w:bCs/>
        </w:rPr>
        <w:t xml:space="preserve">Goal: </w:t>
      </w:r>
      <w:r>
        <w:t xml:space="preserve">Build the portfolio construction, risk management, and paper-trading execution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60"/>
        <w:gridCol w:w="24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Week</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Deliverables</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Acceptance Criteria</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M5: Portfolio Engine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Signal-weighted allocation, risk parity, constraint enforcement, risk metrics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AC-5.1, AC-5.2, AC-5.5</w:t>
            </w:r>
          </w:p>
        </w:tc>
      </w:tr>
      <w:tr>
        <w:tc>
          <w:tcPr>
            <w:tcW w:type="dxa" w:w="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M6: Execution Gateway</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Order state machine, gate integration, fill simulation with slippage</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AC-6.1, AC-6.2, AC-6.3</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9</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M5+M6: UI + Integration</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Treemap, risk dashboard, order book, end-to-end paper trade flow</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AC-5.4, AC-6.4, AC-6.5</w:t>
            </w:r>
          </w:p>
        </w:tc>
      </w:tr>
    </w:tbl>
    <w:p>
      <w:pPr>
        <w:spacing w:after="100"/>
      </w:pPr>
    </w:p>
    <w:p>
      <w:pPr>
        <w:pStyle w:val="Heading2"/>
      </w:pPr>
      <w:r>
        <w:t xml:space="preserve">Phase 4: Auditability &amp; Polish (Weeks 10-12)</w:t>
      </w:r>
    </w:p>
    <w:p>
      <w:pPr>
        <w:spacing w:after="120"/>
      </w:pPr>
      <w:r>
        <w:rPr>
          <w:b/>
          <w:bCs/>
        </w:rPr>
        <w:t xml:space="preserve">Goal: </w:t>
      </w:r>
      <w:r>
        <w:t xml:space="preserve">Complete the audit trail, migrate frontend to React/Next.js, and achieve production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60"/>
        <w:gridCol w:w="24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Week</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Deliverables</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Acceptance Criteria</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M7: Audit Log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Event schema, SQLite storage, decision chain tracing, API endpoints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AC-7.1, AC-7.2, AC-7.3, AC-7.4</w:t>
            </w:r>
          </w:p>
        </w:tc>
      </w:tr>
      <w:tr>
        <w:tc>
          <w:tcPr>
            <w:tcW w:type="dxa" w:w="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11</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Frontend Migration</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React/Next.js app with all 7 module tabs, component library, dark/light theme</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All UI criteria from M1-M7</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12</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Integration &amp; QA</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End-to-end testing, performance benchmarks, documentation, deployment scripts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AC-7.5, AC-7.6, full regression suite</w:t>
            </w:r>
          </w:p>
        </w:tc>
      </w:tr>
    </w:tbl>
    <w:p>
      <w:pPr>
        <w:spacing w:after="60"/>
      </w:pPr>
    </w:p>
    <w:p>
      <w:r>
        <w:br w:type="page"/>
      </w:r>
    </w:p>
    <w:p>
      <w:pPr>
        <w:pStyle w:val="Heading1"/>
      </w:pPr>
      <w:bookmarkStart w:name="bm_109" w:id="19"/>
      <w:r>
        <w:t xml:space="preserve">Frontend Migration: React/Next.js Architecture</w:t>
      </w:r>
      <w:bookmarkEnd w:id="19"/>
    </w:p>
    <w:p>
      <w:pPr>
        <w:spacing w:after="80"/>
      </w:pPr>
    </w:p>
    <w:p>
      <w:pPr>
        <w:spacing w:after="120"/>
      </w:pPr>
      <w:r>
        <w:t xml:space="preserve">The migration from the monolithic 2,700-line HTML file to a React/Next.js application follows the Strangler Fig pattern: new modules are built in React from the start, while existing functionality is incrementally migrated.</w:t>
      </w:r>
    </w:p>
    <w:p>
      <w:pPr>
        <w:spacing w:after="60"/>
      </w:pPr>
    </w:p>
    <w:p>
      <w:pPr>
        <w:pStyle w:val="Heading2"/>
      </w:pPr>
      <w:r>
        <w:t xml:space="preserve">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Framework</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Source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Libraries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Layout Shell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Next.js App Router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N/A</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Tailwind CSS, shadcn/ui</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Sidebar Navigation</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 + Next.js routing</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/api/system (health indicators)</w:t>
            </w:r>
          </w:p>
        </w:tc>
        <w:tc>
          <w:tcPr>
            <w:tcW w:type="dxa" w:w="2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Lucide icons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System Bus Monitor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/api/system (polling 10s)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Recharts (sparklines), react-hot-toast</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Market Feed Charts</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/api/market (polling 60s)</w:t>
            </w:r>
          </w:p>
        </w:tc>
        <w:tc>
          <w:tcPr>
            <w:tcW w:type="dxa" w:w="2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Lightweight Charts (TradingView OSS)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Feature Heatmap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/api/market (features)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D3.js or Nivo heatmap</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Inference Dashboard</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/api/inference (polling 30s)</w:t>
            </w:r>
          </w:p>
        </w:tc>
        <w:tc>
          <w:tcPr>
            <w:tcW w:type="dxa" w:w="2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Recharts (bars), custom gauge components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Alpha Lab Workbench</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/api/alpha + WebSocket for pipeline progress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Monaco Editor (DSL), Recharts (P&amp;L)</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Portfolio Treemap</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/api/portfolio (polling 60s)</w:t>
            </w:r>
          </w:p>
        </w:tc>
        <w:tc>
          <w:tcPr>
            <w:tcW w:type="dxa" w:w="2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D3 treemap or Recharts treemap</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Risk Dashboard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/api/portfolio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Custom gauge, Recharts (line charts)</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Order Book</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/api/orders (polling 5s)</w:t>
            </w:r>
          </w:p>
        </w:tc>
        <w:tc>
          <w:tcPr>
            <w:tcW w:type="dxa" w:w="2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TanStack Table (sorting, filtering)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Audit Log Stream</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/api/audit (SSE or polling 10s)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Virtual scroll (react-window), JSON viewer</w:t>
            </w:r>
          </w:p>
        </w:tc>
      </w:tr>
    </w:tbl>
    <w:p>
      <w:pPr>
        <w:spacing w:after="60"/>
      </w:pPr>
    </w:p>
    <w:p>
      <w:pPr>
        <w:spacing w:after="120"/>
      </w:pPr>
      <w:r>
        <w:rPr>
          <w:b/>
          <w:bCs/>
        </w:rPr>
        <w:t xml:space="preserve">State Management: </w:t>
      </w:r>
      <w:r>
        <w:t xml:space="preserve">Use React Query (TanStack Query) for all server state. No Redux or Zustand needed for v1—server state covers 95% of the data flow. Local UI state (selected tab, filter values, theme) managed via React Context.</w:t>
      </w:r>
    </w:p>
    <w:p>
      <w:pPr>
        <w:spacing w:after="120"/>
      </w:pPr>
      <w:r>
        <w:rPr>
          <w:b/>
          <w:bCs/>
        </w:rPr>
        <w:t xml:space="preserve">API Layer: </w:t>
      </w:r>
      <w:r>
        <w:t xml:space="preserve">Create a typed API client using OpenAPI schema auto-generated from FastAPI. This provides compile-time type safety between frontend and backend. Library: openapi-typescript-codegen or orval.</w:t>
      </w:r>
    </w:p>
    <w:p>
      <w:pPr>
        <w:spacing w:after="60"/>
      </w:pPr>
    </w:p>
    <w:p>
      <w:r>
        <w:br w:type="page"/>
      </w:r>
    </w:p>
    <w:p>
      <w:pPr>
        <w:pStyle w:val="Heading1"/>
      </w:pPr>
      <w:bookmarkStart w:name="bm_110" w:id="20"/>
      <w:r>
        <w:t xml:space="preserve">Network Security Architecture</w:t>
      </w:r>
      <w:bookmarkEnd w:id="20"/>
    </w:p>
    <w:p>
      <w:pPr>
        <w:spacing w:after="80"/>
      </w:pPr>
    </w:p>
    <w:p>
      <w:pPr>
        <w:spacing w:after="120"/>
      </w:pPr>
      <w:r>
        <w:t xml:space="preserve">As a quantitative research platform handling financial data and trading decisions, Alpha Core must implement defense-in-depth network security from day one. Production deployment MUST NOT expose development modes, debug endpoints, or unnecessary ports.</w:t>
      </w:r>
    </w:p>
    <w:p>
      <w:pPr>
        <w:spacing w:after="60"/>
      </w:pPr>
    </w:p>
    <w:p>
      <w:pPr>
        <w:pStyle w:val="Heading2"/>
      </w:pPr>
      <w:r>
        <w:t xml:space="preserve">Security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Threat Category</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Attack Vectors</w:t>
            </w:r>
          </w:p>
        </w:tc>
        <w:tc>
          <w:tcPr>
            <w:tcW w:type="dxa" w:w="3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 Strategy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Unauthorized API Access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Brute-force login, credential stuffing, stolen API keys</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Rate limiting (100 req/min per IP), JWT with short TTL (15 min), API key rotation every 90 days</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Data Exfiltration</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SQL injection, IDOR on /api/audit or /api/portfolio</w:t>
            </w:r>
          </w:p>
        </w:tc>
        <w:tc>
          <w:tcPr>
            <w:tcW w:type="dxa" w:w="36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Parameterized queries only, ownership-based access control, response field whitelisting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DDoS / Resource Exhaustion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High-frequency polling, malformed large payloads</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NGINX rate limiting, request body size cap (1 MB), connection pool limits (50 per IP)</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Man-in-the-Middle</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HTTP sniffing on financial data</w:t>
            </w:r>
          </w:p>
        </w:tc>
        <w:tc>
          <w:tcPr>
            <w:tcW w:type="dxa" w:w="36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TLS 1.3 mandatory, HSTS headers, certificate pinning for internal services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Supply Chain Attack</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Compromised npm/pip packages</w:t>
            </w:r>
          </w:p>
        </w:tc>
        <w:tc>
          <w:tcPr>
            <w:tcW w:type="dxa" w:w="3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Lock files (package-lock.json, requirements.txt hashes), Dependabot alerts, monthly audit</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Internal Lateral Movement</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Compromised container escaping to host</w:t>
            </w:r>
          </w:p>
        </w:tc>
        <w:tc>
          <w:tcPr>
            <w:tcW w:type="dxa" w:w="36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Non-root containers, read-only filesystems, network namespace isolation, no host networking</w:t>
            </w:r>
          </w:p>
        </w:tc>
      </w:tr>
    </w:tbl>
    <w:p>
      <w:pPr>
        <w:spacing w:after="60"/>
      </w:pPr>
    </w:p>
    <w:p>
      <w:pPr>
        <w:pStyle w:val="Heading2"/>
      </w:pPr>
      <w:r>
        <w:t xml:space="preserve">Port Exposure Policy</w:t>
      </w:r>
    </w:p>
    <w:p>
      <w:pPr>
        <w:spacing w:after="120"/>
      </w:pPr>
      <w:r>
        <w:t xml:space="preserve">Only the following ports are permitted in production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60"/>
        <w:gridCol w:w="20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Port</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Service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Access Scope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Authentication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443 (HTTPS)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NGINX reverse proxy → FastAPI</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Public (behind CDN/WAF)</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JWT Bearer token</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6008 (internal)</w:t>
            </w:r>
          </w:p>
        </w:tc>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FastAPI application server</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localhost / Docker network only</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Internal service mesh</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5432 (internal)</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PostgreSQL (future, replacing SQLite)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Docker network only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mTLS + password</w:t>
            </w:r>
          </w:p>
        </w:tc>
      </w:tr>
    </w:tbl>
    <w:p>
      <w:pPr>
        <w:spacing w:after="40"/>
      </w:pPr>
    </w:p>
    <w:p>
      <w:pPr>
        <w:spacing w:after="120"/>
      </w:pPr>
      <w:r>
        <w:rPr>
          <w:b/>
          <w:bCs/>
        </w:rPr>
        <w:t xml:space="preserve">Explicitly prohibited: </w:t>
      </w:r>
      <w:r>
        <w:t xml:space="preserve">Port 8080 (dev server), port 3000 (Next.js dev), port 11434 (Ollama), any debug/profiling ports. All dev-mode flags (--reload, --debug, FASTAPI_ENV=development) MUST be disabled in production Docker images via multi-stage build.</w:t>
      </w:r>
    </w:p>
    <w:p>
      <w:pPr>
        <w:spacing w:after="60"/>
      </w:pPr>
    </w:p>
    <w:p>
      <w:pPr>
        <w:pStyle w:val="Heading2"/>
      </w:pPr>
      <w:r>
        <w:t xml:space="preserve">Rate Limiting &amp; Abuse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Endpoint Group</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Rate Limit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Burst Allowance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Penalty on Violation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/api/system, /api/market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60 req/min per IP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10 req burst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429 + 60s cooldown</w:t>
            </w:r>
          </w:p>
        </w:tc>
      </w:tr>
      <w:tr>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/api/inference, /api/alpha</w:t>
            </w:r>
          </w:p>
        </w:tc>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30 req/min per IP</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5 req burst</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429 + 120s cooldown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/api/orders (POST)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10 req/min per IP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2 req burst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429 + 300s cooldown + alert</w:t>
            </w:r>
          </w:p>
        </w:tc>
      </w:tr>
      <w:tr>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/api/audit</w:t>
            </w:r>
          </w:p>
        </w:tc>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20 req/min per IP</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5 req burst</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429 + 60s cooldown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Auth endpoints (/login, /token)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5 req/min per IP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No burst</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429 + 600s cooldown + IP temp-ban after 3 violations</w:t>
            </w:r>
          </w:p>
        </w:tc>
      </w:tr>
    </w:tbl>
    <w:p>
      <w:pPr>
        <w:spacing w:after="40"/>
      </w:pPr>
    </w:p>
    <w:p>
      <w:pPr>
        <w:spacing w:after="120"/>
      </w:pPr>
      <w:r>
        <w:rPr>
          <w:b/>
          <w:bCs/>
        </w:rPr>
        <w:t xml:space="preserve">Suspicious connection blocking: </w:t>
      </w:r>
      <w:r>
        <w:t xml:space="preserve">NGINX module ngx_http_limit_req tracks IP patterns. IPs exceeding rate limits 5 times within 1 hour are automatically added to a temporary blocklist (24-hour duration). Persistent abusers (3+ blocklist entries in 7 days) are escalated to permanent ban requiring manual review. All blocking events are logged to /var/log/alpha-core/security.log with ISO 8601 timestamps.</w:t>
      </w:r>
    </w:p>
    <w:p>
      <w:pPr>
        <w:spacing w:after="60"/>
      </w:pPr>
    </w:p>
    <w:p>
      <w:pPr>
        <w:pStyle w:val="Heading2"/>
      </w:pPr>
      <w:r>
        <w:t xml:space="preserve">CORS &amp; Header Hardening</w:t>
      </w:r>
    </w:p>
    <w:p>
      <w:pPr>
        <w:spacing w:after="120"/>
      </w:pPr>
      <w:r>
        <w:t xml:space="preserve">Production CORS configuration:</w:t>
      </w:r>
    </w:p>
    <w:p>
      <w:pPr>
        <w:pStyle w:val="ListParagraph"/>
        <w:numPr>
          <w:ilvl w:val="0"/>
          <w:numId w:val="2"/>
        </w:numPr>
        <w:spacing w:after="60"/>
      </w:pPr>
      <w:r>
        <w:rPr>
          <w:b/>
          <w:bCs/>
        </w:rPr>
        <w:t xml:space="preserve">Allowed Origins: </w:t>
      </w:r>
      <w:r>
        <w:t xml:space="preserve">Only the production frontend domain (e.g., https://alpha-core.example.com). No wildcard (*) origins.</w:t>
      </w:r>
    </w:p>
    <w:p>
      <w:pPr>
        <w:pStyle w:val="ListParagraph"/>
        <w:numPr>
          <w:ilvl w:val="0"/>
          <w:numId w:val="2"/>
        </w:numPr>
        <w:spacing w:after="60"/>
      </w:pPr>
      <w:r>
        <w:rPr>
          <w:b/>
          <w:bCs/>
        </w:rPr>
        <w:t xml:space="preserve">Allowed Methods: </w:t>
      </w:r>
      <w:r>
        <w:t xml:space="preserve">GET, POST, OPTIONS only. No PUT, DELETE, PATCH in v1.</w:t>
      </w:r>
    </w:p>
    <w:p>
      <w:pPr>
        <w:pStyle w:val="ListParagraph"/>
        <w:numPr>
          <w:ilvl w:val="0"/>
          <w:numId w:val="2"/>
        </w:numPr>
        <w:spacing w:after="60"/>
      </w:pPr>
      <w:r>
        <w:rPr>
          <w:b/>
          <w:bCs/>
        </w:rPr>
        <w:t xml:space="preserve">Security Headers: </w:t>
      </w:r>
      <w:r>
        <w:t xml:space="preserve">X-Content-Type-Options: nosniff, X-Frame-Options: DENY, Content-Security-Policy: default-src 'self', Strict-Transport-Security: max-age=31536000; includeSubDomains</w:t>
      </w:r>
    </w:p>
    <w:p>
      <w:pPr>
        <w:pStyle w:val="ListParagraph"/>
        <w:numPr>
          <w:ilvl w:val="0"/>
          <w:numId w:val="2"/>
        </w:numPr>
        <w:spacing w:after="60"/>
      </w:pPr>
      <w:r>
        <w:rPr>
          <w:b/>
          <w:bCs/>
        </w:rPr>
        <w:t xml:space="preserve">Cookie Policy: </w:t>
      </w:r>
      <w:r>
        <w:t xml:space="preserve">SameSite=Strict, Secure, HttpOnly for all authentication cookies.</w:t>
      </w:r>
    </w:p>
    <w:p>
      <w:pPr>
        <w:spacing w:after="60"/>
      </w:pPr>
    </w:p>
    <w:p>
      <w:pPr>
        <w:pStyle w:val="Heading2"/>
      </w:pPr>
      <w:r>
        <w:t xml:space="preserve">Network Security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Verification Method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AC-NS.1</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No ports other than 443 are reachable from external network</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nmap -sV scan from external host returns only 443/tcp</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AC-NS.2</w:t>
            </w:r>
          </w:p>
        </w:tc>
        <w:tc>
          <w:tcPr>
            <w:tcW w:type="dxa" w:w="4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Rate limiting triggers 429 at configured thresholds</w:t>
            </w:r>
          </w:p>
        </w:tc>
        <w:tc>
          <w:tcPr>
            <w:tcW w:type="dxa" w:w="3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Artillery load test: 100 req/min to /api/market → expect 429 after 60th request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AC-NS.3</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Repeated rate-limit violations trigger IP temp-ban</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Script: exceed limit 5x in 1 hour → verify 403 response for next 24h</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AC-NS.4</w:t>
            </w:r>
          </w:p>
        </w:tc>
        <w:tc>
          <w:tcPr>
            <w:tcW w:type="dxa" w:w="4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TLS 1.3 is enforced, TLS 1.1/1.0 connections rejected</w:t>
            </w:r>
          </w:p>
        </w:tc>
        <w:tc>
          <w:tcPr>
            <w:tcW w:type="dxa" w:w="3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openssl s_client -tls1_1 → handshake failure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AC-NS.5</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security headers present in API responses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curl -I → verify X-Content-Type-Options, X-Frame-Options, CSP, HSTS all present</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AC-NS.6</w:t>
            </w:r>
          </w:p>
        </w:tc>
        <w:tc>
          <w:tcPr>
            <w:tcW w:type="dxa" w:w="4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Dev mode flags are absent in production Docker image</w:t>
            </w:r>
          </w:p>
        </w:tc>
        <w:tc>
          <w:tcPr>
            <w:tcW w:type="dxa" w:w="3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docker exec: env | grep -i debug → empty; FastAPI docs endpoint (/docs) returns 404</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AC-NS.7</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Security events logged with full context</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Trigger rate-limit → verify log entry with timestamp, IP, endpoint, violation count</w:t>
            </w:r>
          </w:p>
        </w:tc>
      </w:tr>
    </w:tbl>
    <w:p>
      <w:pPr>
        <w:spacing w:after="60"/>
      </w:pPr>
    </w:p>
    <w:p>
      <w:r>
        <w:br w:type="page"/>
      </w:r>
    </w:p>
    <w:p>
      <w:pPr>
        <w:pStyle w:val="Heading1"/>
      </w:pPr>
      <w:bookmarkStart w:name="bm_111" w:id="21"/>
      <w:r>
        <w:t xml:space="preserve">LLM Integration Architecture</w:t>
      </w:r>
      <w:bookmarkEnd w:id="21"/>
    </w:p>
    <w:p>
      <w:pPr>
        <w:spacing w:after="80"/>
      </w:pPr>
    </w:p>
    <w:p>
      <w:pPr>
        <w:spacing w:after="120"/>
      </w:pPr>
      <w:r>
        <w:t xml:space="preserve">v1.0 assumed a self-hosted Gemma 4 26B model via Ollama. v1.1 replaces this with a flexible </w:t>
      </w:r>
      <w:r>
        <w:rPr>
          <w:b/>
          <w:bCs/>
        </w:rPr>
        <w:t xml:space="preserve">API subscription model</w:t>
      </w:r>
      <w:r>
        <w:t xml:space="preserve"> using existing Coding Plan credits (OpenAI, Anthropic, Google AI, etc.). This eliminates GPU rental costs while providing access to frontier-class models.</w:t>
      </w:r>
    </w:p>
    <w:p>
      <w:pPr>
        <w:spacing w:after="60"/>
      </w:pPr>
    </w:p>
    <w:p>
      <w:pPr>
        <w:pStyle w:val="Heading2"/>
      </w:pPr>
      <w:r>
        <w:t xml:space="preserve">LLM Provider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1560"/>
        <w:gridCol w:w="120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Provider</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Model</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Use Case</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 Cost / 1K Calls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Fallback Priority</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Anthropic</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Claude Sonnet 4</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Primary: trading reasoning, factor hypothesis generation</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$0.45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(Primary)</w:t>
            </w:r>
          </w:p>
        </w:tc>
      </w:tr>
      <w:tr>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OpenAI</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GPT-4.1-mini</w:t>
            </w:r>
          </w:p>
        </w:tc>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Secondary: fast classification, gate commentary</w:t>
            </w:r>
          </w:p>
        </w:tc>
        <w:tc>
          <w:tcPr>
            <w:tcW w:type="dxa" w:w="1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$0.10</w:t>
            </w:r>
          </w:p>
        </w:tc>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(Fallback)</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Google AI</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Gemini 2.5 Flash</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Tertiary: lightweight summarization, audit narratives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$0.05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(Budget)</w:t>
            </w:r>
          </w:p>
        </w:tc>
      </w:tr>
      <w:tr>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DeepSeek</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DeepSeek-V3</w:t>
            </w:r>
          </w:p>
        </w:tc>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Quaternary: cost-effective bulk analysis</w:t>
            </w:r>
          </w:p>
        </w:tc>
        <w:tc>
          <w:tcPr>
            <w:tcW w:type="dxa" w:w="1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$0.02</w:t>
            </w:r>
          </w:p>
        </w:tc>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4 (Bulk)</w:t>
            </w:r>
          </w:p>
        </w:tc>
      </w:tr>
    </w:tbl>
    <w:p>
      <w:pPr>
        <w:spacing w:after="60"/>
      </w:pPr>
    </w:p>
    <w:p>
      <w:pPr>
        <w:pStyle w:val="Heading2"/>
      </w:pPr>
      <w:r>
        <w:t xml:space="preserve">LLMClientFactory Design</w:t>
      </w:r>
    </w:p>
    <w:p>
      <w:pPr>
        <w:spacing w:after="120"/>
      </w:pPr>
      <w:r>
        <w:t xml:space="preserve">A unified factory pattern abstracts away provider differences:</w:t>
      </w:r>
    </w:p>
    <w:p>
      <w:pPr>
        <w:pStyle w:val="ListParagraph"/>
        <w:numPr>
          <w:ilvl w:val="0"/>
          <w:numId w:val="2"/>
        </w:numPr>
        <w:spacing w:after="60"/>
      </w:pPr>
      <w:r>
        <w:rPr>
          <w:b/>
          <w:bCs/>
        </w:rPr>
        <w:t xml:space="preserve">Configuration via .env: </w:t>
      </w:r>
      <w:r>
        <w:t xml:space="preserve">LLM_PROVIDER=anthropic, LLM_API_KEY=sk-xxx, LLM_MODEL=claude-sonnet-4, LLM_BASE_URL (optional, for OpenAI-compatible endpoints)</w:t>
      </w:r>
    </w:p>
    <w:p>
      <w:pPr>
        <w:pStyle w:val="ListParagraph"/>
        <w:numPr>
          <w:ilvl w:val="0"/>
          <w:numId w:val="2"/>
        </w:numPr>
        <w:spacing w:after="60"/>
      </w:pPr>
      <w:r>
        <w:rPr>
          <w:b/>
          <w:bCs/>
        </w:rPr>
        <w:t xml:space="preserve">OpenAI-compatible interface: </w:t>
      </w:r>
      <w:r>
        <w:t xml:space="preserve">All providers expose a chat completion API. The factory maps to the appropriate SDK (anthropic, openai, google-genai) based on LLM_PROVIDER.</w:t>
      </w:r>
    </w:p>
    <w:p>
      <w:pPr>
        <w:pStyle w:val="ListParagraph"/>
        <w:numPr>
          <w:ilvl w:val="0"/>
          <w:numId w:val="2"/>
        </w:numPr>
        <w:spacing w:after="60"/>
      </w:pPr>
      <w:r>
        <w:rPr>
          <w:b/>
          <w:bCs/>
        </w:rPr>
        <w:t xml:space="preserve">Retry &amp; fallback: </w:t>
      </w:r>
      <w:r>
        <w:t xml:space="preserve">On 429 (rate limit) or 5xx errors, automatically retry with exponential backoff (1s, 2s, 4s). After 3 failures, cascade to next fallback provider.</w:t>
      </w:r>
    </w:p>
    <w:p>
      <w:pPr>
        <w:pStyle w:val="ListParagraph"/>
        <w:numPr>
          <w:ilvl w:val="0"/>
          <w:numId w:val="2"/>
        </w:numPr>
        <w:spacing w:after="60"/>
      </w:pPr>
      <w:r>
        <w:rPr>
          <w:b/>
          <w:bCs/>
        </w:rPr>
        <w:t xml:space="preserve">Cost tracking: </w:t>
      </w:r>
      <w:r>
        <w:t xml:space="preserve">Each LLM call logs: provider, model, input_tokens, output_tokens, latency_ms, estimated_cost_usd. Monthly budget cap configurable via LLM_MONTHLY_BUDGET_USD (default: $50).</w:t>
      </w:r>
    </w:p>
    <w:p>
      <w:pPr>
        <w:pStyle w:val="ListParagraph"/>
        <w:numPr>
          <w:ilvl w:val="0"/>
          <w:numId w:val="2"/>
        </w:numPr>
        <w:spacing w:after="60"/>
      </w:pPr>
      <w:r>
        <w:rPr>
          <w:b/>
          <w:bCs/>
        </w:rPr>
        <w:t xml:space="preserve">Prompt versioning: </w:t>
      </w:r>
      <w:r>
        <w:t xml:space="preserve">All system prompts stored in alpha_agent/prompts/ as versioned .txt files. Changes tracked in git. No inline prompt strings in application code.</w:t>
      </w:r>
    </w:p>
    <w:p>
      <w:pPr>
        <w:spacing w:after="60"/>
      </w:pPr>
    </w:p>
    <w:p>
      <w:pPr>
        <w:pStyle w:val="Heading2"/>
      </w:pPr>
      <w:r>
        <w:t xml:space="preserve">LLM Call Points in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Pipeline Stage</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LLM Task</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Expected Latency</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Fallback if LLM Unavailable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HypothesisAgent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Generate factor hypotheses from market context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2–5s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Return hardcoded hypothesis templates (momentum, mean-reversion, volatility)</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FactorAgent</w:t>
            </w:r>
          </w:p>
        </w:tc>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Translate hypothesis to DSL expression</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1–3s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Pattern-match hypothesis keywords to pre-built DSL templates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EvalAgent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Interpret IC/ICIR metrics and suggest improvements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2–4s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Return pass/fail based on numeric thresholds only</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TradingDecision</w:t>
            </w:r>
          </w:p>
        </w:tc>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Generate reasoning narrative for position decisions</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3–6s</w:t>
            </w:r>
          </w:p>
        </w:tc>
        <w:tc>
          <w:tcPr>
            <w:tcW w:type="dxa" w:w="2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Rule-based decision without narrative (direction + confidence only)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AuditNarrative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Summarize trading rationale for audit log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1–2s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Template-based summary: “{direction} {ticker} at {confidence}% confidence”</w:t>
            </w:r>
          </w:p>
        </w:tc>
      </w:tr>
    </w:tbl>
    <w:p>
      <w:pPr>
        <w:spacing w:after="60"/>
      </w:pPr>
    </w:p>
    <w:p>
      <w:pPr>
        <w:pStyle w:val="Heading2"/>
      </w:pPr>
      <w:r>
        <w:t xml:space="preserve">API Key Security</w:t>
      </w:r>
    </w:p>
    <w:p>
      <w:pPr>
        <w:pStyle w:val="ListParagraph"/>
        <w:numPr>
          <w:ilvl w:val="0"/>
          <w:numId w:val="2"/>
        </w:numPr>
        <w:spacing w:after="60"/>
      </w:pPr>
      <w:r>
        <w:rPr>
          <w:b/>
          <w:bCs/>
        </w:rPr>
        <w:t xml:space="preserve">Storage: </w:t>
      </w:r>
      <w:r>
        <w:t xml:space="preserve">API keys stored in .env file (never committed to git). .env listed in .gitignore. Production uses Docker secrets or cloud KMS.</w:t>
      </w:r>
    </w:p>
    <w:p>
      <w:pPr>
        <w:pStyle w:val="ListParagraph"/>
        <w:numPr>
          <w:ilvl w:val="0"/>
          <w:numId w:val="2"/>
        </w:numPr>
        <w:spacing w:after="60"/>
      </w:pPr>
      <w:r>
        <w:rPr>
          <w:b/>
          <w:bCs/>
        </w:rPr>
        <w:t xml:space="preserve">Rotation: </w:t>
      </w:r>
      <w:r>
        <w:t xml:space="preserve">API keys rotated every 90 days. Old keys revoked 24 hours after new key is verified working.</w:t>
      </w:r>
    </w:p>
    <w:p>
      <w:pPr>
        <w:pStyle w:val="ListParagraph"/>
        <w:numPr>
          <w:ilvl w:val="0"/>
          <w:numId w:val="2"/>
        </w:numPr>
        <w:spacing w:after="60"/>
      </w:pPr>
      <w:r>
        <w:rPr>
          <w:b/>
          <w:bCs/>
        </w:rPr>
        <w:t xml:space="preserve">Scoping: </w:t>
      </w:r>
      <w:r>
        <w:t xml:space="preserve">Each API key scoped to minimum required permissions. No admin-level keys in application code.</w:t>
      </w:r>
    </w:p>
    <w:p>
      <w:pPr>
        <w:pStyle w:val="ListParagraph"/>
        <w:numPr>
          <w:ilvl w:val="0"/>
          <w:numId w:val="2"/>
        </w:numPr>
        <w:spacing w:after="60"/>
      </w:pPr>
      <w:r>
        <w:rPr>
          <w:b/>
          <w:bCs/>
        </w:rPr>
        <w:t xml:space="preserve">Audit: </w:t>
      </w:r>
      <w:r>
        <w:t xml:space="preserve">All LLM API calls logged with provider name (never the key itself). Anomalous usage (&gt;3x normal daily spend) triggers alert.</w:t>
      </w:r>
    </w:p>
    <w:p>
      <w:pPr>
        <w:spacing w:after="60"/>
      </w:pPr>
    </w:p>
    <w:p>
      <w:pPr>
        <w:pStyle w:val="Heading2"/>
      </w:pPr>
      <w:r>
        <w:t xml:space="preserve">LLM Integration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Verification Method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AC-LLM.1</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LLMClientFactory routes to correct provider based on .env LLM_PROVIDER</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Unit test: mock .env with each provider → verify correct SDK client instantiated</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AC-LLM.2</w:t>
            </w:r>
          </w:p>
        </w:tc>
        <w:tc>
          <w:tcPr>
            <w:tcW w:type="dxa" w:w="4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Automatic fallback to secondary provider on primary failure</w:t>
            </w:r>
          </w:p>
        </w:tc>
        <w:tc>
          <w:tcPr>
            <w:tcW w:type="dxa" w:w="3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Integration test: mock primary 500 → verify call routed to fallback within 10s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AC-LLM.3</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pipeline stages function without LLM (graceful degradation)</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End-to-end test: set LLM_PROVIDER=none → full pipeline produces valid output</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AC-LLM.4</w:t>
            </w:r>
          </w:p>
        </w:tc>
        <w:tc>
          <w:tcPr>
            <w:tcW w:type="dxa" w:w="4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Cost tracking records accurate token counts per call</w:t>
            </w:r>
          </w:p>
        </w:tc>
        <w:tc>
          <w:tcPr>
            <w:tcW w:type="dxa" w:w="3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Run 10 known-length prompts → verify logged token counts match provider dashboard within 5%</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AC-LLM.5</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Monthly budget cap halts non-critical LLM calls when exceeded</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Mock accumulated cost at 95% of budget → verify next audit narrative call is skipped, trading decision still works</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AC-LLM.6</w:t>
            </w:r>
          </w:p>
        </w:tc>
        <w:tc>
          <w:tcPr>
            <w:tcW w:type="dxa" w:w="4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API keys never appear in logs, responses, or error messages</w:t>
            </w:r>
          </w:p>
        </w:tc>
        <w:tc>
          <w:tcPr>
            <w:tcW w:type="dxa" w:w="3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Grep all log files after 100 API calls → zero matches for key prefix patterns (sk-, key-)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AC-LLM.7</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Provider switch requires only .env change, zero code changes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Change LLM_PROVIDER from anthropic to openai → restart → verify pipeline produces valid output</w:t>
            </w:r>
          </w:p>
        </w:tc>
      </w:tr>
    </w:tbl>
    <w:p>
      <w:pPr>
        <w:spacing w:after="60"/>
      </w:pPr>
    </w:p>
    <w:p>
      <w:r>
        <w:br w:type="page"/>
      </w:r>
    </w:p>
    <w:p>
      <w:pPr>
        <w:pStyle w:val="Heading1"/>
      </w:pPr>
      <w:bookmarkStart w:name="bm_112" w:id="22"/>
      <w:r>
        <w:t xml:space="preserve">Data Source Strategy</w:t>
      </w:r>
      <w:bookmarkEnd w:id="22"/>
    </w:p>
    <w:p>
      <w:pPr>
        <w:spacing w:after="80"/>
      </w:pPr>
    </w:p>
    <w:p>
      <w:pPr>
        <w:spacing w:after="120"/>
      </w:pPr>
      <w:r>
        <w:t xml:space="preserve">Alpha Core v1.1 exclusively uses free, open-source data at daily granularity. This eliminates vendor lock-in and subscription costs while providing sufficient data quality for daily-rebalance strategies.</w:t>
      </w:r>
    </w:p>
    <w:p>
      <w:pPr>
        <w:spacing w:after="60"/>
      </w:pPr>
    </w:p>
    <w:p>
      <w:pPr>
        <w:pStyle w:val="Heading2"/>
      </w:pPr>
      <w:r>
        <w:t xml:space="preserve">Primary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200"/>
        <w:gridCol w:w="11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Coverage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Granularity</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API Limit</w:t>
            </w:r>
          </w:p>
        </w:tc>
        <w:tc>
          <w:tcPr>
            <w:tcW w:type="dxa" w:w="1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Fields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yfinance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US equities (NYSE, NASDAQ), ETFs, indices, crypto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Daily OHLCV (1999–present)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~2,000 req/hour (unofficial, respect rate limits)</w:t>
            </w:r>
          </w:p>
        </w:tc>
        <w:tc>
          <w:tcPr>
            <w:tcW w:type="dxa" w:w="1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Open, High, Low, Close, Adj Close, Volume, Dividends, Splits</w:t>
            </w:r>
          </w:p>
        </w:tc>
      </w:tr>
      <w:tr>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AKShare</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A-shares (SSE, SZSE), HK stocks, futures, macro</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Daily (varies by endpoint)</w:t>
            </w:r>
          </w:p>
        </w:tc>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No hard limit (respect server load)</w:t>
            </w:r>
          </w:p>
        </w:tc>
        <w:tc>
          <w:tcPr>
            <w:tcW w:type="dxa" w:w="1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OHLCV + turnover, PE/PB ratios, industry classification</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FRED API</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US macroeconomic indicators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Daily/Monthly</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120 req/min with free API key</w:t>
            </w:r>
          </w:p>
        </w:tc>
        <w:tc>
          <w:tcPr>
            <w:tcW w:type="dxa" w:w="1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GDP, CPI, unemployment, treasury yields, VIX</w:t>
            </w:r>
          </w:p>
        </w:tc>
      </w:tr>
      <w:tr>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Yahoo Finance (web)</w:t>
            </w:r>
          </w:p>
        </w:tc>
        <w:tc>
          <w:tcPr>
            <w:tcW w:type="dxa" w:w="2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Corporate actions, earnings calendar, analyst estimates</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Event-driven</w:t>
            </w:r>
          </w:p>
        </w:tc>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Scraping via yfinance wrapper</w:t>
            </w:r>
          </w:p>
        </w:tc>
        <w:tc>
          <w:tcPr>
            <w:tcW w:type="dxa" w:w="1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Earnings dates, dividend history, analyst recommendations</w:t>
            </w:r>
          </w:p>
        </w:tc>
      </w:tr>
    </w:tbl>
    <w:p>
      <w:pPr>
        <w:spacing w:after="60"/>
      </w:pPr>
    </w:p>
    <w:p>
      <w:pPr>
        <w:pStyle w:val="Heading2"/>
      </w:pPr>
      <w:r>
        <w:t xml:space="preserve">Caching &amp; Rate Limit Strategy</w:t>
      </w:r>
    </w:p>
    <w:p>
      <w:pPr>
        <w:pStyle w:val="ListParagraph"/>
        <w:numPr>
          <w:ilvl w:val="0"/>
          <w:numId w:val="2"/>
        </w:numPr>
        <w:spacing w:after="60"/>
      </w:pPr>
      <w:r>
        <w:rPr>
          <w:b/>
          <w:bCs/>
        </w:rPr>
        <w:t xml:space="preserve">Parquet local cache: </w:t>
      </w:r>
      <w:r>
        <w:t xml:space="preserve">All fetched data persisted in ~/.alpha_core/cache/{source}/{ticker}.parquet. Cache TTL: 4 hours for daily data (fetched once per trading day is sufficient).</w:t>
      </w:r>
    </w:p>
    <w:p>
      <w:pPr>
        <w:pStyle w:val="ListParagraph"/>
        <w:numPr>
          <w:ilvl w:val="0"/>
          <w:numId w:val="2"/>
        </w:numPr>
        <w:spacing w:after="60"/>
      </w:pPr>
      <w:r>
        <w:rPr>
          <w:b/>
          <w:bCs/>
        </w:rPr>
        <w:t xml:space="preserve">Incremental updates: </w:t>
      </w:r>
      <w:r>
        <w:t xml:space="preserve">Only fetch data newer than the latest cached date. Typical daily update: 1–2 API calls per ticker instead of full history re-download.</w:t>
      </w:r>
    </w:p>
    <w:p>
      <w:pPr>
        <w:pStyle w:val="ListParagraph"/>
        <w:numPr>
          <w:ilvl w:val="0"/>
          <w:numId w:val="2"/>
        </w:numPr>
        <w:spacing w:after="60"/>
      </w:pPr>
      <w:r>
        <w:rPr>
          <w:b/>
          <w:bCs/>
        </w:rPr>
        <w:t xml:space="preserve">Rate limit respect: </w:t>
      </w:r>
      <w:r>
        <w:t xml:space="preserve">yfinance calls throttled to max 1 request/second via asyncio.Semaphore. AKShare calls throttled to 1 request/2 seconds. Exponential backoff on 429/503.</w:t>
      </w:r>
    </w:p>
    <w:p>
      <w:pPr>
        <w:pStyle w:val="ListParagraph"/>
        <w:numPr>
          <w:ilvl w:val="0"/>
          <w:numId w:val="2"/>
        </w:numPr>
        <w:spacing w:after="60"/>
      </w:pPr>
      <w:r>
        <w:rPr>
          <w:b/>
          <w:bCs/>
        </w:rPr>
        <w:t xml:space="preserve">Offline mode: </w:t>
      </w:r>
      <w:r>
        <w:t xml:space="preserve">If all API calls fail, system operates from cached data with a stale-data warning banner in the dashboard. No hard failure.</w:t>
      </w:r>
    </w:p>
    <w:p>
      <w:pPr>
        <w:spacing w:after="60"/>
      </w:pPr>
    </w:p>
    <w:p>
      <w:pPr>
        <w:pStyle w:val="Heading2"/>
      </w:pPr>
      <w:r>
        <w:t xml:space="preserve">Data Source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Verification Method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AC-DS.1</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yfinance returns valid OHLCV for SPY, AAPL, NVDA, TSLA covering at least 2 years of history</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Unit test: fetch SPY daily → assert len(df) &gt; 500 and no NaN in Close column</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AC-DS.2</w:t>
            </w:r>
          </w:p>
        </w:tc>
        <w:tc>
          <w:tcPr>
            <w:tcW w:type="dxa" w:w="4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Parquet cache hit avoids network call on second access within TTL</w:t>
            </w:r>
          </w:p>
        </w:tc>
        <w:tc>
          <w:tcPr>
            <w:tcW w:type="dxa" w:w="3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Integration test: fetch ticker, mock network failure, fetch again → data returned from cache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AC-DS.3</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Rate limiting keeps yfinance below 1 req/sec sustained</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Load test: request 50 tickers concurrently → measure actual API call rate via logging timestamps</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AC-DS.4</w:t>
            </w:r>
          </w:p>
        </w:tc>
        <w:tc>
          <w:tcPr>
            <w:tcW w:type="dxa" w:w="4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Stale data warning shown when cache is older than 24 hours</w:t>
            </w:r>
          </w:p>
        </w:tc>
        <w:tc>
          <w:tcPr>
            <w:tcW w:type="dxa" w:w="39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Set system clock forward → dashboard shows amber warning banner with last-update timestamp</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AC-DS.5</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Zero paid API subscriptions required for core functionality</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Fresh install with no API keys (except optional FRED) → all 7 modules return valid data from yfinance</w:t>
            </w:r>
          </w:p>
        </w:tc>
      </w:tr>
    </w:tbl>
    <w:p>
      <w:pPr>
        <w:spacing w:after="60"/>
      </w:pPr>
    </w:p>
    <w:p>
      <w:r>
        <w:br w:type="page"/>
      </w:r>
    </w:p>
    <w:p>
      <w:pPr>
        <w:pStyle w:val="Heading1"/>
      </w:pPr>
      <w:bookmarkStart w:name="bm_113" w:id="23"/>
      <w:r>
        <w:t xml:space="preserve">Technology Reference &amp; Open-Source Foundations</w:t>
      </w:r>
      <w:bookmarkEnd w:id="23"/>
    </w:p>
    <w:p>
      <w:pPr>
        <w:spacing w:after="80"/>
      </w:pPr>
    </w:p>
    <w:p>
      <w:pPr>
        <w:spacing w:after="120"/>
      </w:pPr>
      <w:r>
        <w:t xml:space="preserve">The following open-source projects, frameworks, and academic references inform the design decisions in this blueprint:</w:t>
      </w:r>
    </w:p>
    <w:p>
      <w:pPr>
        <w:spacing w:after="60"/>
      </w:pPr>
    </w:p>
    <w:p>
      <w:pPr>
        <w:pStyle w:val="Heading2"/>
      </w:pPr>
      <w:r>
        <w:t xml:space="preserve">Open-Source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Project</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Relevance to Alpha Core</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Takeaway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Qlib (Microsoft)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Factor research framework with DSL, Alpha158 feature set</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Factor expression DSL design, IC/ICIR evaluation methodology</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Zipline (Quantopian)</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Event-driven backtesting engine</w:t>
            </w:r>
          </w:p>
        </w:tc>
        <w:tc>
          <w:tcPr>
            <w:tcW w:type="dxa" w:w="3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Pipeline architecture, data portal abstraction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Backtrader</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Python backtesting library</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Broker simulation, order types, slippage models</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VectorBT</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Vectorized backtesting</w:t>
            </w:r>
          </w:p>
        </w:tc>
        <w:tc>
          <w:tcPr>
            <w:tcW w:type="dxa" w:w="3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Vectorized portfolio metrics, fast P&amp;L computation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FinRL</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Deep RL for finance</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Environment design, reward shaping for trading agents</w:t>
            </w:r>
          </w:p>
        </w:tc>
      </w:tr>
      <w:tr>
        <w:tc>
          <w:tcPr>
            <w:tcW w:type="dxa" w:w="2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OpenBB</w:t>
            </w:r>
          </w:p>
        </w:tc>
        <w:tc>
          <w:tcPr>
            <w:tcW w:type="dxa" w:w="35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Open-source Bloomberg terminal</w:t>
            </w:r>
          </w:p>
        </w:tc>
        <w:tc>
          <w:tcPr>
            <w:tcW w:type="dxa" w:w="3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Multi-source data aggregation, terminal UI patterns</w:t>
            </w:r>
          </w:p>
        </w:tc>
      </w:tr>
    </w:tbl>
    <w:p>
      <w:pPr>
        <w:spacing w:after="100"/>
      </w:pPr>
    </w:p>
    <w:p>
      <w:pPr>
        <w:pStyle w:val="Heading2"/>
      </w:pPr>
      <w:r>
        <w:t xml:space="preserve">Academic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Application in Alpha Core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Amihud (2002), “Illiquidity and stock returns”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Amihud illiquidity ratio in Tier 2 features</w:t>
            </w:r>
          </w:p>
        </w:tc>
      </w:tr>
      <w:tr>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Roll (1984), “A simple implicit measure of the effective bid-ask spread”</w:t>
            </w:r>
          </w:p>
        </w:tc>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Roll spread estimator in Tier 2 features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Bao et al. (2017), “Deep learning for financial time series forecasting”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Justification for multi-model ensemble approach</w:t>
            </w:r>
          </w:p>
        </w:tc>
      </w:tr>
      <w:tr>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Sezer et al. (2020), “Financial time series forecasting with deep learning”</w:t>
            </w:r>
          </w:p>
        </w:tc>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Dynamic fusion weight literature review</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Roncalli (2013), “Introduction to Risk Parity and Budgeting”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Risk parity portfolio construction methodology</w:t>
            </w:r>
          </w:p>
        </w:tc>
      </w:tr>
      <w:tr>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Kelly (1956), “A new interpretation of information rate”</w:t>
            </w:r>
          </w:p>
        </w:tc>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Position sizing via Kelly criterion</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Marcos López de Prado (2018), “Advances in Financial Machine Learning”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Triple barrier method, cross-validation for financial data, feature importance</w:t>
            </w:r>
          </w:p>
        </w:tc>
      </w:tr>
    </w:tbl>
    <w:p>
      <w:pPr>
        <w:spacing w:after="60"/>
      </w:pPr>
    </w:p>
    <w:p>
      <w:r>
        <w:br w:type="page"/>
      </w:r>
    </w:p>
    <w:p>
      <w:pPr>
        <w:pStyle w:val="Heading1"/>
      </w:pPr>
      <w:bookmarkStart w:name="bm_114" w:id="24"/>
      <w:r>
        <w:t xml:space="preserve">Appendix: Glossary</w:t>
      </w:r>
      <w:bookmarkEnd w:id="24"/>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Term</w:t>
            </w:r>
          </w:p>
        </w:tc>
        <w:tc>
          <w:tcPr>
            <w:tcW w:type="dxa" w:w="6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IC (Information Coefficient)</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Correlation between factor signal and subsequent returns. IC &gt; 0.03 considered meaningful.</w:t>
            </w:r>
          </w:p>
        </w:tc>
      </w:tr>
      <w:tr>
        <w:tc>
          <w:tcPr>
            <w:tcW w:type="dxa" w:w="3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ICIR (IC Information Ratio)</w:t>
            </w:r>
          </w:p>
        </w:tc>
        <w:tc>
          <w:tcPr>
            <w:tcW w:type="dxa" w:w="6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IC mean divided by IC standard deviation. Measures signal consistency. ICIR &gt; 0.5 is strong.</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HMM (Hidden Markov Model)</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Statistical model for sequence data with hidden states. Used for market regime detection.</w:t>
            </w:r>
          </w:p>
        </w:tc>
      </w:tr>
      <w:tr>
        <w:tc>
          <w:tcPr>
            <w:tcW w:type="dxa" w:w="3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DSL (Domain-Specific Language)</w:t>
            </w:r>
          </w:p>
        </w:tc>
        <w:tc>
          <w:tcPr>
            <w:tcW w:type="dxa" w:w="6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Custom expression language for defining alpha factors. Qlib-compatible syntax.</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OHLCV</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Open, High, Low, Close, Volume — standard candlestick data format.</w:t>
            </w:r>
          </w:p>
        </w:tc>
      </w:tr>
      <w:tr>
        <w:tc>
          <w:tcPr>
            <w:tcW w:type="dxa" w:w="3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VaR (Value-at-Risk)</w:t>
            </w:r>
          </w:p>
        </w:tc>
        <w:tc>
          <w:tcPr>
            <w:tcW w:type="dxa" w:w="6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Statistical measure of maximum expected loss at a given confidence level.</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HHI (Herfindahl-Hirschman Index)</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Concentration measure. Sum of squared portfolio weights. Lower = more diversified.</w:t>
            </w:r>
          </w:p>
        </w:tc>
      </w:tr>
      <w:tr>
        <w:tc>
          <w:tcPr>
            <w:tcW w:type="dxa" w:w="3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Kelly Criterion</w:t>
            </w:r>
          </w:p>
        </w:tc>
        <w:tc>
          <w:tcPr>
            <w:tcW w:type="dxa" w:w="6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Optimal bet sizing formula based on edge and odds. Half-Kelly used for reduced variance.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Sharpe Ratio</w:t>
            </w:r>
          </w:p>
        </w:tc>
        <w:tc>
          <w:tcPr>
            <w:tcW w:type="dxa" w:w="6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(Return - Risk-free rate) / Volatility. Measures risk-adjusted return. &gt; 1.0 is good.</w:t>
            </w:r>
          </w:p>
        </w:tc>
      </w:tr>
      <w:tr>
        <w:tc>
          <w:tcPr>
            <w:tcW w:type="dxa" w:w="3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Alpha Decay</w:t>
            </w:r>
          </w:p>
        </w:tc>
        <w:tc>
          <w:tcPr>
            <w:tcW w:type="dxa" w:w="61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Rate at which a factor’s predictive power diminishes over forward time horizons.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360"/>
      </w:tabs>
    </w:pPr>
    <w:r>
      <w:rPr>
        <w:rFonts w:ascii="Arial" w:cs="Arial" w:eastAsia="Arial" w:hAnsi="Arial"/>
        <w:color w:val="999999"/>
        <w:sz w:val="16"/>
        <w:szCs w:val="16"/>
      </w:rPr>
      <w:t xml:space="preserve">Alpha Core — System Construction Blueprint</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2026-04-11T17:29:59.646Z</dcterms:created>
  <dcterms:modified xsi:type="dcterms:W3CDTF">2026-04-11T17:29:59.647Z</dcterms:modified>
</cp:coreProperties>
</file>

<file path=docProps/custom.xml><?xml version="1.0" encoding="utf-8"?>
<Properties xmlns="http://schemas.openxmlformats.org/officeDocument/2006/custom-properties" xmlns:vt="http://schemas.openxmlformats.org/officeDocument/2006/docPropsVTypes"/>
</file>