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5BE92">
      <w:pPr>
        <w:ind w:firstLine="2840" w:firstLineChars="1000"/>
        <w:rPr>
          <w:rFonts w:hint="eastAsia" w:ascii="微软雅黑" w:hAnsi="微软雅黑" w:eastAsia="微软雅黑"/>
          <w:spacing w:val="-18"/>
          <w:sz w:val="32"/>
        </w:rPr>
      </w:pPr>
    </w:p>
    <w:p w14:paraId="48DE5BF4">
      <w:pPr>
        <w:ind w:firstLine="2840" w:firstLineChars="1000"/>
        <w:rPr>
          <w:rFonts w:hint="eastAsia" w:ascii="微软雅黑" w:hAnsi="微软雅黑" w:eastAsia="微软雅黑"/>
          <w:spacing w:val="-18"/>
          <w:sz w:val="32"/>
        </w:rPr>
      </w:pPr>
    </w:p>
    <w:p w14:paraId="7C143052">
      <w:pPr>
        <w:ind w:firstLine="2840" w:firstLineChars="1000"/>
        <w:rPr>
          <w:rFonts w:hint="eastAsia" w:ascii="微软雅黑" w:hAnsi="微软雅黑" w:eastAsia="微软雅黑"/>
          <w:spacing w:val="-18"/>
          <w:sz w:val="32"/>
        </w:rPr>
      </w:pPr>
    </w:p>
    <w:p w14:paraId="421BE460">
      <w:pPr>
        <w:ind w:firstLine="2840" w:firstLineChars="1000"/>
        <w:rPr>
          <w:rFonts w:hint="eastAsia" w:ascii="微软雅黑" w:hAnsi="微软雅黑" w:eastAsia="微软雅黑"/>
          <w:spacing w:val="-18"/>
          <w:sz w:val="32"/>
        </w:rPr>
      </w:pPr>
    </w:p>
    <w:p w14:paraId="28C24297">
      <w:pPr>
        <w:ind w:firstLine="2221" w:firstLineChars="500"/>
        <w:rPr>
          <w:rFonts w:hint="eastAsia" w:ascii="微软雅黑" w:hAnsi="微软雅黑" w:eastAsia="微软雅黑"/>
          <w:spacing w:val="-18"/>
          <w:sz w:val="32"/>
        </w:rPr>
      </w:pPr>
      <w:r>
        <w:rPr>
          <w:rFonts w:hint="eastAsia" w:ascii="微软雅黑" w:hAnsi="微软雅黑" w:eastAsia="微软雅黑"/>
          <w:b/>
          <w:spacing w:val="-18"/>
          <w:sz w:val="48"/>
          <w:szCs w:val="48"/>
          <w:lang w:val="en-US" w:eastAsia="zh-CN"/>
        </w:rPr>
        <w:t>机器视觉实验报告</w:t>
      </w:r>
    </w:p>
    <w:p w14:paraId="16177640">
      <w:pPr>
        <w:ind w:firstLine="2840" w:firstLineChars="1000"/>
        <w:rPr>
          <w:rFonts w:hint="eastAsia" w:ascii="微软雅黑" w:hAnsi="微软雅黑" w:eastAsia="微软雅黑"/>
          <w:spacing w:val="-18"/>
          <w:sz w:val="32"/>
        </w:rPr>
      </w:pPr>
    </w:p>
    <w:p w14:paraId="276095E0">
      <w:pPr>
        <w:ind w:firstLine="2840" w:firstLineChars="1000"/>
        <w:jc w:val="left"/>
        <w:rPr>
          <w:rFonts w:hint="eastAsia" w:ascii="微软雅黑" w:hAnsi="微软雅黑" w:eastAsia="微软雅黑"/>
          <w:spacing w:val="-18"/>
          <w:sz w:val="32"/>
        </w:rPr>
      </w:pPr>
    </w:p>
    <w:p w14:paraId="5FFF6921">
      <w:pPr>
        <w:jc w:val="left"/>
        <w:rPr>
          <w:rFonts w:hint="eastAsia" w:ascii="微软雅黑" w:hAnsi="微软雅黑" w:eastAsia="微软雅黑"/>
          <w:spacing w:val="-18"/>
          <w:sz w:val="32"/>
        </w:rPr>
      </w:pPr>
    </w:p>
    <w:p w14:paraId="3BD69E53">
      <w:pPr>
        <w:jc w:val="left"/>
        <w:rPr>
          <w:rFonts w:hint="eastAsia" w:ascii="微软雅黑" w:hAnsi="微软雅黑" w:eastAsia="微软雅黑"/>
          <w:spacing w:val="-18"/>
          <w:sz w:val="32"/>
        </w:rPr>
      </w:pPr>
    </w:p>
    <w:p w14:paraId="3813015E">
      <w:pPr>
        <w:jc w:val="left"/>
        <w:rPr>
          <w:rFonts w:hint="eastAsia" w:ascii="微软雅黑" w:hAnsi="微软雅黑" w:eastAsia="微软雅黑"/>
          <w:spacing w:val="-18"/>
          <w:sz w:val="32"/>
        </w:rPr>
      </w:pPr>
    </w:p>
    <w:p w14:paraId="4BB3034A">
      <w:pPr>
        <w:jc w:val="left"/>
        <w:rPr>
          <w:rFonts w:hint="eastAsia" w:ascii="微软雅黑" w:hAnsi="微软雅黑" w:eastAsia="微软雅黑"/>
          <w:spacing w:val="-18"/>
          <w:sz w:val="32"/>
        </w:rPr>
      </w:pPr>
    </w:p>
    <w:p w14:paraId="66C11B18">
      <w:pPr>
        <w:jc w:val="center"/>
        <w:rPr>
          <w:rFonts w:hint="eastAsia" w:ascii="微软雅黑" w:hAnsi="微软雅黑" w:eastAsia="微软雅黑"/>
          <w:spacing w:val="-18"/>
          <w:sz w:val="32"/>
        </w:rPr>
      </w:pPr>
      <w:r>
        <w:rPr>
          <w:rFonts w:hint="eastAsia" w:ascii="微软雅黑" w:hAnsi="微软雅黑" w:eastAsia="微软雅黑"/>
          <w:spacing w:val="-18"/>
          <w:sz w:val="32"/>
        </w:rPr>
        <w:t xml:space="preserve">班 </w:t>
      </w:r>
      <w:r>
        <w:rPr>
          <w:rFonts w:ascii="微软雅黑" w:hAnsi="微软雅黑" w:eastAsia="微软雅黑"/>
          <w:spacing w:val="-18"/>
          <w:sz w:val="32"/>
        </w:rPr>
        <w:t xml:space="preserve"> </w:t>
      </w:r>
      <w:r>
        <w:rPr>
          <w:rFonts w:hint="eastAsia" w:ascii="微软雅黑" w:hAnsi="微软雅黑" w:eastAsia="微软雅黑"/>
          <w:spacing w:val="-18"/>
          <w:sz w:val="32"/>
        </w:rPr>
        <w:t xml:space="preserve">级 </w:t>
      </w:r>
      <w:r>
        <w:rPr>
          <w:rFonts w:hint="eastAsia" w:ascii="微软雅黑" w:hAnsi="微软雅黑" w:eastAsia="微软雅黑" w:cs="微软雅黑"/>
          <w:b w:val="0"/>
          <w:bCs w:val="0"/>
          <w:sz w:val="32"/>
          <w:szCs w:val="32"/>
          <w:u w:val="single"/>
          <w:lang w:val="en-US" w:eastAsia="zh-CN"/>
        </w:rPr>
        <w:t>智能科学与技术23</w:t>
      </w:r>
      <w:r>
        <w:rPr>
          <w:rFonts w:hint="eastAsia" w:ascii="微软雅黑" w:hAnsi="微软雅黑" w:eastAsia="微软雅黑" w:cs="微软雅黑"/>
          <w:b w:val="0"/>
          <w:bCs w:val="0"/>
          <w:sz w:val="32"/>
          <w:szCs w:val="32"/>
          <w:u w:val="single"/>
        </w:rPr>
        <w:t>-2班</w:t>
      </w:r>
    </w:p>
    <w:p w14:paraId="6CD5BAF4">
      <w:pPr>
        <w:ind w:firstLine="1988" w:firstLineChars="700"/>
        <w:jc w:val="both"/>
        <w:rPr>
          <w:rFonts w:hint="eastAsia" w:ascii="微软雅黑" w:hAnsi="微软雅黑" w:eastAsia="微软雅黑"/>
          <w:spacing w:val="-18"/>
          <w:sz w:val="32"/>
        </w:rPr>
      </w:pPr>
      <w:r>
        <w:rPr>
          <w:rFonts w:hint="eastAsia" w:ascii="微软雅黑" w:hAnsi="微软雅黑" w:eastAsia="微软雅黑"/>
          <w:spacing w:val="-18"/>
          <w:sz w:val="32"/>
        </w:rPr>
        <w:t xml:space="preserve">学  号 </w:t>
      </w:r>
      <w:r>
        <w:rPr>
          <w:rFonts w:hint="eastAsia" w:ascii="微软雅黑" w:hAnsi="微软雅黑" w:eastAsia="微软雅黑"/>
          <w:spacing w:val="-18"/>
          <w:sz w:val="32"/>
          <w:lang w:val="en-US" w:eastAsia="zh-CN"/>
        </w:rPr>
        <w:t xml:space="preserve"> </w:t>
      </w:r>
      <w:r>
        <w:rPr>
          <w:rFonts w:hint="eastAsia"/>
          <w:sz w:val="44"/>
          <w:szCs w:val="44"/>
          <w:u w:val="single"/>
        </w:rPr>
        <w:t xml:space="preserve">   </w:t>
      </w:r>
      <w:r>
        <w:rPr>
          <w:rFonts w:hint="eastAsia" w:ascii="微软雅黑" w:hAnsi="微软雅黑" w:eastAsia="微软雅黑" w:cs="微软雅黑"/>
          <w:sz w:val="32"/>
          <w:szCs w:val="32"/>
          <w:u w:val="single"/>
          <w:lang w:val="en-US" w:eastAsia="zh-CN"/>
        </w:rPr>
        <w:t>2023217569</w:t>
      </w:r>
    </w:p>
    <w:p w14:paraId="0B797458">
      <w:pPr>
        <w:ind w:firstLine="1988" w:firstLineChars="700"/>
        <w:jc w:val="both"/>
        <w:rPr>
          <w:rFonts w:hint="eastAsia" w:ascii="微软雅黑" w:hAnsi="微软雅黑" w:eastAsia="微软雅黑"/>
          <w:spacing w:val="-18"/>
          <w:sz w:val="32"/>
        </w:rPr>
      </w:pPr>
      <w:r>
        <w:rPr>
          <w:rFonts w:hint="eastAsia" w:ascii="微软雅黑" w:hAnsi="微软雅黑" w:eastAsia="微软雅黑"/>
          <w:spacing w:val="-18"/>
          <w:sz w:val="32"/>
        </w:rPr>
        <w:t>姓  名</w:t>
      </w:r>
      <w:r>
        <w:rPr>
          <w:rFonts w:hint="eastAsia" w:ascii="微软雅黑" w:hAnsi="微软雅黑" w:eastAsia="微软雅黑"/>
          <w:spacing w:val="-18"/>
          <w:sz w:val="3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 w:ascii="微软雅黑" w:hAnsi="微软雅黑" w:eastAsia="微软雅黑" w:cs="微软雅黑"/>
          <w:sz w:val="32"/>
          <w:szCs w:val="32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32"/>
          <w:szCs w:val="32"/>
          <w:u w:val="single"/>
          <w:lang w:val="en-US" w:eastAsia="zh-CN"/>
        </w:rPr>
        <w:t>曾旻淳</w:t>
      </w:r>
    </w:p>
    <w:p w14:paraId="4ED3FD6B">
      <w:pPr>
        <w:jc w:val="left"/>
      </w:pPr>
    </w:p>
    <w:p w14:paraId="6FF74FD3">
      <w:pPr>
        <w:jc w:val="left"/>
      </w:pPr>
    </w:p>
    <w:p w14:paraId="7DE661EB">
      <w:pPr>
        <w:jc w:val="left"/>
      </w:pPr>
    </w:p>
    <w:p w14:paraId="02CD8009">
      <w:pPr>
        <w:jc w:val="left"/>
      </w:pPr>
    </w:p>
    <w:p w14:paraId="525EA351">
      <w:pPr>
        <w:jc w:val="left"/>
      </w:pPr>
    </w:p>
    <w:p w14:paraId="5E7228F1">
      <w:pPr>
        <w:jc w:val="left"/>
      </w:pPr>
    </w:p>
    <w:p w14:paraId="7316C2E4">
      <w:pPr>
        <w:jc w:val="left"/>
      </w:pPr>
    </w:p>
    <w:p w14:paraId="7A94A794">
      <w:pPr>
        <w:jc w:val="left"/>
      </w:pPr>
    </w:p>
    <w:p w14:paraId="2EB864D4">
      <w:pPr>
        <w:jc w:val="left"/>
      </w:pPr>
    </w:p>
    <w:p w14:paraId="42CE2400">
      <w:pPr>
        <w:jc w:val="left"/>
      </w:pPr>
    </w:p>
    <w:p w14:paraId="6ABB50F6">
      <w:pPr>
        <w:jc w:val="left"/>
      </w:pPr>
    </w:p>
    <w:p w14:paraId="4AB759E4">
      <w:pPr>
        <w:jc w:val="left"/>
      </w:pPr>
    </w:p>
    <w:p w14:paraId="16F9F05E">
      <w:pPr>
        <w:jc w:val="left"/>
      </w:pPr>
    </w:p>
    <w:p w14:paraId="4335AD7E">
      <w:pPr>
        <w:jc w:val="left"/>
      </w:pPr>
    </w:p>
    <w:p w14:paraId="18DC95C6">
      <w:pPr>
        <w:jc w:val="left"/>
      </w:pPr>
    </w:p>
    <w:p w14:paraId="7FB0FA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实验二：多车道虚线检测</w:t>
      </w:r>
    </w:p>
    <w:p w14:paraId="0EF533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实验目的</w:t>
      </w:r>
    </w:p>
    <w:p w14:paraId="655C28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掌握图像预处理流程（高斯滤波、Canny 边缘检测）；理解霍夫变换检测直线的原理，实现多车道虚线精准提取；通过感兴趣区域（ROI）裁剪优化检测效果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ABADC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7F27B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实验原理</w:t>
      </w:r>
    </w:p>
    <w:p w14:paraId="14AFEB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图像预处理阶段，高斯滤波通过 5×5 高斯核对图像进行平滑处理，降低路面噪声对后续检测的干扰，核内权重遵循高斯分布，中心像素权重最高。Canny 边缘检测通过双阈值筛选边缘像素，保留高梯度值边缘并连接低梯度值候选边缘，得到连续清晰的边缘图像。霍夫变换将图像空间中的直线映射到参数空间，通过投票机制筛选出支持度高的直线，从而实现车道线的检测。ROI 提取则通过多边形掩码保留道路区域，排除天空、建筑物等无关背景，减少计算量并提高检测准确性。</w:t>
      </w:r>
    </w:p>
    <w:p w14:paraId="6DC294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07147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实验方法与代码实现</w:t>
      </w:r>
    </w:p>
    <w:p w14:paraId="23BF56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7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实验首先按照 “读取图像 - 预处理 - ROI 提取 - 直线检测 - 结果绘制” 的流程开展。第一步读取校园道路图像，先判断图像是否成功加载，若加载失败则提示路径错误，成功加载后转换为 RGB 格式用于 Matplotlib 显示，并记录图像尺寸：</w:t>
      </w:r>
      <w:r>
        <w:rPr>
          <w:rStyle w:val="7"/>
          <w:rFonts w:hint="eastAsia" w:ascii="宋体" w:hAnsi="宋体" w:eastAsia="宋体" w:cs="宋体"/>
          <w:color w:val="000000"/>
          <w:sz w:val="24"/>
          <w:szCs w:val="24"/>
        </w:rPr>
        <w:t>image_path = r"D:\jxsy2222.jpg"</w:t>
      </w:r>
    </w:p>
    <w:p w14:paraId="228D9A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img = cv2.imread(image_path)if img is None:</w:t>
      </w:r>
    </w:p>
    <w:p w14:paraId="559831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print("错误：未找到图片，请检查路径！")else:</w:t>
      </w:r>
    </w:p>
    <w:p w14:paraId="727F90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img_rgb = cv2.cvtColor(img, cv2.COLOR_BGR2RGB)</w:t>
      </w:r>
    </w:p>
    <w:p w14:paraId="2CB10D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img_copy = img.copy()  # 备份原图用于绘制结果</w:t>
      </w:r>
    </w:p>
    <w:p w14:paraId="3EC11F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height, width = img.shape[:2]</w:t>
      </w:r>
    </w:p>
    <w:p w14:paraId="626DA7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print(f"图片尺寸：宽{width} × 高{height}")</w:t>
      </w:r>
    </w:p>
    <w:p w14:paraId="1C7F6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预处理环节，先通过 5×5 高斯滤波降低路面噪声，避免噪声干扰边缘检测结果，再将彩色图像转为灰度图减少计算量，最后使用 Canny 边缘检测提取图像边缘，双阈值设置为 60 和 180，确保保留车道线等强边缘的同时过滤弱噪声边缘：</w:t>
      </w:r>
    </w:p>
    <w:p w14:paraId="771E79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</w:rPr>
        <w:t>blur = cv2.GaussianBlur(img, (5, 5), 1)  # 高斯滤波降噪</w:t>
      </w:r>
    </w:p>
    <w:p w14:paraId="345BDF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</w:rPr>
        <w:t>gray = cv2.cvtColor(blur, cv2.COLOR_BGR2GRAY)  # 灰度化</w:t>
      </w:r>
    </w:p>
    <w:p w14:paraId="35CF1E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</w:rPr>
        <w:t>canny = cv2.Canny(gray, 60, 180)  # Canny边缘检测</w:t>
      </w:r>
    </w:p>
    <w:p w14:paraId="273A06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为了聚焦道路区域，设计 ROI 提取函数，定义四边形顶点坐标，左下角为 (0, height)、右下角为 (width, height)、右上角为 (width-50, height//2)、左上角为 (50, height//2)，该区域能完整覆盖多车道道路，通过创建掩码并与边缘图像进行位运算，保留感兴趣区域的边缘：</w:t>
      </w:r>
    </w:p>
    <w:p w14:paraId="72C289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def region_of_interest(img):</w:t>
      </w:r>
    </w:p>
    <w:p w14:paraId="164B90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mask = np.zeros_like(img)  # 创建与图像同尺寸的黑色掩码</w:t>
      </w:r>
    </w:p>
    <w:p w14:paraId="7578DC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# 定义多车道ROI顶点</w:t>
      </w:r>
    </w:p>
    <w:p w14:paraId="0261B3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vertices = np.array([[(0, height)], [(width, height)], [(width-50, height//2)], [(50, height//2)]], dtype=np.int32)</w:t>
      </w:r>
    </w:p>
    <w:p w14:paraId="5A4BA6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cv2.fillPoly(mask, [vertices], 255)  # 填充掩码为白色</w:t>
      </w:r>
    </w:p>
    <w:p w14:paraId="52F3AF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masked_img = cv2.bitwise_and(img, mask)  # 位运算保留ROI边缘</w:t>
      </w:r>
    </w:p>
    <w:p w14:paraId="2EAD18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return masked_img</w:t>
      </w:r>
    </w:p>
    <w:p w14:paraId="2E9B9D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roi_img = region_of_interest(canny)</w:t>
      </w:r>
    </w:p>
    <w:p w14:paraId="1E3D90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直线检测采用霍夫变换的概率版本（HoughLinesP），该方法效率更高且能直接返回直线端点坐标。配置参数时，rho 设为 1 像素确保距离检测精度，theta 设为 π/180 确保角度检测精度，阈值设为 40 过滤弱支持度直线，最小线段长度 30 像素适配校园道路虚线单段长度，最大线段间隙 20 像素适配虚线段之间的间隔，避免将同一车道的虚线误判为多条直线：</w:t>
      </w:r>
    </w:p>
    <w:p w14:paraId="639F58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lines = cv2.HoughLinesP(</w:t>
      </w:r>
    </w:p>
    <w:p w14:paraId="5D0DCE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image=roi_img,</w:t>
      </w:r>
    </w:p>
    <w:p w14:paraId="31AD58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rho=1,  # 距离分辨率：1像素</w:t>
      </w:r>
    </w:p>
    <w:p w14:paraId="4EA2EB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theta=np.pi / 180,  # 角度分辨率：1度</w:t>
      </w:r>
    </w:p>
    <w:p w14:paraId="5C44E8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threshold=40,  # 投票阈值</w:t>
      </w:r>
    </w:p>
    <w:p w14:paraId="78CA7F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minLineLength=30,  # 最小线段长度</w:t>
      </w:r>
    </w:p>
    <w:p w14:paraId="06300D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maxLineGap=20  # 最大线段间隙)</w:t>
      </w:r>
    </w:p>
    <w:p w14:paraId="060D4A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为解决 OpenCV 中文显示为方框的问题，引入 PIL 库实现中文绘制函数，先将 OpenCV 图像转为 PIL 图像，加载系统自带的微软雅黑字体，计算文本尺寸后绘制背景框和中文文本，最后转回 OpenCV 格式：</w:t>
      </w:r>
    </w:p>
    <w:p w14:paraId="62E93E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def draw_cn_text_on_cv2(img, text, pos, font_size=14, text_color=(0,255,0), bg_color=(0,0,0)):</w:t>
      </w:r>
    </w:p>
    <w:p w14:paraId="717F15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img_pil = Image.fromarray(cv2.cvtColor(img, cv2.COLOR_BGR2RGB))  # BGR转RGB</w:t>
      </w:r>
    </w:p>
    <w:p w14:paraId="468579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draw = ImageDraw.Draw(img_pil)</w:t>
      </w:r>
    </w:p>
    <w:p w14:paraId="4310E0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try:</w:t>
      </w:r>
    </w:p>
    <w:p w14:paraId="7C0D1F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    font = ImageFont.truetype("C:/Windows/Fonts/msyh.ttc", font_size)  # 加载微软雅黑</w:t>
      </w:r>
    </w:p>
    <w:p w14:paraId="7C725B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except:</w:t>
      </w:r>
    </w:p>
    <w:p w14:paraId="7EEEDB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    font = ImageFont.load_default()</w:t>
      </w:r>
    </w:p>
    <w:p w14:paraId="0CFF27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bbox = draw.textbbox((0,0), text, font=font)  # 计算文本尺寸（适配高版本Pillow）</w:t>
      </w:r>
    </w:p>
    <w:p w14:paraId="33800D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text_w = bbox[2] - bbox[0]</w:t>
      </w:r>
    </w:p>
    <w:p w14:paraId="0353B7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text_h = bbox[3] - bbox[1]</w:t>
      </w:r>
    </w:p>
    <w:p w14:paraId="081629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x, y = pos</w:t>
      </w:r>
    </w:p>
    <w:p w14:paraId="48F467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draw.rectangle([x, y-text_h-2, x+text_w, y+2], fill=bg_color)  # 绘制背景框</w:t>
      </w:r>
    </w:p>
    <w:p w14:paraId="5D7BAE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draw.text((x, y-text_h), text, fill=text_color, font=font)  # 绘制中文</w:t>
      </w:r>
    </w:p>
    <w:p w14:paraId="7B53B3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return cv2.cvtColor(np.array(img_pil), cv2.COLOR_RGB2BGR)  # RGB转BGR</w:t>
      </w:r>
    </w:p>
    <w:p w14:paraId="399845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最后，遍历霍夫变换检测到的直线，过滤长度小于 20 像素的异常线段，用红色线条绘制车道线，调用中文绘制函数添加 “多车道虚线检测” 标注，创建 1×2 的子图对比显示原始图像和检测结果，同时将结果保存至指定目录。</w:t>
      </w:r>
    </w:p>
    <w:p w14:paraId="7D82F5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EB8F6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实验结果与分析</w:t>
      </w:r>
    </w:p>
    <w:p w14:paraId="30A98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预处理后的图像有效抑制了路面噪声，Canny 边缘检测准确提取了车道线边缘。霍夫变换成功检测到所有车道的白色虚线，检测框准确覆盖车道线，无漏检或误判情况。参数配置中，霍夫变换阈值设为 40 时有效过滤了弱边缘，30 像素的最小线段长度与 20 像素的最大线段间隙适配校园道路虚线规格，确保单段虚线被完整检测且相邻虚线段不被误判为断开。</w:t>
      </w:r>
    </w:p>
    <w:p w14:paraId="64D166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6690" cy="2583180"/>
            <wp:effectExtent l="0" t="0" r="381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341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实验体会</w:t>
      </w:r>
    </w:p>
    <w:p w14:paraId="2D6975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D31CF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通过本次车道线检测实验，我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认识到预处理步骤对检测结果的重要性，高斯滤波的降噪效果直接影响边缘检测质量</w:t>
      </w:r>
      <w:r>
        <w:rPr>
          <w:rFonts w:ascii="宋体" w:hAnsi="宋体" w:eastAsia="宋体" w:cs="宋体"/>
          <w:sz w:val="24"/>
          <w:szCs w:val="24"/>
        </w:rPr>
        <w:t>，而 ROI 区域的合理选择能有效减少背景干扰，提升检测效率。霍夫变换的参数调试过程让我体会到理论与实践结合的重要性。实验初期，我沿用了默认参数，导致部分短虚线段未被检测到，且出现了少量误判的直线。通过逐步调整阈值、最小线段长度和最大线段间隙，我发现参数设置需要紧密贴合实际场景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校园道路的虚线单段长度约 30 像素，间隙约 20 像素，因此将这两个参数分别设为 30 和 20 后，检测效果显著提升。这让我明白，机器视觉算法没有绝对通用的参数，需要根据具体场景的特征进行针对性优化，而这种优化能力需要通过反复实验和总结来积累。整个过程让我明白，机器视觉任务中，每一个步骤的细节处理都可能影响最终效果，需要耐心和严谨的态度。</w:t>
      </w:r>
    </w:p>
    <w:p w14:paraId="628826F8">
      <w:pPr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0" w:name="_GoBack"/>
      <w:bookmarkEnd w:id="0"/>
    </w:p>
    <w:p w14:paraId="3A9E8A4F">
      <w:pPr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CA2FA4"/>
    <w:rsid w:val="00517E11"/>
    <w:rsid w:val="26FA545B"/>
    <w:rsid w:val="2DD37B2E"/>
    <w:rsid w:val="3A3D556A"/>
    <w:rsid w:val="47CA2FA4"/>
    <w:rsid w:val="54DC2048"/>
    <w:rsid w:val="56715961"/>
    <w:rsid w:val="590E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7433</Words>
  <Characters>13452</Characters>
  <Lines>0</Lines>
  <Paragraphs>0</Paragraphs>
  <TotalTime>0</TotalTime>
  <ScaleCrop>false</ScaleCrop>
  <LinksUpToDate>false</LinksUpToDate>
  <CharactersWithSpaces>15254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2026-01-22T06:47:00Z</dcterms:created>
  <dc:creator>zzz木目鱼</dc:creator>
  <cp:lastModifiedBy>zzz木目鱼</cp:lastModifiedBy>
  <dcterms:modified xsi:type="dcterms:W3CDTF">2026-01-22T12:05:23Z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52042CFFCDEB44E988B2A9A3FE6655D9_13</vt:lpwstr>
  </property>
  <property fmtid="{D5CDD505-2E9C-101B-9397-08002B2CF9AE}" pid="4" name="KSOTemplateDocerSaveRecord">
    <vt:lpwstr>eyJoZGlkIjoiMjRlNGMyMzUwNTZiMzBhYzk5ODEwZTJkMGQ2YTJkMzAiLCJ1c2VySWQiOiIxNTI2Njc1NjE5In0=</vt:lpwstr>
  </property>
</Properties>
</file>