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AD4E4"/>
    <w:p w14:paraId="1DB2ADCB"/>
    <w:p w14:paraId="2DA7AD5D"/>
    <w:p w14:paraId="4D7D3040"/>
    <w:p w14:paraId="26405C14">
      <w:pPr>
        <w:jc w:val="center"/>
      </w:pPr>
      <w:r>
        <w:rPr>
          <w:b/>
          <w:sz w:val="52"/>
        </w:rPr>
        <w:t>3D拟物Layout编辑器</w:t>
      </w:r>
    </w:p>
    <w:p w14:paraId="2509F2B9">
      <w:pPr>
        <w:jc w:val="center"/>
      </w:pPr>
      <w:r>
        <w:rPr>
          <w:color w:val="444444"/>
          <w:sz w:val="30"/>
        </w:rPr>
        <w:t>基于GPU纹理方案的Wendland核热力图渲染系统</w:t>
      </w:r>
    </w:p>
    <w:p w14:paraId="413E67C1"/>
    <w:p w14:paraId="4762BD32">
      <w:pPr>
        <w:jc w:val="center"/>
      </w:pPr>
      <w:r>
        <w:rPr>
          <w:sz w:val="22"/>
        </w:rPr>
        <w:t>技术栈: Python 3.11 + PyQt5 + QWebEngineView + Three.js r160 + WebGL 2.0</w:t>
      </w:r>
    </w:p>
    <w:p w14:paraId="051F7616"/>
    <w:p w14:paraId="3C668055">
      <w:pPr>
        <w:jc w:val="center"/>
      </w:pPr>
      <w:r>
        <w:rPr>
          <w:sz w:val="20"/>
        </w:rPr>
        <w:t>Version 1.0.1 beta4  |  2026年7月</w:t>
      </w:r>
    </w:p>
    <w:p w14:paraId="0A6B3340">
      <w:r>
        <w:br w:type="page"/>
      </w:r>
    </w:p>
    <w:p w14:paraId="2FC47252">
      <w:pPr>
        <w:pStyle w:val="3"/>
      </w:pPr>
      <w:r>
        <w:t>第一章 项目概述</w:t>
      </w:r>
    </w:p>
    <w:p w14:paraId="4FD90FB1">
      <w:pPr>
        <w:pStyle w:val="4"/>
      </w:pPr>
      <w:r>
        <w:t>1.1 应用场景</w:t>
      </w:r>
    </w:p>
    <w:p w14:paraId="68D9136D">
      <w:r>
        <w:t>本系统服务于触觉传感器布局设计领域。设计工程师需要将数百个传感器单元(Cell)布置在3D曲面物体表面（如机器人灵巧手手套、康复鞋垫、压力分布测量坐垫等），并通过模拟各Cell在不同压力下的力场分布，直观评估布局合理性。系统的核心挑战在于：在任意复杂度的3D曲面上，实时渲染上千个Cell的力场热力图，且要求力场边缘平滑过渡、无锯齿、无抖动。</w:t>
      </w:r>
    </w:p>
    <w:p w14:paraId="68777BA7">
      <w:pPr>
        <w:pStyle w:val="4"/>
      </w:pPr>
      <w:r>
        <w:t>1.2 核心技术指标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7A61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2257F7">
            <w:r>
              <w:rPr>
                <w:b/>
              </w:rPr>
              <w:t>Cell渲染上限</w:t>
            </w:r>
          </w:p>
        </w:tc>
        <w:tc>
          <w:tcPr>
            <w:tcW w:w="4320" w:type="dxa"/>
          </w:tcPr>
          <w:p w14:paraId="037D9ACD">
            <w:r>
              <w:t>2048个（GPU纹理方案），实测200+Cell稳定60fps</w:t>
            </w:r>
          </w:p>
        </w:tc>
      </w:tr>
      <w:tr w14:paraId="4F6A3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1CAEC2">
            <w:r>
              <w:rPr>
                <w:b/>
              </w:rPr>
              <w:t>力场渲染方式</w:t>
            </w:r>
          </w:p>
        </w:tc>
        <w:tc>
          <w:tcPr>
            <w:tcW w:w="4320" w:type="dxa"/>
          </w:tcPr>
          <w:p w14:paraId="13DB1FE6">
            <w:r>
              <w:t>GPU ShaderMaterial逐像素Wendland核计算，完美圆形渐变</w:t>
            </w:r>
          </w:p>
        </w:tc>
      </w:tr>
      <w:tr w14:paraId="080586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E26C05">
            <w:r>
              <w:rPr>
                <w:b/>
              </w:rPr>
              <w:t>单帧渲染时间</w:t>
            </w:r>
          </w:p>
        </w:tc>
        <w:tc>
          <w:tcPr>
            <w:tcW w:w="4320" w:type="dxa"/>
          </w:tcPr>
          <w:p w14:paraId="5FAE4A25">
            <w:r>
              <w:t>&lt;16ms (稳定60fps)，压力不变时纹理上传完全跳过</w:t>
            </w:r>
          </w:p>
        </w:tc>
      </w:tr>
      <w:tr w14:paraId="1C1299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FDD944">
            <w:r>
              <w:rPr>
                <w:b/>
              </w:rPr>
              <w:t>3D模型支持</w:t>
            </w:r>
          </w:p>
        </w:tc>
        <w:tc>
          <w:tcPr>
            <w:tcW w:w="4320" w:type="dxa"/>
          </w:tcPr>
          <w:p w14:paraId="29307309">
            <w:r>
              <w:t>STL / OBJ / GLB / GLTF，自动降采样适配性能</w:t>
            </w:r>
          </w:p>
        </w:tc>
      </w:tr>
      <w:tr w14:paraId="4CAE8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885B74">
            <w:r>
              <w:rPr>
                <w:b/>
              </w:rPr>
              <w:t>运行环境</w:t>
            </w:r>
          </w:p>
        </w:tc>
        <w:tc>
          <w:tcPr>
            <w:tcW w:w="4320" w:type="dxa"/>
          </w:tcPr>
          <w:p w14:paraId="4868B4F1">
            <w:r>
              <w:t>Windows 10/11 64位，Chromium 83 (QWebEngine)，WebGL 2.0</w:t>
            </w:r>
          </w:p>
        </w:tc>
      </w:tr>
      <w:tr w14:paraId="4302D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EE3AFC">
            <w:r>
              <w:rPr>
                <w:b/>
              </w:rPr>
              <w:t>力场半径</w:t>
            </w:r>
          </w:p>
        </w:tc>
        <w:tc>
          <w:tcPr>
            <w:tcW w:w="4320" w:type="dxa"/>
          </w:tcPr>
          <w:p w14:paraId="30855438">
            <w:r>
              <w:t>10mm-80mm可调，自动适配模型单位(mm/cm/m)</w:t>
            </w:r>
          </w:p>
        </w:tc>
      </w:tr>
      <w:tr w14:paraId="7B4084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1A23E">
            <w:r>
              <w:rPr>
                <w:b/>
              </w:rPr>
              <w:t>模拟模式</w:t>
            </w:r>
          </w:p>
        </w:tc>
        <w:tc>
          <w:tcPr>
            <w:tcW w:w="4320" w:type="dxa"/>
          </w:tcPr>
          <w:p w14:paraId="01FC0743">
            <w:r>
              <w:t>波浪(Wave)、均匀(Uniform)、脉冲(Pulse)三种动态仿真</w:t>
            </w:r>
          </w:p>
        </w:tc>
      </w:tr>
      <w:tr w14:paraId="7FC93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98A772">
            <w:r>
              <w:rPr>
                <w:b/>
              </w:rPr>
              <w:t>撤销深度</w:t>
            </w:r>
          </w:p>
        </w:tc>
        <w:tc>
          <w:tcPr>
            <w:tcW w:w="4320" w:type="dxa"/>
          </w:tcPr>
          <w:p w14:paraId="7D06FCB9">
            <w:r>
              <w:t>100步 (snapShot)</w:t>
            </w:r>
          </w:p>
        </w:tc>
      </w:tr>
    </w:tbl>
    <w:p w14:paraId="781BF2BD">
      <w:pPr>
        <w:pStyle w:val="4"/>
      </w:pPr>
      <w:r>
        <w:t>1.3 技术演进路线</w:t>
      </w:r>
    </w:p>
    <w:p w14:paraId="06989C28">
      <w:r>
        <w:t>v1.0 — CPU Wendland核 + MeshPhongMaterial.vertexColors：在模型顶点上计算Wendland核，存入vertex color buffer，GPU通过三角插值渲染。单帧可处理任意Cell数，但低面数模型(如&lt;5000面)上色带边缘呈明显三角形锯齿。适用于快速原型验证。</w:t>
      </w:r>
      <w:r>
        <w:br w:type="textWrapping"/>
      </w:r>
      <w:r>
        <w:br w:type="textWrapping"/>
      </w:r>
      <w:r>
        <w:t>v2.0 — GPU ShaderMaterial + uniform数组：自写片段着色器逐像素计算Wendland核。色带完美圆形，不受模型面数影响。但GPU uniform寄存器硬上限为256个vec4阵列，实际可用Cell上限约128-256个，无法满足"上千Cell"需求。</w:t>
      </w:r>
      <w:r>
        <w:br w:type="textWrapping"/>
      </w:r>
      <w:r>
        <w:br w:type="textWrapping"/>
      </w:r>
      <w:r>
        <w:t>v3.0 — GPU ShaderMaterial + Float32纹理（当前版本）：将Cell数据打包为Float32Array，通过DataTexture(RGBA, FloatType)传入片段着色器。纹理存储在GPU显存中，不受uniform寄存器限制，Cell容量从256跃升至2048。同时引入缓存key去重和300ms纹理上传节流，消除高频更新导致的多Cell掉帧。</w:t>
      </w:r>
    </w:p>
    <w:p w14:paraId="71BBDEA0">
      <w:r>
        <w:br w:type="page"/>
      </w:r>
    </w:p>
    <w:p w14:paraId="06CB7764">
      <w:pPr>
        <w:pStyle w:val="3"/>
      </w:pPr>
      <w:r>
        <w:t>第二章 系统架构</w:t>
      </w:r>
    </w:p>
    <w:p w14:paraId="0C829441">
      <w:pPr>
        <w:pStyle w:val="4"/>
      </w:pPr>
      <w:r>
        <w:t>2.1 双层渲染管线</w:t>
      </w:r>
    </w:p>
    <w:p w14:paraId="5EF3B92E">
      <w:r>
        <w:t>系统采用"模型底衬+壳层叠加"的双层架构：</w:t>
      </w:r>
    </w:p>
    <w:p w14:paraId="53474AC4">
      <w:r>
        <w:t>模型层 (MeshPhongMaterial, renderOrder=0)：使用标准Phong材质，vertexColors=false，颜色设为中灰色(0x555d65)。该层负责提供3D模型的几何外观和光影效果，不参与力场颜色计算。渲染时写入深度缓冲(depthWrite=true, depthTest=true)。</w:t>
      </w:r>
    </w:p>
    <w:p w14:paraId="0AF69E61">
      <w:r>
        <w:t>壳层 (ShaderMaterial, renderOrder=3)：克隆模型几何体，将每个顶点沿法线方向偏移0.6mm (mm2u(0.6))，避免与模型层发生z-fighting。使用自定义ShaderMaterial，片段着色器中逐像素执行Wendland核计算。透明渲染(transparent=true)，不写深度缓冲(depthWrite=false)，测试深度(depthTest=true)。无Cell覆盖区域通过discard指令完全透明，露出底层模型。</w:t>
      </w:r>
    </w:p>
    <w:p w14:paraId="53E027F6">
      <w:r>
        <w:t>Cell圆盘层 (MeshPhongMaterial, renderOrder=5)：每个Cell的圆盘网格单独渲染在最上层，深度测试关闭(depthTest=false)，始终可见。圆盘颜色由Cell压力值动态决定：P=0→蓝色(RGB:0,0.05,0.70)，P=1→红色(RGB:1,0,0)。</w:t>
      </w:r>
    </w:p>
    <w:p w14:paraId="3D910167">
      <w:pPr>
        <w:pStyle w:val="4"/>
      </w:pPr>
      <w:r>
        <w:t>2.2 场景树结构</w:t>
      </w:r>
    </w:p>
    <w:p w14:paraId="6E401FA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RT (Group) — 根变换节点，实现模型居中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M (Mesh, MeshPhongMaterial)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renderOrder=0, vertexColors=false, color=0x555d65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├── HM (Mesh, ShaderMaterial) ← 壳层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renderOrder=3, transparent=true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geometry = M.geometry.clone() + 法线偏移0.6mm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   2048 Cell数据通过DataTexture(FloatType)传入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│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└── CG (Group)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└── [每个Cell一个Group, renderOrder=5]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Mesh → 圆盘 (depthTest=false)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Sprite → ID标签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├── Mesh → 中心点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└── Line → 轮廓线</w:t>
      </w:r>
    </w:p>
    <w:p w14:paraId="5B405C8E">
      <w:pPr>
        <w:pStyle w:val="4"/>
      </w:pPr>
      <w:r>
        <w:t>2.3 坐标系转换</w:t>
      </w:r>
    </w:p>
    <w:p w14:paraId="24C187D3">
      <w:r>
        <w:t>Cell在JS端以RT局部空间存储（通过RT.worldToLocal(worldPoint)获取）。在syncHeatmapShellColors()中，通过 applyMatrix4(RT.matrixWorld) 将Cell坐标转换到世界空间，写入Float32Array纹理。壳层片段着色器中，vWP = modelMatrix × vec4(position,1.0) 也是世界空间。两者在同一坐标系下进行距离计算：d = length(vWP - uCP[i])，保证计算结果一致性。</w:t>
      </w:r>
    </w:p>
    <w:p w14:paraId="25F02A77">
      <w:r>
        <w:br w:type="page"/>
      </w:r>
    </w:p>
    <w:p w14:paraId="32813B58">
      <w:pPr>
        <w:pStyle w:val="3"/>
      </w:pPr>
      <w:r>
        <w:t>第三章 核心算法：Wendland加权平均法</w:t>
      </w:r>
    </w:p>
    <w:p w14:paraId="160A6C73">
      <w:pPr>
        <w:pStyle w:val="4"/>
      </w:pPr>
      <w:r>
        <w:t>3.1 问题形式化</w:t>
      </w:r>
    </w:p>
    <w:p w14:paraId="26FB14F6">
      <w:r>
        <w:t>给定N个传感器单元(Cell)，第i个Cell由四元组定义：</w:t>
      </w:r>
    </w:p>
    <w:p w14:paraId="1518BB4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Cell_i = { c_i: (x_i, y_i, z_i) world-space position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R_i: field influence radius (mm)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P_i: pressure value ∈ [0.0, 1.0] }</w:t>
      </w:r>
    </w:p>
    <w:p w14:paraId="7821E6C4">
      <w:r>
        <w:t>对于壳层几何体上任一顶点（对应模型表面点x），定义其到Cell i的归一化距离：</w:t>
      </w:r>
    </w:p>
    <w:p w14:paraId="760A612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r_i(x) = ‖x - c_i‖ / R_i</w:t>
      </w:r>
    </w:p>
    <w:p w14:paraId="3AC73995">
      <w:r>
        <w:t>当r_i &lt; 1时，点x在Cell i的力场影响范围内；当r_i ≥ 1时，Cell i对点x无影响。</w:t>
      </w:r>
    </w:p>
    <w:p w14:paraId="6B9DA066">
      <w:pPr>
        <w:pStyle w:val="4"/>
      </w:pPr>
      <w:r>
        <w:t>3.2 Wendland C²核函数</w:t>
      </w:r>
    </w:p>
    <w:p w14:paraId="2E1CE906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φ(r) = { (1-r)⁴ × (4r + 1)    0 ≤ r &lt; 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{ 0                      r ≥ 1</w:t>
      </w:r>
    </w:p>
    <w:p w14:paraId="5D8F9C3C">
      <w:r>
        <w:t>Wendland核属于紧支撑径向基函数(RBF)家族，具有以下关键数学性质：</w:t>
      </w:r>
      <w:r>
        <w:br w:type="textWrapping"/>
      </w:r>
      <w:r>
        <w:br w:type="textWrapping"/>
      </w:r>
      <w:r>
        <w:t>1) 紧支撑性：支撑集为[0,1]，r≥1处精确为零，无需人工截断。相比高斯核exp(-r²/2σ²)需要设定截断阈值（如r&gt;3σ截断），Wendland核天然避免了截断误差。</w:t>
      </w:r>
      <w:r>
        <w:br w:type="textWrapping"/>
      </w:r>
      <w:r>
        <w:br w:type="textWrapping"/>
      </w:r>
      <w:r>
        <w:t>2) C²连续性：φ(r)及其一阶导数φ'(r)、二阶导数φ''(r)在r=0和r=1处均连续。这意味着力场颜色在空间上二阶可导，视觉上绝对平滑，不会出现"折角"或"硬边"。</w:t>
      </w:r>
      <w:r>
        <w:br w:type="textWrapping"/>
      </w:r>
      <w:r>
        <w:br w:type="textWrapping"/>
      </w:r>
      <w:r>
        <w:t>3) 正定性：在3D空间中，Wendland C²核是严格正定函数，保证插值问题的解唯一存在。</w:t>
      </w:r>
    </w:p>
    <w:p w14:paraId="316356A0">
      <w:r>
        <w:t>φ(r)在各归一化距离处的精确值：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98FC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5A069B">
            <w:r>
              <w:t>r</w:t>
            </w:r>
          </w:p>
        </w:tc>
        <w:tc>
          <w:tcPr>
            <w:tcW w:w="2880" w:type="dxa"/>
          </w:tcPr>
          <w:p w14:paraId="2E577922">
            <w:r>
              <w:t>φ(r)</w:t>
            </w:r>
          </w:p>
        </w:tc>
        <w:tc>
          <w:tcPr>
            <w:tcW w:w="2880" w:type="dxa"/>
          </w:tcPr>
          <w:p w14:paraId="6F7EEC0E">
            <w:r>
              <w:t>说明</w:t>
            </w:r>
          </w:p>
        </w:tc>
      </w:tr>
      <w:tr w14:paraId="34E0A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E6BC73">
            <w:r>
              <w:t>0.000</w:t>
            </w:r>
          </w:p>
        </w:tc>
        <w:tc>
          <w:tcPr>
            <w:tcW w:w="2880" w:type="dxa"/>
          </w:tcPr>
          <w:p w14:paraId="4B5D0656">
            <w:r>
              <w:t>1.0000</w:t>
            </w:r>
          </w:p>
        </w:tc>
        <w:tc>
          <w:tcPr>
            <w:tcW w:w="2880" w:type="dxa"/>
          </w:tcPr>
          <w:p w14:paraId="5394D6B6">
            <w:r>
              <w:t>Cell中心 — 100%强度</w:t>
            </w:r>
          </w:p>
        </w:tc>
      </w:tr>
      <w:tr w14:paraId="00F93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DEFBF1">
            <w:r>
              <w:t>0.100</w:t>
            </w:r>
          </w:p>
        </w:tc>
        <w:tc>
          <w:tcPr>
            <w:tcW w:w="2880" w:type="dxa"/>
          </w:tcPr>
          <w:p w14:paraId="1A26AE0D">
            <w:r>
              <w:t>0.9185</w:t>
            </w:r>
          </w:p>
        </w:tc>
        <w:tc>
          <w:tcPr>
            <w:tcW w:w="2880" w:type="dxa"/>
          </w:tcPr>
          <w:p w14:paraId="60F7998D">
            <w:r>
              <w:t>近中心区 — 92%强度</w:t>
            </w:r>
          </w:p>
        </w:tc>
      </w:tr>
      <w:tr w14:paraId="67E5A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9DA4D">
            <w:r>
              <w:t>0.200</w:t>
            </w:r>
          </w:p>
        </w:tc>
        <w:tc>
          <w:tcPr>
            <w:tcW w:w="2880" w:type="dxa"/>
          </w:tcPr>
          <w:p w14:paraId="6569AC3D">
            <w:r>
              <w:t>0.7373</w:t>
            </w:r>
          </w:p>
        </w:tc>
        <w:tc>
          <w:tcPr>
            <w:tcW w:w="2880" w:type="dxa"/>
          </w:tcPr>
          <w:p w14:paraId="1D9A1668">
            <w:r>
              <w:t>80%半径处 — 74%强度</w:t>
            </w:r>
          </w:p>
        </w:tc>
      </w:tr>
      <w:tr w14:paraId="06AE79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1976C">
            <w:r>
              <w:t>0.300</w:t>
            </w:r>
          </w:p>
        </w:tc>
        <w:tc>
          <w:tcPr>
            <w:tcW w:w="2880" w:type="dxa"/>
          </w:tcPr>
          <w:p w14:paraId="10D9BC46">
            <w:r>
              <w:t>0.5282</w:t>
            </w:r>
          </w:p>
        </w:tc>
        <w:tc>
          <w:tcPr>
            <w:tcW w:w="2880" w:type="dxa"/>
          </w:tcPr>
          <w:p w14:paraId="171568AF">
            <w:r>
              <w:t>70%半径处 — 53%强度</w:t>
            </w:r>
          </w:p>
        </w:tc>
      </w:tr>
      <w:tr w14:paraId="3EFFAB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537D68">
            <w:r>
              <w:t>0.400</w:t>
            </w:r>
          </w:p>
        </w:tc>
        <w:tc>
          <w:tcPr>
            <w:tcW w:w="2880" w:type="dxa"/>
          </w:tcPr>
          <w:p w14:paraId="3643EAFF">
            <w:r>
              <w:t>0.3369</w:t>
            </w:r>
          </w:p>
        </w:tc>
        <w:tc>
          <w:tcPr>
            <w:tcW w:w="2880" w:type="dxa"/>
          </w:tcPr>
          <w:p w14:paraId="262FC658">
            <w:r>
              <w:t>60%半径处 — 34%强度</w:t>
            </w:r>
          </w:p>
        </w:tc>
      </w:tr>
      <w:tr w14:paraId="6DCD4C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B9D57">
            <w:r>
              <w:t>0.500</w:t>
            </w:r>
          </w:p>
        </w:tc>
        <w:tc>
          <w:tcPr>
            <w:tcW w:w="2880" w:type="dxa"/>
          </w:tcPr>
          <w:p w14:paraId="3E3B1318">
            <w:r>
              <w:t>0.1875</w:t>
            </w:r>
          </w:p>
        </w:tc>
        <w:tc>
          <w:tcPr>
            <w:tcW w:w="2880" w:type="dxa"/>
          </w:tcPr>
          <w:p w14:paraId="22EEAA87">
            <w:r>
              <w:t>50%半径处(半场) — 19%强度</w:t>
            </w:r>
          </w:p>
        </w:tc>
      </w:tr>
      <w:tr w14:paraId="271196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8A6A9">
            <w:r>
              <w:t>0.600</w:t>
            </w:r>
          </w:p>
        </w:tc>
        <w:tc>
          <w:tcPr>
            <w:tcW w:w="2880" w:type="dxa"/>
          </w:tcPr>
          <w:p w14:paraId="614F80F0">
            <w:r>
              <w:t>0.0870</w:t>
            </w:r>
          </w:p>
        </w:tc>
        <w:tc>
          <w:tcPr>
            <w:tcW w:w="2880" w:type="dxa"/>
          </w:tcPr>
          <w:p w14:paraId="2BC927EA">
            <w:r>
              <w:t>40%半径处 — 9%强度</w:t>
            </w:r>
          </w:p>
        </w:tc>
      </w:tr>
      <w:tr w14:paraId="3E36F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E3A73">
            <w:r>
              <w:t>0.700</w:t>
            </w:r>
          </w:p>
        </w:tc>
        <w:tc>
          <w:tcPr>
            <w:tcW w:w="2880" w:type="dxa"/>
          </w:tcPr>
          <w:p w14:paraId="554E6E2D">
            <w:r>
              <w:t>0.0292</w:t>
            </w:r>
          </w:p>
        </w:tc>
        <w:tc>
          <w:tcPr>
            <w:tcW w:w="2880" w:type="dxa"/>
          </w:tcPr>
          <w:p w14:paraId="250DBA44">
            <w:r>
              <w:t>30%半径处 — 3%强度</w:t>
            </w:r>
          </w:p>
        </w:tc>
      </w:tr>
      <w:tr w14:paraId="6BA580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2F4FB">
            <w:r>
              <w:t>0.800</w:t>
            </w:r>
          </w:p>
        </w:tc>
        <w:tc>
          <w:tcPr>
            <w:tcW w:w="2880" w:type="dxa"/>
          </w:tcPr>
          <w:p w14:paraId="2FF33A15">
            <w:r>
              <w:t>0.0067</w:t>
            </w:r>
          </w:p>
        </w:tc>
        <w:tc>
          <w:tcPr>
            <w:tcW w:w="2880" w:type="dxa"/>
          </w:tcPr>
          <w:p w14:paraId="0CDD85FB">
            <w:r>
              <w:t>20%半径处 — &lt;1%强度</w:t>
            </w:r>
          </w:p>
        </w:tc>
      </w:tr>
      <w:tr w14:paraId="50FD4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6BEC61">
            <w:r>
              <w:t>0.900</w:t>
            </w:r>
          </w:p>
        </w:tc>
        <w:tc>
          <w:tcPr>
            <w:tcW w:w="2880" w:type="dxa"/>
          </w:tcPr>
          <w:p w14:paraId="35A43510">
            <w:r>
              <w:t>0.0005</w:t>
            </w:r>
          </w:p>
        </w:tc>
        <w:tc>
          <w:tcPr>
            <w:tcW w:w="2880" w:type="dxa"/>
          </w:tcPr>
          <w:p w14:paraId="57CBC347">
            <w:r>
              <w:t>边缘附近 — 几乎消失</w:t>
            </w:r>
          </w:p>
        </w:tc>
      </w:tr>
      <w:tr w14:paraId="1CA6E5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AF6D1">
            <w:r>
              <w:t>1.000</w:t>
            </w:r>
          </w:p>
        </w:tc>
        <w:tc>
          <w:tcPr>
            <w:tcW w:w="2880" w:type="dxa"/>
          </w:tcPr>
          <w:p w14:paraId="569F9977">
            <w:r>
              <w:t>0.0000</w:t>
            </w:r>
          </w:p>
        </w:tc>
        <w:tc>
          <w:tcPr>
            <w:tcW w:w="2880" w:type="dxa"/>
          </w:tcPr>
          <w:p w14:paraId="1DE509FD">
            <w:r>
              <w:t>场边界 — 精确归零</w:t>
            </w:r>
          </w:p>
        </w:tc>
      </w:tr>
    </w:tbl>
    <w:p w14:paraId="57F6D388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4D3F">
      <w:pPr>
        <w:jc w:val="center"/>
      </w:pPr>
      <w:r>
        <w:t>图1: Wendland C²核函数与高斯核(σ=0.38)对比</w:t>
      </w:r>
    </w:p>
    <w:p w14:paraId="3BB05318">
      <w:pPr>
        <w:pStyle w:val="4"/>
      </w:pPr>
      <w:r>
        <w:t>3.3 加权平均公式</w:t>
      </w:r>
    </w:p>
    <w:p w14:paraId="59B1A49C">
      <w:r>
        <w:t>点x处的等效压力值S(x)为各Cell压力的距离加权平均：</w:t>
      </w:r>
    </w:p>
    <w:p w14:paraId="080170BA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 xml:space="preserve">        Σ P_i × φ(r_i(x))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S(x) = ───────────────────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Σ φ(r_i(x))</w:t>
      </w:r>
    </w:p>
    <w:p w14:paraId="6D6A4E96">
      <w:r>
        <w:t>物理直觉：距离点x越近的Cell，其压力值在加权平均中占比越大。极端情况——点x恰好在Cell i的中心：r_i=0, φ(0)=1, r_j→∞ for j≠i。此时 S(x) = (P_i×1) / (1+0) = P_i → 点x的压力完全由Cell i决定。</w:t>
      </w:r>
    </w:p>
    <w:p w14:paraId="19F95FEE">
      <w:pPr>
        <w:pStyle w:val="4"/>
      </w:pPr>
      <w:r>
        <w:t>3.4 多Cell叠加案例分析</w:t>
      </w:r>
    </w:p>
    <w:p w14:paraId="12868AB8">
      <w:r>
        <w:t>案例1 — 两Cell压力相同 (P₁=P₂=0.8, 间距=0.6R)：</w:t>
      </w:r>
      <w:r>
        <w:br w:type="textWrapping"/>
      </w:r>
      <w:r>
        <w:t xml:space="preserve">  中点处: r₁=r₂=0.3, φ₁=φ₂=0.5282</w:t>
      </w:r>
      <w:r>
        <w:br w:type="textWrapping"/>
      </w:r>
      <w:r>
        <w:t xml:space="preserve">  S = (0.8×0.5282 + 0.8×0.5282) / (0.5282+0.5282) = 0.8</w:t>
      </w:r>
      <w:r>
        <w:br w:type="textWrapping"/>
      </w:r>
      <w:r>
        <w:t xml:space="preserve">  中点压力 = 各Cell压力 → 两Cell力场完全融合，无色差。</w:t>
      </w:r>
      <w:r>
        <w:br w:type="textWrapping"/>
      </w:r>
      <w:r>
        <w:br w:type="textWrapping"/>
      </w:r>
      <w:r>
        <w:t>案例2 — 两Cell压力不同 (P₁=0.9, P₂=0.2, 间距=0.6R)：</w:t>
      </w:r>
      <w:r>
        <w:br w:type="textWrapping"/>
      </w:r>
      <w:r>
        <w:t xml:space="preserve">  中点处: r₁=r₂=0.3, φ₁=φ₂=0.5282</w:t>
      </w:r>
      <w:r>
        <w:br w:type="textWrapping"/>
      </w:r>
      <w:r>
        <w:t xml:space="preserve">  S = (0.9×0.5282 + 0.2×0.5282) / (0.5282+0.5282) = 0.55</w:t>
      </w:r>
      <w:r>
        <w:br w:type="textWrapping"/>
      </w:r>
      <w:r>
        <w:t xml:space="preserve">  中点压力 = 0.55, 偏向高压Cell (0.9), 平滑过渡到低压Cell (0.2)。</w:t>
      </w:r>
    </w:p>
    <w:p w14:paraId="02FA2355">
      <w:pPr>
        <w:jc w:val="center"/>
      </w:pPr>
      <w:r>
        <w:drawing>
          <wp:inline distT="0" distB="0" distL="114300" distR="114300">
            <wp:extent cx="5029200" cy="201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5E8E">
      <w:pPr>
        <w:jc w:val="center"/>
      </w:pPr>
      <w:r>
        <w:t>图2: 单Cell(P=0.8)与双Cell(P₁=0.9,P₂=0.3)力场2D仿真</w:t>
      </w:r>
    </w:p>
    <w:p w14:paraId="3F61459A">
      <w:pPr>
        <w:pStyle w:val="4"/>
      </w:pPr>
      <w:r>
        <w:t>3.5 热力图色带映射</w:t>
      </w:r>
    </w:p>
    <w:p w14:paraId="3E10FC78">
      <w:r>
        <w:t>将S(x)∈[0,1]映射到RGB颜色。采用5个关键色标点之间的分段线性插值：</w:t>
      </w:r>
    </w:p>
    <w:p w14:paraId="6217C9BB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c0 = RGB(0.05, 0.25, 0.75)  ← t=0.00  深蓝 (低压/远处)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c1 = RGB(0.08, 0.55, 0.95)  ← t=0.20  亮蓝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c2 = RGB(0.90, 0.75, 0.10)  ← t=0.50  金黄 (中等压力)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c3 = RGB(1.00, 0.35, 0.03)  ← t=0.70  橙红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c4 = RGB(1.00, 0.05, 0.01)  ← t=1.00  纯红 (高压/中心)</w:t>
      </w:r>
    </w:p>
    <w:p w14:paraId="52192DC3">
      <w:pPr>
        <w:jc w:val="center"/>
      </w:pPr>
      <w:r>
        <w:drawing>
          <wp:inline distT="0" distB="0" distL="114300" distR="114300">
            <wp:extent cx="5029200" cy="942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B9D9">
      <w:pPr>
        <w:jc w:val="center"/>
      </w:pPr>
      <w:r>
        <w:t>图3: 5段线性插值热力图色带</w:t>
      </w:r>
    </w:p>
    <w:p w14:paraId="1AEF234F">
      <w:pPr>
        <w:pStyle w:val="4"/>
      </w:pPr>
      <w:r>
        <w:t>3.6 覆盖度模型</w:t>
      </w:r>
    </w:p>
    <w:p w14:paraId="580D9192">
      <w:r>
        <w:t>为避免"雾蒙蒙"效果，引入覆盖度cf控制颜色饱和度与模型底色的混合比例：</w:t>
      </w:r>
    </w:p>
    <w:p w14:paraId="58A8001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cf = min( Σφ(r_i) × 1.8 ,  1.0 )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result_color = model_grey + (heat_color - model_grey) × cf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model_grey = RGB(0.33, 0.36, 0.39)</w:t>
      </w:r>
    </w:p>
    <w:p w14:paraId="4E8E9566">
      <w:r>
        <w:t>物理意义：</w:t>
      </w:r>
      <w:r>
        <w:br w:type="textWrapping"/>
      </w:r>
      <w:r>
        <w:t>cf=0: 远离所有Cell的像素，Σφ≈0 → 纯模型灰色 → 力场自然消失</w:t>
      </w:r>
      <w:r>
        <w:br w:type="textWrapping"/>
      </w:r>
      <w:r>
        <w:t>cf=1: Cell中心或两Cell中点(Σφ≥0.56) → 纯热力图颜色 → 完全饱和</w:t>
      </w:r>
      <w:r>
        <w:br w:type="textWrapping"/>
      </w:r>
      <w:r>
        <w:t>0&lt;cf&lt;1: 过渡区 → 按比例混合 → 边缘渐变，无硬边界</w:t>
      </w:r>
      <w:r>
        <w:br w:type="textWrapping"/>
      </w:r>
      <w:r>
        <w:br w:type="textWrapping"/>
      </w:r>
      <w:r>
        <w:t>参数1.8的作用：确保两Cell中点(Σφ≈0.6)时cf=1.0，交界处不会出现灰色"缝隙"。该参数经过反复调试确定：&lt;1.5时交界处可见灰隙，&gt;2.0时Cell周围过度膨胀。</w:t>
      </w:r>
    </w:p>
    <w:p w14:paraId="1F80D644">
      <w:pPr>
        <w:jc w:val="center"/>
      </w:pPr>
      <w:r>
        <w:drawing>
          <wp:inline distT="0" distB="0" distL="114300" distR="114300">
            <wp:extent cx="5029200" cy="195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2CB8">
      <w:pPr>
        <w:jc w:val="center"/>
      </w:pPr>
      <w:r>
        <w:t>图4: 覆盖度cf分布(左:单Cell, 右:双Cell)</w:t>
      </w:r>
    </w:p>
    <w:p w14:paraId="0952A6BB">
      <w:pPr>
        <w:pStyle w:val="4"/>
      </w:pPr>
      <w:r>
        <w:t>3.7 光照增强</w:t>
      </w:r>
    </w:p>
    <w:p w14:paraId="5C5BF287">
      <w:r>
        <w:t>基础热力图为平板着色，缺乏3D立体感。引入简化的单光源Phong光照模型：</w:t>
      </w:r>
    </w:p>
    <w:p w14:paraId="1FD2C42C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N  = normalize(vWN)                              // 曲面法线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L  = normalize(0.6, -0.8, 0.5)                  // 光源方向(右上前方)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NdotL = max(dot(N, L), 0.0)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lit = 0.40 + 0.60 × NdotL                       // 40%环境光 + 60%漫反射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final_color = result_color × lit</w:t>
      </w:r>
    </w:p>
    <w:p w14:paraId="6839234C">
      <w:r>
        <w:t>参数0.40/0.60的调试依据：环境光过低(0.25)时，曲面暗面(如手套指缝)近乎全黑，力场颜色完全不可见；环境光过高(0.60)时，光照效果不明显，"贴纸感"依旧。0.40在暗面保留40%亮度，保证力场颜色始终可辨识。</w:t>
      </w:r>
    </w:p>
    <w:p w14:paraId="2F82DE51">
      <w:r>
        <w:br w:type="page"/>
      </w:r>
    </w:p>
    <w:p w14:paraId="6667A30F">
      <w:pPr>
        <w:pStyle w:val="3"/>
      </w:pPr>
      <w:r>
        <w:t>第四章 GPU渲染实现</w:t>
      </w:r>
    </w:p>
    <w:p w14:paraId="7FE2AFF2">
      <w:pPr>
        <w:pStyle w:val="4"/>
      </w:pPr>
      <w:r>
        <w:t>4.1 Cell数据传输：纹理方案</w:t>
      </w:r>
    </w:p>
    <w:p w14:paraId="2A44B6C2">
      <w:r>
        <w:t>核心挑战：如何将上千个Cell的空间坐标和压力值传入GPU片段着色器。</w:t>
      </w:r>
      <w:r>
        <w:br w:type="textWrapping"/>
      </w:r>
      <w:r>
        <w:br w:type="textWrapping"/>
      </w:r>
      <w:r>
        <w:t>方案对比：</w:t>
      </w:r>
      <w:r>
        <w:br w:type="textWrapping"/>
      </w:r>
      <w:r>
        <w:t xml:space="preserve">  uniform数组: uniform vec3 uCP[256] → GPU寄存器存储，硬上限~256个vec3</w:t>
      </w:r>
      <w:r>
        <w:br w:type="textWrapping"/>
      </w:r>
      <w:r>
        <w:t xml:space="preserve">  Float纹理:   sampler2D uCellTex → GPU显存存储，上限4096×1像素 → 2048 Cell</w:t>
      </w:r>
      <w:r>
        <w:br w:type="textWrapping"/>
      </w:r>
      <w:r>
        <w:br w:type="textWrapping"/>
      </w:r>
      <w:r>
        <w:t>最终选择纹理方案。实现细节：</w:t>
      </w:r>
    </w:p>
    <w:p w14:paraId="7A49FC73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JS端 — ensureHeatmapShell()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texData = new Float32Array(2048 * 8);  // 每Cell 8 floats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const cellTex = new T.DataTexture(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texData,         // Float32数据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4096, 1,         // 宽4096, 高1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T.RGBAFormat,    // 每像素4通道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T.FloatType      // 32位浮点，保留精度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cellTex.minFilter = T.NearestFilter;  // 最近邻采样（精确查找）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cellTex.magFilter = T.NearestFilter;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纹理布局: Cell i 占 texel[2i] 和 texel[2i+1]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texel[2i]   = (worldPos.x, worldPos.y, worldPos.z, fieldRadius)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texel[2i+1] = (pressure,     0,          0,           0)</w:t>
      </w:r>
    </w:p>
    <w:p w14:paraId="3A881CE5">
      <w:r>
        <w:t>数据更新由syncHeatmapShellColors()函数完成，每160ms调用一次(HEAT_INTERVAL)。关键优化——缓存校验：计算前32个Cell的压力校验和，若与上次相同则跳过整个Float32Array写入和GPU纹理上传，避免手动模式下每160ms无意义的重传。校验和相同且距上次&lt;300ms时完全跳过。</w:t>
      </w:r>
    </w:p>
    <w:p w14:paraId="2501ED8C">
      <w:pPr>
        <w:pStyle w:val="4"/>
      </w:pPr>
      <w:r>
        <w:t>4.2 顶点着色器</w:t>
      </w:r>
    </w:p>
    <w:p w14:paraId="40F3993D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壳层顶点着色器 — 仅传递世界坐标和法线到片段着色器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varying vec3 vWP;   // world position — for distance calculation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varying vec3 vWN;   // world normal   — for lighting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void main()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vec4 wp = modelMatrix * vec4(position, 1.0);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vWP = wp.xyz;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vWN = normalize(mat3(modelMatrix) * normal);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gl_Position = projectionMatrix * viewMatrix * wp;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E357A28">
      <w:pPr>
        <w:pStyle w:val="4"/>
      </w:pPr>
      <w:r>
        <w:t>4.3 片段着色器</w:t>
      </w:r>
    </w:p>
    <w:p w14:paraId="201DE166">
      <w:r>
        <w:t>片段着色器是力场渲染的核心，逐像素执行以下5个步骤：</w:t>
      </w:r>
    </w:p>
    <w:p w14:paraId="3FF5CD32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// Step 1: 遍历所有Cell，累加Wendland权重和颜色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vec3 ha = vec3(0.0);  // Σ(heatColor(P_i) × φ_i)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float ws = 0.0;       // Σ(φ_i)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for (int i = 0; i &lt; 2048; i++)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(i &gt;= uCellCount) break;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从纹理读取Cell i的数据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tx  = (float(i)*2.0 + 0.5) / uCellTexW;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vec4 d0 = texture2D(uCellTex, vec2(tx, 0.5));   // x,y,z,r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tx2 = (float(i)*2.0 + 1.5) / uCellTexW;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vec4 d1 = texture2D(uCellTex, vec2(tx2, 0.5));  // p,0,0,0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p = clamp(d1.x, 0.0, 1.0);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d = length(vWP - d0.xyz);      // 3D欧氏距离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r = d / max(d0.w, 1e-6);       // 归一化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float w = wendland(r);                // C²核权重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ha += heatColor(p) * w;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ws += w;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Step 2: 加权平均 + 覆盖度混合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vec3 heat  = ws &gt; 0.0 ? ha / ws : vec3(0.4);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float cf   = min(ws * 1.8, 1.0);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vec3 grey  = vec3(0.33, 0.36, 0.39);   // 模型底色RGB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vec3 result = grey + (heat - grey) * cf;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Step 3: Phong光照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vec3 N = normalize(vWN);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float NdotL = max(dot(N, normalize(vec3(0.6,-0.8,0.5))), 0.0);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result *= (0.40 + 0.60 * NdotL);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// Step 4: 透明度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float a = smoothstep(0.0, 0.002, ws)*0.01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+ smoothstep(0.002, 0.25, ws)*1.0;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gl_FragColor = vec4(result, a);</w:t>
      </w:r>
    </w:p>
    <w:p w14:paraId="66D1B966">
      <w:pPr>
        <w:pStyle w:val="4"/>
      </w:pPr>
      <w:r>
        <w:t>4.4 性能优化措施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22"/>
        <w:gridCol w:w="2880"/>
      </w:tblGrid>
      <w:tr w14:paraId="6B1C6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D6313">
            <w:r>
              <w:rPr>
                <w:b/>
              </w:rPr>
              <w:t>优化项</w:t>
            </w:r>
          </w:p>
        </w:tc>
        <w:tc>
          <w:tcPr>
            <w:tcW w:w="2880" w:type="dxa"/>
          </w:tcPr>
          <w:p w14:paraId="0A1D5912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0B017644">
            <w:r>
              <w:rPr>
                <w:b/>
              </w:rPr>
              <w:t>效果</w:t>
            </w:r>
          </w:p>
        </w:tc>
      </w:tr>
      <w:tr w14:paraId="7C9C0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4C58F">
            <w:r>
              <w:t>缓存key去重</w:t>
            </w:r>
          </w:p>
        </w:tc>
        <w:tc>
          <w:tcPr>
            <w:tcW w:w="2880" w:type="dxa"/>
          </w:tcPr>
          <w:p w14:paraId="1722F71E">
            <w:r>
              <w:t>前32Cell压力校验和相同的跳过上传</w:t>
            </w:r>
          </w:p>
        </w:tc>
        <w:tc>
          <w:tcPr>
            <w:tcW w:w="2880" w:type="dxa"/>
          </w:tcPr>
          <w:p w14:paraId="358ADE42">
            <w:r>
              <w:t>手动模式下零GPU传输</w:t>
            </w:r>
          </w:p>
        </w:tc>
      </w:tr>
      <w:tr w14:paraId="63EF63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0485B5">
            <w:r>
              <w:t>300ms节流</w:t>
            </w:r>
          </w:p>
        </w:tc>
        <w:tc>
          <w:tcPr>
            <w:tcW w:w="2880" w:type="dxa"/>
          </w:tcPr>
          <w:p w14:paraId="4EFB55A0">
            <w:r>
              <w:t>_texLastTs控制最少间隔</w:t>
            </w:r>
          </w:p>
        </w:tc>
        <w:tc>
          <w:tcPr>
            <w:tcW w:w="2880" w:type="dxa"/>
          </w:tcPr>
          <w:p w14:paraId="425B569A">
            <w:r>
              <w:t>上限3.3次纹理上传/秒</w:t>
            </w:r>
          </w:p>
        </w:tc>
      </w:tr>
      <w:tr w14:paraId="27DD18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B20EC">
            <w:r>
              <w:t>NearestFilter</w:t>
            </w:r>
          </w:p>
        </w:tc>
        <w:tc>
          <w:tcPr>
            <w:tcW w:w="2880" w:type="dxa"/>
          </w:tcPr>
          <w:p w14:paraId="40D2F5FB">
            <w:r>
              <w:t>cellTex.minFilter=NearestFilter</w:t>
            </w:r>
          </w:p>
        </w:tc>
        <w:tc>
          <w:tcPr>
            <w:tcW w:w="2880" w:type="dxa"/>
          </w:tcPr>
          <w:p w14:paraId="3022B74C">
            <w:r>
              <w:t>GPU跳过纹理插值计算</w:t>
            </w:r>
          </w:p>
        </w:tc>
      </w:tr>
      <w:tr w14:paraId="03299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38113F6">
            <w:r>
              <w:t>applyFieldColors空函数</w:t>
            </w:r>
          </w:p>
        </w:tc>
        <w:tc>
          <w:tcPr>
            <w:tcW w:w="2880" w:type="dxa"/>
          </w:tcPr>
          <w:p w14:paraId="29171BE8">
            <w:r>
              <w:t>return 0</w:t>
            </w:r>
          </w:p>
        </w:tc>
        <w:tc>
          <w:tcPr>
            <w:tcW w:w="2880" w:type="dxa"/>
          </w:tcPr>
          <w:p w14:paraId="03C083AA">
            <w:r>
              <w:t>省去每160ms的10万顶点CPU遍历</w:t>
            </w:r>
          </w:p>
        </w:tc>
      </w:tr>
      <w:tr w14:paraId="013B14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EB8D4">
            <w:r>
              <w:t>renderOrder=5</w:t>
            </w:r>
          </w:p>
        </w:tc>
        <w:tc>
          <w:tcPr>
            <w:tcW w:w="2880" w:type="dxa"/>
          </w:tcPr>
          <w:p w14:paraId="1468F5E4">
            <w:r>
              <w:t>Cell圆盘渲染在最上层</w:t>
            </w:r>
          </w:p>
        </w:tc>
        <w:tc>
          <w:tcPr>
            <w:tcW w:w="2880" w:type="dxa"/>
          </w:tcPr>
          <w:p w14:paraId="01D5A14C">
            <w:r>
              <w:t>消除与壳层的z-fighting闪烁</w:t>
            </w:r>
          </w:p>
        </w:tc>
      </w:tr>
    </w:tbl>
    <w:p w14:paraId="66ABABD6">
      <w:r>
        <w:br w:type="page"/>
      </w:r>
    </w:p>
    <w:p w14:paraId="70C637C8">
      <w:pPr>
        <w:pStyle w:val="3"/>
      </w:pPr>
      <w:r>
        <w:t>第五章 仿真实验与结果</w:t>
      </w:r>
    </w:p>
    <w:p w14:paraId="286588B9">
      <w:pPr>
        <w:pStyle w:val="4"/>
      </w:pPr>
      <w:r>
        <w:t>5.1 实验环境</w:t>
      </w:r>
    </w:p>
    <w:p w14:paraId="44DA9AB7"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CPU:    Intel Core i7-1260P / AMD Ryzen 5 5600H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GPU:    Intel Iris Xe / NVIDIA GTX 1650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RAM:    16 GB DDR4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OS:     Windows 11 22H2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引擎:   QWebEngine (Chromium 83), WebGL 2.0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3D库:   Three.js r160</w:t>
      </w:r>
    </w:p>
    <w:p w14:paraId="580378D9">
      <w:pPr>
        <w:pStyle w:val="4"/>
      </w:pPr>
      <w:r>
        <w:t>5.2 实验1：Wendland核函数数学验证</w:t>
      </w:r>
    </w:p>
    <w:p w14:paraId="7A9EB354">
      <w:r>
        <w:t>目的：验证Wendland C²核函数与高斯核在衰减特性上的差异。</w:t>
      </w:r>
      <w:r>
        <w:br w:type="textWrapping"/>
      </w:r>
      <w:r>
        <w:br w:type="textWrapping"/>
      </w:r>
      <w:r>
        <w:t>方法：在r∈[0, 1.2]区间上计算两种核函数的值，绘制对比曲线。</w:t>
      </w:r>
      <w:r>
        <w:br w:type="textWrapping"/>
      </w:r>
      <w:r>
        <w:t>Wendland: φ(r) = (1-r)⁴(4r+1), 高斯: exp(-r²/2σ²), σ=0.38。</w:t>
      </w:r>
      <w:r>
        <w:br w:type="textWrapping"/>
      </w:r>
      <w:r>
        <w:br w:type="textWrapping"/>
      </w:r>
      <w:r>
        <w:t>结果与分析：Wendland核在r&lt;1区间内保持C²连续性，曲线平滑无折点。r=1处精确归零(φ=0)，无需人工截断。高斯核在r=1处仍有非零值(φ≈0.03)，需设定截断阈值才能实现紧支撑，引入不连续。Wendland核在r=0.5处降至18.75%，即力场半径的一半处强度已衰减80%，保证力场主要集中在Cell周围区域。</w:t>
      </w:r>
    </w:p>
    <w:p w14:paraId="099A9986">
      <w:r>
        <w:drawing>
          <wp:inline distT="0" distB="0" distL="114300" distR="114300">
            <wp:extent cx="45720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F7">
      <w:pPr>
        <w:pStyle w:val="4"/>
      </w:pPr>
      <w:r>
        <w:t>5.3 实验2：单Cell与双Cell力场2D仿真</w:t>
      </w:r>
    </w:p>
    <w:p w14:paraId="0C0EA805">
      <w:r>
        <w:t>目的：在2D网格上仿真Wendland加权平均算法的输出，验证圆形渐变特性和多Cell融合效果。</w:t>
      </w:r>
      <w:r>
        <w:br w:type="textWrapping"/>
      </w:r>
      <w:r>
        <w:br w:type="textWrapping"/>
      </w:r>
      <w:r>
        <w:t>方法：在100×100均匀网格上，对每个网格点计算所有Cell的Wendland权重，应用加权平均公式得到压力值S(x)，映射到热力图色带，施加覆盖度模型。单Cell测试(P=0.8, R=1.0)验证径向渐变，双Cell测试(P₁=0.9, P₂=0.3, 间距=1.0)验证异压融合。</w:t>
      </w:r>
      <w:r>
        <w:br w:type="textWrapping"/>
      </w:r>
      <w:r>
        <w:br w:type="textWrapping"/>
      </w:r>
      <w:r>
        <w:t>结果：单Cell力场呈完美圆形，颜色从中心深红→橙→金黄→蓝→灰逐级过渡。双Cell实验中，两Cell交界处无灰色"分界线"，交汇区颜色平滑过渡。高压Cell(P=0.9)侧覆盖范围更大，低压Cell(P=0.3)侧颜色偏蓝。</w:t>
      </w:r>
    </w:p>
    <w:p w14:paraId="14939EEF">
      <w:pPr>
        <w:pStyle w:val="4"/>
      </w:pPr>
      <w:r>
        <w:t>5.4 实验3：多Cell叠加与水波纹效果</w:t>
      </w:r>
    </w:p>
    <w:p w14:paraId="2E8FEF67">
      <w:r>
        <w:t>目的：验证8个随机分布Cell在Wendland算法下的整体视觉效果。</w:t>
      </w:r>
      <w:r>
        <w:br w:type="textWrapping"/>
      </w:r>
      <w:r>
        <w:br w:type="textWrapping"/>
      </w:r>
      <w:r>
        <w:t>方法：在2D平面随机放置8个Cell（压力0.3~1.0均匀分布），所有Cell力场半径R=1.0。计算每个网格点的S(x)和cf(x)，渲染为RGB图像。</w:t>
      </w:r>
      <w:r>
        <w:br w:type="textWrapping"/>
      </w:r>
      <w:r>
        <w:br w:type="textWrapping"/>
      </w:r>
      <w:r>
        <w:t>结果：8个Cell的力场叠加后呈现出类似"水波纹"的扩散效果。高压力Cell(如P=1.0, 0.97)处的颜色明显更深红，低压力Cell(如P=0.30)处的颜色偏蓝。所有Cell交汇处颜色融合自然，无硬边界，无灰色缝隙。覆盖度cf在Cell中心处=1.0，0.5R处≈0.8，1.0R处≈0，自然衰减。</w:t>
      </w:r>
    </w:p>
    <w:p w14:paraId="16A12016">
      <w:pPr>
        <w:jc w:val="center"/>
      </w:pPr>
      <w:r>
        <w:drawing>
          <wp:inline distT="0" distB="0" distL="114300" distR="114300">
            <wp:extent cx="41148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7060">
      <w:pPr>
        <w:jc w:val="center"/>
      </w:pPr>
      <w:r>
        <w:t>图5: 8个Cell的力场叠加2D仿真（标注数字为Cell压力值）</w:t>
      </w:r>
    </w:p>
    <w:p w14:paraId="2E49CFA8">
      <w:pPr>
        <w:pStyle w:val="4"/>
      </w:pPr>
      <w:r>
        <w:t>5.5 实验4：实际3D模型渲染测试</w:t>
      </w:r>
    </w:p>
    <w:p w14:paraId="50DC443F">
      <w:r>
        <w:rPr>
          <w:rFonts w:hint="eastAsia" w:eastAsia="宋体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880110</wp:posOffset>
            </wp:positionH>
            <wp:positionV relativeFrom="paragraph">
              <wp:posOffset>1473200</wp:posOffset>
            </wp:positionV>
            <wp:extent cx="3903345" cy="2298065"/>
            <wp:effectExtent l="0" t="0" r="1905" b="6985"/>
            <wp:wrapTopAndBottom/>
            <wp:docPr id="10" name="图片 10" descr="screenshot单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单个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测试模型：手套模型(半圆柱压头φ12.stl, 10.6万面, 82884字节) 和 椅子模型(椅子2.stl, 10.6万面, 2.6MB)。</w:t>
      </w:r>
      <w:r>
        <w:br w:type="textWrapping"/>
      </w:r>
      <w:r>
        <w:br w:type="textWrapping"/>
      </w:r>
      <w:r>
        <w:t>测试项目及结果：</w:t>
      </w:r>
      <w:r>
        <w:br w:type="textWrapping"/>
      </w:r>
      <w:r>
        <w:t>(1) 单Cell力场形态 — 力场在3D曲面上的投影呈近似圆形，颜色从中心深红向外逐级渐变至灰色。壳层偏移0.6mm避免了与模型表面z-fighting。</w:t>
      </w:r>
    </w:p>
    <w:p w14:paraId="5AEFC415">
      <w:pPr>
        <w:rPr>
          <w:rFonts w:hint="eastAsia" w:eastAsia="宋体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895985</wp:posOffset>
            </wp:positionH>
            <wp:positionV relativeFrom="paragraph">
              <wp:posOffset>3345815</wp:posOffset>
            </wp:positionV>
            <wp:extent cx="3752850" cy="2209800"/>
            <wp:effectExtent l="0" t="0" r="0" b="0"/>
            <wp:wrapTopAndBottom/>
            <wp:docPr id="12" name="图片 12" descr="screenshot静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静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/>
      </w:r>
      <w:r>
        <w:t>(2) 密集Cell布局 — 在椅子模型上放置200+个Cell，所有Cell的力场均独立渲染，整体画面稳定60fps，无可见卡顿。纹理更新频率约3次/秒(受300ms节流控制)，压力不变时完全不触发更新。</w:t>
      </w:r>
    </w:p>
    <w:p w14:paraId="29EB046A"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968375</wp:posOffset>
            </wp:positionH>
            <wp:positionV relativeFrom="paragraph">
              <wp:posOffset>3514090</wp:posOffset>
            </wp:positionV>
            <wp:extent cx="3884295" cy="2287270"/>
            <wp:effectExtent l="0" t="0" r="1905" b="17780"/>
            <wp:wrapNone/>
            <wp:docPr id="13" name="图片 13" descr="screenshot多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多个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1039495</wp:posOffset>
            </wp:positionH>
            <wp:positionV relativeFrom="paragraph">
              <wp:posOffset>694690</wp:posOffset>
            </wp:positionV>
            <wp:extent cx="3916045" cy="2305685"/>
            <wp:effectExtent l="0" t="0" r="8255" b="18415"/>
            <wp:wrapTopAndBottom/>
            <wp:docPr id="7" name="图片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/>
      </w:r>
      <w:r>
        <w:t>(3) Wave动态模拟 — 各Cell按ID独立振荡(r=0.12+0.88×sin(t×freq+phase))，不同Cell因频率和相位不同呈现交错变色。高压时力场呈红色，低压时呈蓝色，过渡平滑。</w:t>
      </w:r>
      <w:r>
        <w:br w:type="textWrapping"/>
      </w:r>
      <w:r>
        <w:t>(4) 多Cell交界 — 相邻Cell压力相同时，交界处S(x)等于各Cell压力值，颜色一致融合；压力不同时，交界处S(x)按加权平均偏向高压Cell，无突变色带。</w:t>
      </w:r>
    </w:p>
    <w:p w14:paraId="205F016F">
      <w:pPr>
        <w:rPr>
          <w:rFonts w:hint="eastAsia" w:eastAsia="宋体"/>
          <w:lang w:eastAsia="zh-CN"/>
        </w:rPr>
      </w:pPr>
      <w:r>
        <w:br w:type="page"/>
      </w:r>
      <w:bookmarkStart w:id="0" w:name="_GoBack"/>
      <w:bookmarkEnd w:id="0"/>
    </w:p>
    <w:p w14:paraId="4D44BF7B">
      <w:pPr>
        <w:pStyle w:val="3"/>
      </w:pPr>
      <w:r>
        <w:t>第六章 功能清单</w:t>
      </w:r>
    </w:p>
    <w:p w14:paraId="0CC5172B">
      <w:pPr>
        <w:pStyle w:val="4"/>
      </w:pPr>
      <w:r>
        <w:t>6.1 模型操作</w:t>
      </w:r>
    </w:p>
    <w:p w14:paraId="692D5648">
      <w:r>
        <w:t>• STL/OBJ/GLB/GLTF多格式导入，自动检测模型单位(mm/cm/m)</w:t>
      </w:r>
      <w:r>
        <w:br w:type="textWrapping"/>
      </w:r>
      <w:r>
        <w:t>• 自动居中显示(fitCameraToModel)</w:t>
      </w:r>
      <w:r>
        <w:br w:type="textWrapping"/>
      </w:r>
      <w:r>
        <w:t>• 旋转/缩放/平移(OrbitControls)</w:t>
      </w:r>
      <w:r>
        <w:br w:type="textWrapping"/>
      </w:r>
      <w:r>
        <w:t>• 线框模式(W键切换, opacity=0.20)</w:t>
      </w:r>
    </w:p>
    <w:p w14:paraId="330D256A">
      <w:pPr>
        <w:pStyle w:val="4"/>
      </w:pPr>
      <w:r>
        <w:t>6.2 Cell交互</w:t>
      </w:r>
    </w:p>
    <w:p w14:paraId="250667DF">
      <w:r>
        <w:t>• 单击曲面放置Cell (Ctrl+Click或P键放置模式)</w:t>
      </w:r>
      <w:r>
        <w:br w:type="textWrapping"/>
      </w:r>
      <w:r>
        <w:t>• 拖拽移动单个Cell</w:t>
      </w:r>
      <w:r>
        <w:br w:type="textWrapping"/>
      </w:r>
      <w:r>
        <w:t>• 右键框选多选 + 批量拖拽</w:t>
      </w:r>
      <w:r>
        <w:br w:type="textWrapping"/>
      </w:r>
      <w:r>
        <w:t>• Delete/Backspace删除选中Cell</w:t>
      </w:r>
      <w:r>
        <w:br w:type="textWrapping"/>
      </w:r>
      <w:r>
        <w:t>• 属性面板编辑位置X/Y/Z(mm)、半径(mm)、压力(0~1)、标签</w:t>
      </w:r>
      <w:r>
        <w:br w:type="textWrapping"/>
      </w:r>
      <w:r>
        <w:t>• Ctrl+Z撤销(100步) / Ctrl+Y重做</w:t>
      </w:r>
      <w:r>
        <w:br w:type="textWrapping"/>
      </w:r>
      <w:r>
        <w:t>• 背面Cell自动隐藏(法线朝向检测)</w:t>
      </w:r>
    </w:p>
    <w:p w14:paraId="1354B857">
      <w:pPr>
        <w:pStyle w:val="4"/>
      </w:pPr>
      <w:r>
        <w:t>6.3 力场渲染</w:t>
      </w:r>
    </w:p>
    <w:p w14:paraId="3712C27C">
      <w:r>
        <w:t>• 力场预览开关 (Shader力场预览按钮)</w:t>
      </w:r>
      <w:r>
        <w:br w:type="textWrapping"/>
      </w:r>
      <w:r>
        <w:t>• 力场半径调节 10-80mm (滑块)</w:t>
      </w:r>
      <w:r>
        <w:br w:type="textWrapping"/>
      </w:r>
      <w:r>
        <w:t>• 三种模拟模式: Wave(独立正弦振荡) / Uniform(全局均匀脉动) / Pulse(随机热点脉冲)</w:t>
      </w:r>
      <w:r>
        <w:br w:type="textWrapping"/>
      </w:r>
      <w:r>
        <w:t>• 手动输入压力值(双击Cell→属性面板→压力)</w:t>
      </w:r>
      <w:r>
        <w:br w:type="textWrapping"/>
      </w:r>
      <w:r>
        <w:t>• GPU ShaderMaterial逐像素Wendland核渲染</w:t>
      </w:r>
    </w:p>
    <w:p w14:paraId="5A2C7E05">
      <w:pPr>
        <w:pStyle w:val="4"/>
      </w:pPr>
      <w:r>
        <w:t>6.4 工程管理</w:t>
      </w:r>
    </w:p>
    <w:p w14:paraId="5EB01904">
      <w:r>
        <w:t>• 保存/打开工程文件(.3dlp, ZIP格式压缩)</w:t>
      </w:r>
      <w:r>
        <w:br w:type="textWrapping"/>
      </w:r>
      <w:r>
        <w:t>• 导出Cell布局数据(JSON)</w:t>
      </w:r>
      <w:r>
        <w:br w:type="textWrapping"/>
      </w:r>
      <w:r>
        <w:t>• 截图PNG</w:t>
      </w:r>
      <w:r>
        <w:br w:type="textWrapping"/>
      </w:r>
      <w:r>
        <w:t>• 通道数可配置(无上限)</w:t>
      </w:r>
    </w:p>
    <w:p w14:paraId="19D12FEA">
      <w:r>
        <w:br w:type="page"/>
      </w:r>
    </w:p>
    <w:p w14:paraId="404927D5">
      <w:pPr>
        <w:pStyle w:val="3"/>
      </w:pPr>
      <w:r>
        <w:t>第七章 技术总结与展望</w:t>
      </w:r>
    </w:p>
    <w:p w14:paraId="3528E79A">
      <w:pPr>
        <w:pStyle w:val="4"/>
      </w:pPr>
      <w:r>
        <w:t>7.1 关键技术创新点</w:t>
      </w:r>
    </w:p>
    <w:p w14:paraId="78B67B3F">
      <w:r>
        <w:t>(1) GPU纹理方案替代uniform数组，将Cell容量从256提升至2048，同时绕开Chromium 83对Three.js高级shader API(onBeforeCompile)的兼容性问题。</w:t>
      </w:r>
      <w:r>
        <w:br w:type="textWrapping"/>
      </w:r>
      <w:r>
        <w:br w:type="textWrapping"/>
      </w:r>
      <w:r>
        <w:t>(2) Wendland C²核+加权平均+覆盖度模型的三层混合架构，理论上保证了力场颜色C²连续、多Cell融合平滑、边缘自然衰减。</w:t>
      </w:r>
      <w:r>
        <w:br w:type="textWrapping"/>
      </w:r>
      <w:r>
        <w:br w:type="textWrapping"/>
      </w:r>
      <w:r>
        <w:t>(3) 缓存key去重+300ms节流的双层性能优化，手动模式下零GPU传输开销，Wave模式下纹理更新频率控制在3次/秒以内。</w:t>
      </w:r>
    </w:p>
    <w:p w14:paraId="0928B55B">
      <w:pPr>
        <w:pStyle w:val="4"/>
      </w:pPr>
      <w:r>
        <w:t>7.2 方案对比总结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F0BB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AC9879"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6A8AA2F9">
            <w:r>
              <w:rPr>
                <w:b/>
              </w:rPr>
              <w:t>CPU方案(v1)</w:t>
            </w:r>
          </w:p>
        </w:tc>
        <w:tc>
          <w:tcPr>
            <w:tcW w:w="2160" w:type="dxa"/>
          </w:tcPr>
          <w:p w14:paraId="5D323672">
            <w:r>
              <w:rPr>
                <w:b/>
              </w:rPr>
              <w:t>GPU Uniform(v2)</w:t>
            </w:r>
          </w:p>
        </w:tc>
        <w:tc>
          <w:tcPr>
            <w:tcW w:w="2160" w:type="dxa"/>
          </w:tcPr>
          <w:p w14:paraId="0FC96A91">
            <w:r>
              <w:rPr>
                <w:b/>
              </w:rPr>
              <w:t>GPU纹理(v3·当前)</w:t>
            </w:r>
          </w:p>
        </w:tc>
      </w:tr>
      <w:tr w14:paraId="43768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60C80B">
            <w:r>
              <w:t>Cell上限</w:t>
            </w:r>
          </w:p>
        </w:tc>
        <w:tc>
          <w:tcPr>
            <w:tcW w:w="2160" w:type="dxa"/>
          </w:tcPr>
          <w:p w14:paraId="25CB0ACE">
            <w:r>
              <w:t>无限制</w:t>
            </w:r>
          </w:p>
        </w:tc>
        <w:tc>
          <w:tcPr>
            <w:tcW w:w="2160" w:type="dxa"/>
          </w:tcPr>
          <w:p w14:paraId="543509D7">
            <w:r>
              <w:t>128-256</w:t>
            </w:r>
          </w:p>
        </w:tc>
        <w:tc>
          <w:tcPr>
            <w:tcW w:w="2160" w:type="dxa"/>
          </w:tcPr>
          <w:p w14:paraId="6621B527">
            <w:r>
              <w:t>2048</w:t>
            </w:r>
          </w:p>
        </w:tc>
      </w:tr>
      <w:tr w14:paraId="480E4D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57F0B6">
            <w:r>
              <w:t>力场质量</w:t>
            </w:r>
          </w:p>
        </w:tc>
        <w:tc>
          <w:tcPr>
            <w:tcW w:w="2160" w:type="dxa"/>
          </w:tcPr>
          <w:p w14:paraId="29596212">
            <w:r>
              <w:t>低面数锯齿</w:t>
            </w:r>
          </w:p>
        </w:tc>
        <w:tc>
          <w:tcPr>
            <w:tcW w:w="2160" w:type="dxa"/>
          </w:tcPr>
          <w:p w14:paraId="536B0A81">
            <w:r>
              <w:t>完美圆</w:t>
            </w:r>
          </w:p>
        </w:tc>
        <w:tc>
          <w:tcPr>
            <w:tcW w:w="2160" w:type="dxa"/>
          </w:tcPr>
          <w:p w14:paraId="44492A9B">
            <w:r>
              <w:t>完美圆</w:t>
            </w:r>
          </w:p>
        </w:tc>
      </w:tr>
      <w:tr w14:paraId="419423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FDA82A">
            <w:r>
              <w:t>兼容性</w:t>
            </w:r>
          </w:p>
        </w:tc>
        <w:tc>
          <w:tcPr>
            <w:tcW w:w="2160" w:type="dxa"/>
          </w:tcPr>
          <w:p w14:paraId="5965A6DD">
            <w:r>
              <w:t>全平台</w:t>
            </w:r>
          </w:p>
        </w:tc>
        <w:tc>
          <w:tcPr>
            <w:tcW w:w="2160" w:type="dxa"/>
          </w:tcPr>
          <w:p w14:paraId="6EA1B55F">
            <w:r>
              <w:t>全平台</w:t>
            </w:r>
          </w:p>
        </w:tc>
        <w:tc>
          <w:tcPr>
            <w:tcW w:w="2160" w:type="dxa"/>
          </w:tcPr>
          <w:p w14:paraId="4809E10F">
            <w:r>
              <w:t>需FloatType纹理</w:t>
            </w:r>
          </w:p>
        </w:tc>
      </w:tr>
      <w:tr w14:paraId="50EDD4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9FCBB">
            <w:r>
              <w:t>抖动</w:t>
            </w:r>
          </w:p>
        </w:tc>
        <w:tc>
          <w:tcPr>
            <w:tcW w:w="2160" w:type="dxa"/>
          </w:tcPr>
          <w:p w14:paraId="65566FF2">
            <w:r>
              <w:t>有(CPU遍历)</w:t>
            </w:r>
          </w:p>
        </w:tc>
        <w:tc>
          <w:tcPr>
            <w:tcW w:w="2160" w:type="dxa"/>
          </w:tcPr>
          <w:p w14:paraId="3432E277">
            <w:r>
              <w:t>有(CPU遍历)</w:t>
            </w:r>
          </w:p>
        </w:tc>
        <w:tc>
          <w:tcPr>
            <w:tcW w:w="2160" w:type="dxa"/>
          </w:tcPr>
          <w:p w14:paraId="00987AB8">
            <w:r>
              <w:t>无(纹理跳过)</w:t>
            </w:r>
          </w:p>
        </w:tc>
      </w:tr>
      <w:tr w14:paraId="215E13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7D8630">
            <w:r>
              <w:t>适用场景</w:t>
            </w:r>
          </w:p>
        </w:tc>
        <w:tc>
          <w:tcPr>
            <w:tcW w:w="2160" w:type="dxa"/>
          </w:tcPr>
          <w:p w14:paraId="13531E1C">
            <w:r>
              <w:t>快速原型</w:t>
            </w:r>
          </w:p>
        </w:tc>
        <w:tc>
          <w:tcPr>
            <w:tcW w:w="2160" w:type="dxa"/>
          </w:tcPr>
          <w:p w14:paraId="7336E399">
            <w:r>
              <w:t>小规模(&lt;200)</w:t>
            </w:r>
          </w:p>
        </w:tc>
        <w:tc>
          <w:tcPr>
            <w:tcW w:w="2160" w:type="dxa"/>
          </w:tcPr>
          <w:p w14:paraId="52F4F7E2">
            <w:r>
              <w:t>生产环境</w:t>
            </w:r>
          </w:p>
        </w:tc>
      </w:tr>
    </w:tbl>
    <w:p w14:paraId="060D60A9">
      <w:pPr>
        <w:pStyle w:val="4"/>
      </w:pPr>
      <w:r>
        <w:t>7.3 已知局限</w:t>
      </w:r>
    </w:p>
    <w:p w14:paraId="68C6B511">
      <w:r>
        <w:t>• Cell上限2048受纹理宽度4096限制，如需更多需增加纹理宽度或多纹理方案</w:t>
      </w:r>
      <w:r>
        <w:br w:type="textWrapping"/>
      </w:r>
      <w:r>
        <w:t>• 壳层偏移0.6mm在极薄模型(&lt;1mm)上可能与背面壳层发生交叉</w:t>
      </w:r>
      <w:r>
        <w:br w:type="textWrapping"/>
      </w:r>
      <w:r>
        <w:t>• 光照模型仅单方向光源，无镜面高光和阴影</w:t>
      </w:r>
      <w:r>
        <w:br w:type="textWrapping"/>
      </w:r>
      <w:r>
        <w:t>• FloatType纹理依赖WebGL 2.0，WebGL 1.0需OES_texture_float扩展</w:t>
      </w:r>
      <w:r>
        <w:br w:type="textWrapping"/>
      </w:r>
      <w:r>
        <w:t>• 距离计算使用3D欧氏距离而非曲面测地距离，在曲率极大处存在微小误差</w:t>
      </w:r>
    </w:p>
    <w:p w14:paraId="6EABBDB6">
      <w:pPr>
        <w:pStyle w:val="4"/>
      </w:pPr>
      <w:r>
        <w:t>7.4 后续方向</w:t>
      </w:r>
    </w:p>
    <w:p w14:paraId="668AD1B8">
      <w:r>
        <w:t>• 纹理方案可支持动态纹理尺寸，根据实际Cell数量自适应纹理宽度</w:t>
      </w:r>
      <w:r>
        <w:br w:type="textWrapping"/>
      </w:r>
      <w:r>
        <w:t>• 屏幕空间环境光遮蔽(SSAO)可进一步增强3D立体感</w:t>
      </w:r>
      <w:r>
        <w:br w:type="textWrapping"/>
      </w:r>
      <w:r>
        <w:t>• 感知均匀色带(如matplotlib viridis)可提升色盲友好度和视觉区分度</w:t>
      </w:r>
      <w:r>
        <w:br w:type="textWrapping"/>
      </w:r>
      <w:r>
        <w:t>• 多纹理分片方案可将Cell容量提升至万级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DB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1516</Words>
  <Characters>2937</Characters>
  <Lines>0</Lines>
  <Paragraphs>0</Paragraphs>
  <TotalTime>12</TotalTime>
  <ScaleCrop>false</ScaleCrop>
  <LinksUpToDate>false</LinksUpToDate>
  <CharactersWithSpaces>3215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九千七</cp:lastModifiedBy>
  <dcterms:modified xsi:type="dcterms:W3CDTF">2026-07-21T10:10:49Z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eyJoZGlkIjoiZGJiNmE4YjJmMTQ2NzM5NjMyYTQ1YzA2M2NmY2E1MDUiLCJ1c2VySWQiOiI2NTY2NDk0NTgifQ==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3911A988B344487ABE4F323B60C41F00_12</vt:lpwstr>
  </property>
</Properties>
</file>