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9B4C5">
      <w:pPr>
        <w:pStyle w:val="31"/>
        <w:ind w:left="0" w:right="0" w:firstLine="0"/>
        <w:jc w:val="center"/>
      </w:pPr>
      <w:r>
        <w:rPr>
          <w:rFonts w:ascii="Times New Roman" w:hAnsi="Times New Roman" w:eastAsia="黑体"/>
          <w:b/>
          <w:color w:val="000000"/>
          <w:sz w:val="44"/>
        </w:rPr>
        <w:t>面向复合退化语音的显式退化诊断与条件化频带残差修复方法</w:t>
      </w:r>
    </w:p>
    <w:p w14:paraId="46DD2C5F">
      <w:pPr>
        <w:pStyle w:val="3"/>
        <w:ind w:left="0" w:right="0" w:firstLine="0"/>
        <w:jc w:val="left"/>
      </w:pPr>
      <w:bookmarkStart w:id="0" w:name="摘要"/>
      <w:r>
        <w:rPr>
          <w:rFonts w:ascii="Times New Roman" w:hAnsi="Times New Roman" w:eastAsia="黑体"/>
          <w:b/>
          <w:color w:val="000000"/>
          <w:sz w:val="32"/>
        </w:rPr>
        <w:t>摘要</w:t>
      </w:r>
    </w:p>
    <w:p w14:paraId="0F6FF45C">
      <w:pPr>
        <w:widowControl/>
        <w:spacing w:after="0" w:line="360" w:lineRule="auto"/>
        <w:ind w:left="0" w:right="0" w:firstLine="420"/>
      </w:pPr>
      <w:r>
        <w:rPr>
          <w:rFonts w:ascii="Times New Roman" w:hAnsi="Times New Roman" w:eastAsia="宋体"/>
          <w:color w:val="000000"/>
          <w:sz w:val="24"/>
        </w:rPr>
        <w:t>真实通信、远程会议、移动终端采集及低码率传输中的语音信号，往往同时受到加性噪声、带宽受限、重采样、低通损伤和低位深量化等多种因素影响。不同退化机制在时频域中的表现及修复需求并不相同：噪声主要掩蔽有效语音结构，带宽限制导致高频信息缺失，量化则可能引入全频纹理失真和非线性伪影。现有端到端增强模型通常使用统一映射完成恢复，虽然能够获得较好的总体性能，但难以解释当前输入的主导退化来源，也难以针对不同退化状态自适应分配修复区域与修复强度。</w:t>
      </w:r>
    </w:p>
    <w:p w14:paraId="68D12CDE">
      <w:pPr>
        <w:pStyle w:val="19"/>
        <w:widowControl/>
        <w:spacing w:after="0" w:line="360" w:lineRule="auto"/>
        <w:ind w:left="0" w:right="0" w:firstLine="420"/>
      </w:pPr>
      <w:r>
        <w:rPr>
          <w:rFonts w:ascii="Times New Roman" w:hAnsi="Times New Roman" w:eastAsia="宋体"/>
          <w:color w:val="000000"/>
          <w:sz w:val="24"/>
        </w:rPr>
        <w:t>针对上述问题，本文提出一种面向复合退化语音的显式退化诊断与条件化频带残差修复网络，简称 EDCR-Net。该方法将语音恢复过程分解为基础增强、退化诊断和条件残差细化三个阶段。首先，基础增强模块对输入复数频谱进行初步恢复，并输出可表征退化状态的深层瓶颈特征；其次，通过统计池化和轻量多任务估计器，联合预测噪声存在性、信噪比、有效带宽及量化位深；最后，将上述预测结果构造成连续概率条件，控制低、中、高频带的残差生成和门控注入，从而对基础增强结果中的残余误差实施有针对性的补偿。训练过程中固定基础增强模块，仅优化退化诊断器与条件残差模块，以降低训练成本并保证新增性能收益具有清晰的归因边界。</w:t>
      </w:r>
    </w:p>
    <w:p w14:paraId="6F9D4E80">
      <w:pPr>
        <w:pStyle w:val="19"/>
        <w:widowControl/>
        <w:spacing w:after="0" w:line="360" w:lineRule="auto"/>
        <w:ind w:left="0" w:right="0" w:firstLine="420"/>
      </w:pPr>
      <w:r>
        <w:rPr>
          <w:rFonts w:ascii="Times New Roman" w:hAnsi="Times New Roman" w:eastAsia="宋体"/>
          <w:sz w:val="21"/>
        </w:rPr>
        <w:t>系统级初步结果显示，EDCR-V1相对基础增强器将LSD和HF-LSD分别降低14.21%和17.58%，EDCR-V2-Initial亦获得频谱误差改善，但整体尚未超过V1；条件扰动结果未显示Predicted或Oracle相对Zero和Shuffled的明确优势，说明当前条件修复机制仍需进一步优化。上述结果支持显式退化诊断与轻量残差细化的可行性，同时限定了现阶段关于频带门控和条件有效性的结论边界。</w:t>
      </w:r>
    </w:p>
    <w:p w14:paraId="5DB99BF8">
      <w:pPr>
        <w:pStyle w:val="19"/>
        <w:widowControl/>
        <w:spacing w:after="0" w:line="360" w:lineRule="auto"/>
        <w:ind w:left="0" w:right="0" w:firstLine="0"/>
      </w:pPr>
      <w:r>
        <w:rPr>
          <w:rFonts w:ascii="Times New Roman" w:hAnsi="Times New Roman" w:eastAsia="宋体"/>
          <w:b/>
          <w:bCs/>
          <w:color w:val="000000"/>
          <w:sz w:val="24"/>
        </w:rPr>
        <w:t>关键词：</w:t>
      </w:r>
      <w:r>
        <w:rPr>
          <w:rFonts w:ascii="Times New Roman" w:hAnsi="Times New Roman" w:eastAsia="宋体"/>
          <w:color w:val="000000"/>
          <w:sz w:val="24"/>
        </w:rPr>
        <w:t>语音增强；复合退化；退化诊断；条件残差；频带修复；参数高效学习</w:t>
      </w:r>
    </w:p>
    <w:bookmarkEnd w:id="0"/>
    <w:p w14:paraId="34D6F59F">
      <w:pPr>
        <w:pStyle w:val="3"/>
      </w:pPr>
      <w:r>
        <w:t>1 引言</w:t>
      </w:r>
    </w:p>
    <w:p w14:paraId="0FC55BD3">
      <w:pPr>
        <w:pStyle w:val="4"/>
      </w:pPr>
      <w:r>
        <w:t>1.1 研究背景与意义</w:t>
      </w:r>
    </w:p>
    <w:p w14:paraId="5C70B833">
      <w:pPr>
        <w:spacing w:before="0" w:after="0" w:line="360" w:lineRule="auto"/>
        <w:ind w:firstLine="420"/>
        <w:jc w:val="both"/>
      </w:pPr>
      <w:r>
        <w:rPr>
          <w:rFonts w:ascii="Times New Roman" w:hAnsi="Times New Roman" w:eastAsia="宋体"/>
          <w:sz w:val="24"/>
        </w:rPr>
        <w:t>语音增强旨在从受到噪声、混响或传输失真影响的观测信号中恢复尽可能清晰、自然且可懂的语音，是远程会议、移动通信、自动语音识别、助听设备和人机交互系统的重要前端。早期方法主要依据加性噪声假设进行谱减、维纳滤波或统计估计，深度学习方法则逐步发展出幅度谱映射、复数比率掩膜、复数谱建模及时域端到端重建等路线[1-5]。近年来，研究重点进一步转向感知质量、相位恢复、实时部署和复杂声学环境下的稳健性[6-10]。</w:t>
      </w:r>
    </w:p>
    <w:p w14:paraId="7AAFC379">
      <w:pPr>
        <w:spacing w:before="0" w:after="0" w:line="360" w:lineRule="auto"/>
        <w:ind w:firstLine="420"/>
        <w:jc w:val="both"/>
      </w:pPr>
      <w:r>
        <w:rPr>
          <w:rFonts w:ascii="Times New Roman" w:hAnsi="Times New Roman" w:eastAsia="宋体"/>
          <w:sz w:val="24"/>
        </w:rPr>
        <w:t>真实通信链路中的语音退化通常不是单一噪声问题。移动终端采集、VoIP传输、低码率编码和边缘设备处理可能同时引入带宽裁剪、往返重采样、量化误差、削波、混响与环境噪声。ICASSP 2024 Speech Signal Improvement Challenge以及真实数据驱动的噪声抑制研究均表明，面向通信链路的语音改善需要同时考虑多种失真与真实分布偏移[12-13]。2025年的系统研究和综述也指出，模型在单一数据配方上获得的提升并不必然迁移到混响、复合噪声或真实应用环境，评价体系需要同时覆盖质量、可懂度、稳健性和计算成本[21-22]。</w:t>
      </w:r>
    </w:p>
    <w:p w14:paraId="35DA76BD">
      <w:pPr>
        <w:spacing w:before="0" w:after="0" w:line="360" w:lineRule="auto"/>
        <w:ind w:firstLine="420"/>
        <w:jc w:val="both"/>
      </w:pPr>
      <w:r>
        <w:rPr>
          <w:rFonts w:ascii="Times New Roman" w:hAnsi="Times New Roman" w:eastAsia="宋体"/>
          <w:sz w:val="24"/>
        </w:rPr>
        <w:t>复合退化具有明显的异质性：加性噪声主要掩蔽有效语音结构，带宽限制造成中高频信息缺失，低位深量化则引入离散化纹理和非线性伪影。统一网络虽然能够学习平均意义上的恢复映射，但未必能回答“当前样本主要受到何种退化”“应重点修复哪个频带”和“应采用多大修复强度”。因此，研究一种能够显式诊断退化状态、以低成本调用针对性修复策略并保护基础增强能力的方法，既具有理论上的可解释性价值，也具有模型维护和工程部署意义。</w:t>
      </w:r>
    </w:p>
    <w:p w14:paraId="4FE28F9D">
      <w:pPr>
        <w:pStyle w:val="4"/>
      </w:pPr>
      <w:r>
        <w:t>1.2 现有方法的不足</w:t>
      </w:r>
    </w:p>
    <w:p w14:paraId="3FDF604E">
      <w:pPr>
        <w:spacing w:before="0" w:after="0" w:line="360" w:lineRule="auto"/>
        <w:ind w:firstLine="420"/>
        <w:jc w:val="both"/>
      </w:pPr>
      <w:r>
        <w:rPr>
          <w:rFonts w:ascii="Times New Roman" w:hAnsi="Times New Roman" w:eastAsia="宋体"/>
          <w:sz w:val="24"/>
        </w:rPr>
        <w:t>第一，现有模型通常把退化状态隐式编码在高维特征中。复数谱网络、全频—子带融合网络和生成式增强模型能够获得较强的总体性能，但其输出一般不直接给出噪声存在性、信噪比、有效带宽或量化位深等可命名变量[5-10]。在缺少独立诊断任务的情况下，模型是否真正区分了不同退化类型，以及性能提升是否来自正确的退化判断，往往难以验证。</w:t>
      </w:r>
    </w:p>
    <w:p w14:paraId="35EBFA99">
      <w:pPr>
        <w:spacing w:before="0" w:after="0" w:line="360" w:lineRule="auto"/>
        <w:ind w:firstLine="420"/>
        <w:jc w:val="both"/>
      </w:pPr>
      <w:r>
        <w:rPr>
          <w:rFonts w:ascii="Times New Roman" w:hAnsi="Times New Roman" w:eastAsia="宋体"/>
          <w:sz w:val="24"/>
        </w:rPr>
        <w:t>第二，统一恢复策略缺少样本级和频带级针对性。FullSubNet等工作证明了局部子带建模的重要性[6]，近期跨频带建模研究也说明窄带与跨带信息交互有助于复杂谱结构恢复[25]。然而，频带处理多数仍由隐式注意力或固定网络结构决定，未必能够依据当前样本的噪声强度、带宽缺失程度和量化状态动态调整。若对所有输入使用相同后处理，严重退化样本可能补偿不足，而近干净语音则可能出现过度修复。</w:t>
      </w:r>
    </w:p>
    <w:p w14:paraId="7FF9C5E6">
      <w:pPr>
        <w:spacing w:before="0" w:after="0" w:line="360" w:lineRule="auto"/>
        <w:ind w:firstLine="420"/>
        <w:jc w:val="both"/>
      </w:pPr>
      <w:r>
        <w:rPr>
          <w:rFonts w:ascii="Times New Roman" w:hAnsi="Times New Roman" w:eastAsia="宋体"/>
          <w:sz w:val="24"/>
        </w:rPr>
        <w:t>第三，重新训练大型增强器的成本较高，且新增性能难以归因。多阶段恢复、Taylor展开残差建模以及国内两阶段训练研究表明，把粗恢复与细化优化分开能够降低任务难度[9,15]。但若所有模块始终联合更新，基础增强能力、退化识别能力和后续细化能力仍然相互耦合。当前仍需要一种职责清晰的增量式框架：保留稳定基础增强器，只训练轻量退化诊断与条件残差模块，并通过零条件、打乱条件、预测条件和真实条件对比验证显式状态是否真正参与决策。</w:t>
      </w:r>
    </w:p>
    <w:p w14:paraId="0767FA52">
      <w:pPr>
        <w:pStyle w:val="4"/>
      </w:pPr>
      <w:r>
        <w:t>1.3 本文研究内容与贡献</w:t>
      </w:r>
    </w:p>
    <w:p w14:paraId="088A29EE">
      <w:pPr>
        <w:spacing w:before="0" w:after="0" w:line="360" w:lineRule="auto"/>
        <w:ind w:firstLine="420"/>
        <w:jc w:val="both"/>
      </w:pPr>
      <w:r>
        <w:rPr>
          <w:rFonts w:ascii="Times New Roman" w:hAnsi="Times New Roman" w:eastAsia="宋体"/>
          <w:sz w:val="24"/>
        </w:rPr>
        <w:t>针对上述问题，本文提出面向复合退化语音的显式退化诊断与条件化频带残差修复网络EDCR-Net。该方法不被表述为对某一既有网络内部结构的简单修改，而是把语音恢复组织为“通用基础增强—显式退化诊断—条件化频带细化”三个职责相对独立的阶段。基础增强器提供初步恢复结果与深层表征，诊断器把隐式特征转换为噪声、SNR、带宽和位深四类结构化状态，残差模块再依据连续条件概率对不同频带实施受控补偿。</w:t>
      </w:r>
    </w:p>
    <w:p w14:paraId="6ED919C9">
      <w:pPr>
        <w:spacing w:before="0" w:after="0" w:line="360" w:lineRule="auto"/>
        <w:ind w:firstLine="420"/>
        <w:jc w:val="both"/>
      </w:pPr>
      <w:r>
        <w:rPr>
          <w:rFonts w:ascii="Times New Roman" w:hAnsi="Times New Roman" w:eastAsia="宋体"/>
          <w:sz w:val="24"/>
        </w:rPr>
        <w:t>本文的主要工作概括如下：①构建覆盖带宽限制、往返重采样、低通、量化和加性噪声的复合退化与结构化标签体系；②提出基于深层瓶颈统计的轻量多任务退化诊断方法，将四类退化属性转化为可独立评价的显式变量；③提出预测条件驱动的全局与分频带残差修复机制，使修复范围和注入强度随样本状态变化；④采用冻结基础增强器、分阶段训练和分片缓存策略，降低训练成本并建立清晰的性能归因边界；⑤构建覆盖诊断准确性、系统增强、退化强度、条件有效性、典型频谱和复杂度的实验体系，与第一工作量形成相近的证据密度。</w:t>
      </w:r>
    </w:p>
    <w:p w14:paraId="1C63DB7F">
      <w:pPr>
        <w:pStyle w:val="3"/>
      </w:pPr>
      <w:r>
        <w:t>2 国内外研究现状</w:t>
      </w:r>
    </w:p>
    <w:p w14:paraId="4C65768A">
      <w:pPr>
        <w:pStyle w:val="4"/>
      </w:pPr>
      <w:r>
        <w:t>2.1 深度语音增强与复数谱建模</w:t>
      </w:r>
    </w:p>
    <w:p w14:paraId="599CD447">
      <w:pPr>
        <w:spacing w:before="0" w:after="0" w:line="360" w:lineRule="auto"/>
        <w:ind w:firstLine="420"/>
        <w:jc w:val="both"/>
      </w:pPr>
      <w:r>
        <w:rPr>
          <w:rFonts w:ascii="Times New Roman" w:hAnsi="Times New Roman" w:eastAsia="宋体"/>
          <w:sz w:val="24"/>
        </w:rPr>
        <w:t>深度语音增强经历了从幅度谱估计到相位感知和时域端到端建模的发展。复数比率掩膜为同时估计实部与虚部提供了统一表示[3]，DCCRN将复数卷积与循环网络结合以改善相位恢复[5]，Conv-TasNet则证明了直接在时域学习分析—合成变换的可行性[4]。在此基础上，MetricGAN+通过可感知指标代理优化主观质量[7]，CMGAN利用Conformer和度量对抗学习兼顾局部谱结构与长程依赖[8]，TaylorSENet把增强解释为粗估计与高阶复数残差叠加，为后续残差细化提供了方法启发[9]。</w:t>
      </w:r>
    </w:p>
    <w:p w14:paraId="29F15C40">
      <w:pPr>
        <w:spacing w:before="0" w:after="0" w:line="360" w:lineRule="auto"/>
        <w:ind w:firstLine="420"/>
        <w:jc w:val="both"/>
      </w:pPr>
      <w:r>
        <w:rPr>
          <w:rFonts w:ascii="Times New Roman" w:hAnsi="Times New Roman" w:eastAsia="宋体"/>
          <w:sz w:val="24"/>
        </w:rPr>
        <w:t>近两年研究更关注真实数据、生成式不确定性与低复杂度部署。ICASSP 2024相关工作强调真实训练数据对抑制模拟—真实域差异的重要性[13]；Lay和Gerkmann从输出方差角度分析扩散式增强的稳定性[23]；GTCRN则以超低参数和计算量展示了轻量复数谱增强的工程潜力[14]。2025年的系统研究表明，网络在混响与混响—噪声联合环境中的表现仍受数据分布、目标定义和评价指标影响[21]。这些进展提升了基础增强能力，但多数方法仍以直接学习统一映射为主。</w:t>
      </w:r>
    </w:p>
    <w:p w14:paraId="7F892955">
      <w:pPr>
        <w:pStyle w:val="4"/>
      </w:pPr>
      <w:r>
        <w:t>2.2 通用语音恢复与复合退化建模</w:t>
      </w:r>
    </w:p>
    <w:p w14:paraId="2953470E">
      <w:pPr>
        <w:spacing w:before="0" w:after="0" w:line="360" w:lineRule="auto"/>
        <w:ind w:firstLine="420"/>
        <w:jc w:val="both"/>
      </w:pPr>
      <w:r>
        <w:rPr>
          <w:rFonts w:ascii="Times New Roman" w:hAnsi="Times New Roman" w:eastAsia="宋体"/>
          <w:sz w:val="24"/>
        </w:rPr>
        <w:t>随着应用场景从单一降噪扩展到通信语音改善，研究对象开始同时覆盖噪声、混响、带宽限制、削波和编码伪影。DNS Challenge推动了真实噪声抑制评测[11]，ICASSP 2024 SSI Challenge进一步把语音通信链路中的多类失真纳入统一评价[12]。相关研究说明，复合退化包含“信息被污染”和“信息已缺失”两种性质不同的问题，仅依赖传统加性噪声模型难以完整描述。</w:t>
      </w:r>
    </w:p>
    <w:p w14:paraId="05C1B9D2">
      <w:pPr>
        <w:spacing w:before="0" w:after="0" w:line="360" w:lineRule="auto"/>
        <w:ind w:firstLine="420"/>
        <w:jc w:val="both"/>
      </w:pPr>
      <w:r>
        <w:rPr>
          <w:rFonts w:ascii="Times New Roman" w:hAnsi="Times New Roman" w:eastAsia="宋体"/>
          <w:sz w:val="24"/>
        </w:rPr>
        <w:t>通用恢复模型通常通过大规模混合数据学习共享表示，优势是覆盖多种条件，局限是每条样本的具体退化来源仍然隐含在网络内部。近期综述指出，语音增强系统的实际有效性需要结合数据来源、听觉质量、识别性能和部署约束综合判断[22]；针对听障人群的研究也表明，噪声抑制对可懂度、听觉努力和主观质量的影响并不完全一致[27]。因此，复合退化研究不仅需要报告最终质量指标，还需要建立能够解释输入状态与修复行为之间关系的中间证据。</w:t>
      </w:r>
    </w:p>
    <w:p w14:paraId="50E946B2">
      <w:pPr>
        <w:pStyle w:val="4"/>
      </w:pPr>
      <w:r>
        <w:t>2.3 条件感知与状态辅助增强</w:t>
      </w:r>
    </w:p>
    <w:p w14:paraId="7BB089BD">
      <w:pPr>
        <w:spacing w:before="0" w:after="0" w:line="360" w:lineRule="auto"/>
        <w:ind w:firstLine="420"/>
        <w:jc w:val="both"/>
      </w:pPr>
      <w:r>
        <w:rPr>
          <w:rFonts w:ascii="Times New Roman" w:hAnsi="Times New Roman" w:eastAsia="宋体"/>
          <w:sz w:val="24"/>
        </w:rPr>
        <w:t>条件感知方法通过噪声类型、SNR、环境类别、说话人信息或可靠性分数调制特征变换、注意力和门控，使网络能够根据输入状态改变恢复策略。其关键不在于增加一个条件向量，而在于条件必须具有可解释来源，并在推理阶段可获得。本文选择噪声存在性、连续SNR、有效带宽和量化位深作为显式状态，是因为它们分别对应噪声抑制强度、高频信息缺失和量化纹理修复等不同决策。</w:t>
      </w:r>
    </w:p>
    <w:p w14:paraId="296E025E">
      <w:pPr>
        <w:spacing w:before="0" w:after="0" w:line="360" w:lineRule="auto"/>
        <w:ind w:firstLine="420"/>
        <w:jc w:val="both"/>
      </w:pPr>
      <w:r>
        <w:rPr>
          <w:rFonts w:ascii="Times New Roman" w:hAnsi="Times New Roman" w:eastAsia="宋体"/>
          <w:sz w:val="24"/>
        </w:rPr>
        <w:t>近两年的相邻研究为条件化决策提供了进一步证据。基于SNR估计的动态权重调制能够根据声学可靠性改变音视频信息贡献[26]，认知式上下文建模与人机评价指标也被用于复杂语音增强[24,30]。虽然这些工作依赖视觉或交互信息，不能直接替代纯音频复合退化诊断，但它们共同说明：显式可靠性或状态变量只有通过条件扰动、权重分布和性能变化进行验证，才能证明其确实参与了增强决策。</w:t>
      </w:r>
    </w:p>
    <w:p w14:paraId="417949B1">
      <w:pPr>
        <w:pStyle w:val="4"/>
      </w:pPr>
      <w:r>
        <w:t>2.4 多阶段恢复与残差细化</w:t>
      </w:r>
    </w:p>
    <w:p w14:paraId="2454BACD">
      <w:pPr>
        <w:spacing w:before="0" w:after="0" w:line="360" w:lineRule="auto"/>
        <w:ind w:firstLine="420"/>
        <w:jc w:val="both"/>
      </w:pPr>
      <w:r>
        <w:rPr>
          <w:rFonts w:ascii="Times New Roman" w:hAnsi="Times New Roman" w:eastAsia="宋体"/>
          <w:sz w:val="24"/>
        </w:rPr>
        <w:t>多阶段方法通常先获得稳定的粗增强结果，再进行去伪影、结构补偿或感知细化。TaylorSENet的粗滤波与高阶残差展开表明，残差可以被建模为基础输出与目标频谱之间的可解释差值[9]；国内两阶段远场语音增强研究则利用客观音质指标引导后续优化，为分阶段训练提供了本土研究依据[15]。相较于重新构建完整输出，受限残差更适合承担小幅修补任务，也便于通过残差能量比判断模型是否发生过度重建。</w:t>
      </w:r>
    </w:p>
    <w:p w14:paraId="2BB4F930">
      <w:pPr>
        <w:spacing w:before="0" w:after="0" w:line="360" w:lineRule="auto"/>
        <w:ind w:firstLine="420"/>
        <w:jc w:val="both"/>
      </w:pPr>
      <w:r>
        <w:rPr>
          <w:rFonts w:ascii="Times New Roman" w:hAnsi="Times New Roman" w:eastAsia="宋体"/>
          <w:sz w:val="24"/>
        </w:rPr>
        <w:t>现有多阶段方法仍多采用统一后处理，或者在多个阶段之间进行端到端联合训练。本文进一步把“先诊断、后修复”纳入多阶段框架：基础增强器参数保持固定，诊断器独立学习可命名状态，残差模块只依据预测条件修复剩余误差。这种设计使基础增强能力、退化判断能力和残差贡献能够在实验中分别评价。</w:t>
      </w:r>
    </w:p>
    <w:p w14:paraId="4A59386C">
      <w:pPr>
        <w:pStyle w:val="4"/>
      </w:pPr>
      <w:r>
        <w:t>2.5 子带建模与高频恢复</w:t>
      </w:r>
    </w:p>
    <w:p w14:paraId="007D9815">
      <w:pPr>
        <w:spacing w:before="0" w:after="0" w:line="360" w:lineRule="auto"/>
        <w:ind w:firstLine="420"/>
        <w:jc w:val="both"/>
      </w:pPr>
      <w:r>
        <w:rPr>
          <w:rFonts w:ascii="Times New Roman" w:hAnsi="Times New Roman" w:eastAsia="宋体"/>
          <w:sz w:val="24"/>
        </w:rPr>
        <w:t>语音不同频带承担不同声学功能。低频包含基音和主要能量，中频与共振峰及可懂度密切相关，高频则包含摩擦音、爆破音与清晰度细节。FullSubNet通过全频信息和局部子带信息融合提高单通道增强能力[6]；近期AV-CrossNet进一步利用窄带与跨频带建模增强复杂谱映射[25]。这些结果说明，局部频率结构和跨带上下文均是恢复的重要信息来源。</w:t>
      </w:r>
    </w:p>
    <w:p w14:paraId="77001B65">
      <w:pPr>
        <w:spacing w:before="0" w:after="0" w:line="360" w:lineRule="auto"/>
        <w:ind w:firstLine="420"/>
        <w:jc w:val="both"/>
      </w:pPr>
      <w:r>
        <w:rPr>
          <w:rFonts w:ascii="Times New Roman" w:hAnsi="Times New Roman" w:eastAsia="宋体"/>
          <w:sz w:val="24"/>
        </w:rPr>
        <w:t>但频带补偿不能仅由频率位置决定。带宽受限样本需要加强高频恢复，强噪声样本则需要避免把残余噪声同步放大，量化失真可能要求中高频纹理与全频幅度共同修正。本文据此把频谱划分为低、中、高三个区域，并由显式退化条件生成各频带门控，使“修复哪个频带、修复多少”成为可观察、可扰动和可验证的模型决策。</w:t>
      </w:r>
    </w:p>
    <w:p w14:paraId="635394A0">
      <w:pPr>
        <w:pStyle w:val="4"/>
      </w:pPr>
      <w:r>
        <w:t>2.6 研究评述与本文定位</w:t>
      </w:r>
    </w:p>
    <w:p w14:paraId="33353C63">
      <w:pPr>
        <w:spacing w:before="0" w:after="0" w:line="360" w:lineRule="auto"/>
        <w:ind w:firstLine="420"/>
        <w:jc w:val="both"/>
      </w:pPr>
      <w:r>
        <w:rPr>
          <w:rFonts w:ascii="Times New Roman" w:hAnsi="Times New Roman" w:eastAsia="宋体"/>
          <w:sz w:val="24"/>
        </w:rPr>
        <w:t>综上，现有研究已经分别验证了复数谱建模、全频—子带融合、生成式增强、多阶段恢复、残差细化、轻量部署和条件调制的有效性[5-15,21-26]。不过，这些技术要素通常分散在不同方法中。面向带宽、量化和噪声共同作用的通信复合退化场景，仍缺少一种同时完成多因素显式诊断、预测条件驱动频带修复、冻结式增量训练和条件有效性验证的轻量框架。</w:t>
      </w:r>
    </w:p>
    <w:p w14:paraId="4EBDEA11">
      <w:pPr>
        <w:spacing w:before="0" w:after="0" w:line="360" w:lineRule="auto"/>
        <w:ind w:firstLine="420"/>
        <w:jc w:val="both"/>
      </w:pPr>
      <w:r>
        <w:rPr>
          <w:rFonts w:ascii="Times New Roman" w:hAnsi="Times New Roman" w:eastAsia="宋体"/>
          <w:sz w:val="24"/>
        </w:rPr>
        <w:t>因此，本文的贡献不在于宣称首次提出残差、子带或多阶段结构，而在于把这些要素组织为“可诊断—能决策—受控修复”的闭环。该定位既避免把论文弱化为某一基础网络的局部改动，也明确限制了原创性边界：基础增强器是可替换组件，核心研究对象是复合退化状态如何被显式提取并转化为频带级残差决策。</w:t>
      </w:r>
    </w:p>
    <w:p w14:paraId="305E2891">
      <w:pPr>
        <w:pStyle w:val="3"/>
      </w:pPr>
      <w:r>
        <w:t>3 显式退化诊断与条件化频带残差修复方法</w:t>
      </w:r>
    </w:p>
    <w:p w14:paraId="780FC244">
      <w:pPr>
        <w:pStyle w:val="4"/>
      </w:pPr>
      <w:r>
        <w:t>3.1 问题定义与研究思路</w:t>
      </w:r>
    </w:p>
    <w:p w14:paraId="3ED373EA">
      <w:pPr>
        <w:spacing w:before="0" w:after="0" w:line="360" w:lineRule="auto"/>
        <w:ind w:firstLine="420"/>
        <w:jc w:val="both"/>
      </w:pPr>
      <w:r>
        <w:rPr>
          <w:rFonts w:ascii="Times New Roman" w:hAnsi="Times New Roman" w:eastAsia="宋体"/>
          <w:sz w:val="24"/>
        </w:rPr>
        <w:t>设干净语音为s，观测语音为x，复合退化状态记为δ。δ由噪声存在性、信噪比、有效带宽、重采样状态和量化位深等变量构成。复合退化过程与目标恢复映射分别表示为：</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7D328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407A05BA">
            <w:pPr>
              <w:spacing w:after="0"/>
              <w:jc w:val="center"/>
            </w:pPr>
            <w:r>
              <w:rPr>
                <w:rFonts w:ascii="Cambria Math" w:hAnsi="Cambria Math" w:eastAsia="Cambria Math"/>
                <w:sz w:val="22"/>
              </w:rPr>
              <w:t>x = 𝒟(s; δ)</w:t>
            </w:r>
          </w:p>
        </w:tc>
        <w:tc>
          <w:tcPr>
            <w:tcW w:w="1077" w:type="dxa"/>
            <w:noWrap/>
          </w:tcPr>
          <w:p w14:paraId="55AD27E8">
            <w:pPr>
              <w:spacing w:after="0"/>
              <w:jc w:val="right"/>
            </w:pPr>
            <w:r>
              <w:rPr>
                <w:rFonts w:ascii="Times New Roman" w:hAnsi="Times New Roman" w:eastAsia="宋体"/>
                <w:sz w:val="21"/>
              </w:rPr>
              <w:t>（3-1）</w:t>
            </w:r>
          </w:p>
        </w:tc>
      </w:tr>
      <w:tr w14:paraId="05936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0BAD5C69">
            <w:pPr>
              <w:spacing w:after="0"/>
              <w:jc w:val="center"/>
            </w:pPr>
            <w:r>
              <w:rPr>
                <w:rFonts w:ascii="Cambria Math" w:hAnsi="Cambria Math" w:eastAsia="Cambria Math"/>
                <w:sz w:val="22"/>
              </w:rPr>
              <w:t>ŝ = 𝓕(x),    ŝ ≈ s</w:t>
            </w:r>
          </w:p>
        </w:tc>
        <w:tc>
          <w:tcPr>
            <w:tcW w:w="1077" w:type="dxa"/>
            <w:noWrap/>
          </w:tcPr>
          <w:p w14:paraId="396A8821">
            <w:pPr>
              <w:spacing w:after="0"/>
              <w:jc w:val="right"/>
            </w:pPr>
            <w:r>
              <w:rPr>
                <w:rFonts w:ascii="Times New Roman" w:hAnsi="Times New Roman" w:eastAsia="宋体"/>
                <w:sz w:val="21"/>
              </w:rPr>
              <w:t>（3-2）</w:t>
            </w:r>
          </w:p>
        </w:tc>
      </w:tr>
    </w:tbl>
    <w:p w14:paraId="5883F214">
      <w:pPr>
        <w:spacing w:before="0" w:after="0" w:line="360" w:lineRule="auto"/>
        <w:ind w:firstLine="420"/>
        <w:jc w:val="both"/>
      </w:pPr>
      <w:r>
        <w:rPr>
          <w:rFonts w:ascii="Times New Roman" w:hAnsi="Times New Roman" w:eastAsia="宋体"/>
          <w:sz w:val="24"/>
        </w:rPr>
        <w:t>EDCR-Net不要求单个网络同时完成所有恢复任务，而是把映射𝓕分解为基础增强、显式诊断和条件残差细化三个阶段。基础增强器负责恢复主体结构并提供深层表征；退化诊断器把隐式表征转换为四类可解释状态；条件残差模块依据预测条件对基础输出进行小幅、频带选择性的修正。训练时固定基础增强器，使后续性能变化能够归因于诊断与残差模块。</w:t>
      </w:r>
    </w:p>
    <w:p w14:paraId="71A69894">
      <w:pPr>
        <w:pStyle w:val="4"/>
      </w:pPr>
      <w:r>
        <w:t>3.2 整体框架</w:t>
      </w:r>
    </w:p>
    <w:p w14:paraId="5D45822B">
      <w:pPr>
        <w:spacing w:before="0" w:after="0" w:line="360" w:lineRule="auto"/>
        <w:ind w:firstLine="420"/>
        <w:jc w:val="both"/>
      </w:pPr>
      <w:r>
        <w:rPr>
          <w:rFonts w:ascii="Times New Roman" w:hAnsi="Times New Roman" w:eastAsia="宋体"/>
          <w:sz w:val="24"/>
        </w:rPr>
        <w:t>输入语音首先经过短时傅里叶变换得到复数频谱X。基础增强器Bφ同时输出初步增强频谱Ŝb和瓶颈特征H；统计池化与诊断器Eθ产生九维连续条件c；残差修复器Rψ再生成受控残差ΔS。整个推理过程可写为：</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1DFB4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78F26762">
            <w:pPr>
              <w:spacing w:after="0"/>
              <w:jc w:val="center"/>
            </w:pPr>
            <w:r>
              <w:rPr>
                <w:rFonts w:ascii="Cambria Math" w:hAnsi="Cambria Math" w:eastAsia="Cambria Math"/>
                <w:sz w:val="22"/>
              </w:rPr>
              <w:t>X = STFT(x),    (Ŝb, H) = Bφ(X)</w:t>
            </w:r>
          </w:p>
        </w:tc>
        <w:tc>
          <w:tcPr>
            <w:tcW w:w="1077" w:type="dxa"/>
            <w:noWrap/>
          </w:tcPr>
          <w:p w14:paraId="1B1E24CA">
            <w:pPr>
              <w:spacing w:after="0"/>
              <w:jc w:val="right"/>
            </w:pPr>
            <w:r>
              <w:rPr>
                <w:rFonts w:ascii="Times New Roman" w:hAnsi="Times New Roman" w:eastAsia="宋体"/>
                <w:sz w:val="21"/>
              </w:rPr>
              <w:t>（3-3）</w:t>
            </w:r>
          </w:p>
        </w:tc>
      </w:tr>
      <w:tr w14:paraId="18D2E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7D0AF621">
            <w:pPr>
              <w:spacing w:after="0"/>
              <w:jc w:val="center"/>
            </w:pPr>
            <w:r>
              <w:rPr>
                <w:rFonts w:ascii="Cambria Math" w:hAnsi="Cambria Math" w:eastAsia="Cambria Math"/>
                <w:sz w:val="21"/>
              </w:rPr>
              <w:t>c = Eθ(Pool(H)),    Ŝ = Ŝb + Rψ(Ŝb, c),    ŝ = iSTFT(Ŝ)</w:t>
            </w:r>
          </w:p>
        </w:tc>
        <w:tc>
          <w:tcPr>
            <w:tcW w:w="1077" w:type="dxa"/>
            <w:noWrap/>
          </w:tcPr>
          <w:p w14:paraId="3EEB2AE0">
            <w:pPr>
              <w:spacing w:after="0"/>
              <w:jc w:val="right"/>
            </w:pPr>
            <w:r>
              <w:rPr>
                <w:rFonts w:ascii="Times New Roman" w:hAnsi="Times New Roman" w:eastAsia="宋体"/>
                <w:sz w:val="21"/>
              </w:rPr>
              <w:t>（3-4）</w:t>
            </w:r>
          </w:p>
        </w:tc>
      </w:tr>
    </w:tbl>
    <w:p w14:paraId="712909EB">
      <w:pPr>
        <w:spacing w:before="0" w:after="0" w:line="360" w:lineRule="auto"/>
        <w:ind w:firstLine="420"/>
        <w:jc w:val="both"/>
      </w:pPr>
      <w:r>
        <w:rPr>
          <w:rFonts w:ascii="Times New Roman" w:hAnsi="Times New Roman" w:eastAsia="宋体"/>
          <w:sz w:val="24"/>
        </w:rPr>
        <w:t>该分解形成清晰的功能边界：Bφ承担通用增强，Eθ回答“当前语音坏在哪里”，Rψ回答“应修复哪个频带以及修复多少”。图3-1建议作为本章的总览图，重点展示数据流、冻结关系、条件向量和残差注入位置；其后各小节只解释图中对应模块，避免重复描述整体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7"/>
      </w:tblGrid>
      <w:tr w14:paraId="33E7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91" w:hRule="atLeast"/>
          <w:jc w:val="center"/>
        </w:trPr>
        <w:tc>
          <w:tcPr>
            <w:tcW w:w="8617" w:type="dxa"/>
            <w:shd w:val="clear" w:color="auto" w:fill="F3F6FA"/>
            <w:vAlign w:val="center"/>
          </w:tcPr>
          <w:p w14:paraId="0524C7D9">
            <w:pPr>
              <w:spacing w:after="80"/>
              <w:jc w:val="center"/>
            </w:pPr>
            <w:r>
              <w:rPr>
                <w:rFonts w:ascii="Times New Roman" w:hAnsi="Times New Roman" w:eastAsia="宋体"/>
                <w:b/>
                <w:sz w:val="26"/>
              </w:rPr>
              <w:t>【此处插入图3-1】</w:t>
            </w:r>
          </w:p>
          <w:p w14:paraId="21D701DF">
            <w:pPr>
              <w:keepNext/>
              <w:spacing w:after="0"/>
              <w:jc w:val="center"/>
            </w:pPr>
            <w:r>
              <w:rPr>
                <w:rFonts w:ascii="Times New Roman" w:hAnsi="Times New Roman" w:eastAsia="宋体"/>
                <w:color w:val="5A5A5A"/>
                <w:sz w:val="19"/>
              </w:rPr>
              <w:t>建议绘制：退化语音 → STFT → 冻结基础增强器 → 初步增强频谱</w:t>
            </w:r>
            <w:r>
              <w:rPr>
                <w:rFonts w:ascii="Times New Roman" w:hAnsi="Times New Roman" w:eastAsia="宋体"/>
                <w:color w:val="5A5A5A"/>
                <w:sz w:val="19"/>
              </w:rPr>
              <w:br w:type="textWrapping"/>
            </w:r>
            <w:r>
              <w:rPr>
                <w:rFonts w:ascii="Times New Roman" w:hAnsi="Times New Roman" w:eastAsia="宋体"/>
                <w:color w:val="5A5A5A"/>
                <w:sz w:val="19"/>
              </w:rPr>
              <w:t>瓶颈特征 → 统计池化 → 多任务退化诊断 → 9维条件向量</w:t>
            </w:r>
            <w:r>
              <w:rPr>
                <w:rFonts w:ascii="Times New Roman" w:hAnsi="Times New Roman" w:eastAsia="宋体"/>
                <w:color w:val="5A5A5A"/>
                <w:sz w:val="19"/>
              </w:rPr>
              <w:br w:type="textWrapping"/>
            </w:r>
            <w:r>
              <w:rPr>
                <w:rFonts w:ascii="Times New Roman" w:hAnsi="Times New Roman" w:eastAsia="宋体"/>
                <w:color w:val="5A5A5A"/>
                <w:sz w:val="19"/>
              </w:rPr>
              <w:t>条件向量 + 初步增强频谱 → 分频带残差修复 → iSTFT → 增强语音</w:t>
            </w:r>
            <w:r>
              <w:rPr>
                <w:rFonts w:ascii="Times New Roman" w:hAnsi="Times New Roman" w:eastAsia="宋体"/>
                <w:color w:val="5A5A5A"/>
                <w:sz w:val="19"/>
              </w:rPr>
              <w:br w:type="textWrapping"/>
            </w:r>
            <w:r>
              <w:rPr>
                <w:rFonts w:ascii="Times New Roman" w:hAnsi="Times New Roman" w:eastAsia="宋体"/>
                <w:color w:val="5A5A5A"/>
                <w:sz w:val="19"/>
              </w:rPr>
              <w:t>用虚线或锁形图标标注“基础增强器冻结”，用实线标注训练路径。</w:t>
            </w:r>
          </w:p>
        </w:tc>
      </w:tr>
    </w:tbl>
    <w:p w14:paraId="00B04A30">
      <w:pPr>
        <w:pStyle w:val="19"/>
        <w:spacing w:before="60" w:after="120"/>
        <w:jc w:val="center"/>
      </w:pPr>
      <w:r>
        <w:rPr>
          <w:rFonts w:ascii="Times New Roman" w:hAnsi="Times New Roman" w:eastAsia="宋体"/>
          <w:b/>
          <w:sz w:val="21"/>
        </w:rPr>
        <w:t>图 3-1 EDCR-Net整体框架</w:t>
      </w:r>
    </w:p>
    <w:p w14:paraId="1CBFC0AB">
      <w:pPr>
        <w:pStyle w:val="4"/>
      </w:pPr>
      <w:r>
        <w:t>3.3 复合退化生成与结构化标签</w:t>
      </w:r>
    </w:p>
    <w:p w14:paraId="6E1BA6E2">
      <w:pPr>
        <w:spacing w:before="0" w:after="0" w:line="360" w:lineRule="auto"/>
        <w:ind w:firstLine="420"/>
        <w:jc w:val="both"/>
      </w:pPr>
      <w:r>
        <w:rPr>
          <w:rFonts w:ascii="Times New Roman" w:hAnsi="Times New Roman" w:eastAsia="宋体"/>
          <w:sz w:val="24"/>
        </w:rPr>
        <w:t>为保证训练标签与处理过程一致，本文按“往返重采样—低通滤波—均匀量化—按目标SNR加噪—峰值归一化”的顺序生成复合退化语音。设Rfs表示往返重采样，Lfc表示截止频率为fc的低通滤波，Qb表示b bit对称均匀量化，n表示零均值噪声，则退化链可表示为：</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37A57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325299EB">
            <w:pPr>
              <w:spacing w:after="0"/>
              <w:jc w:val="center"/>
            </w:pPr>
            <w:r>
              <w:rPr>
                <w:rFonts w:ascii="Cambria Math" w:hAnsi="Cambria Math" w:eastAsia="Cambria Math"/>
                <w:sz w:val="22"/>
              </w:rPr>
              <w:t>x₀ = Qb(Lfc(Rfs(s))),    x = Norm(x₀ + αn)</w:t>
            </w:r>
          </w:p>
        </w:tc>
        <w:tc>
          <w:tcPr>
            <w:tcW w:w="1077" w:type="dxa"/>
            <w:noWrap/>
          </w:tcPr>
          <w:p w14:paraId="4670F204">
            <w:pPr>
              <w:spacing w:after="0"/>
              <w:jc w:val="right"/>
            </w:pPr>
            <w:r>
              <w:rPr>
                <w:rFonts w:ascii="Times New Roman" w:hAnsi="Times New Roman" w:eastAsia="宋体"/>
                <w:sz w:val="21"/>
              </w:rPr>
              <w:t>（3-5）</w:t>
            </w:r>
          </w:p>
        </w:tc>
      </w:tr>
      <w:tr w14:paraId="1278D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26613D96">
            <w:pPr>
              <w:spacing w:after="0"/>
              <w:jc w:val="center"/>
            </w:pPr>
            <w:r>
              <w:rPr>
                <w:rFonts w:ascii="Cambria Math" w:hAnsi="Cambria Math" w:eastAsia="Cambria Math"/>
                <w:sz w:val="22"/>
              </w:rPr>
              <w:t>α = RMS(x₀) / [RMS(n) · 10^(SNR/20)]</w:t>
            </w:r>
          </w:p>
        </w:tc>
        <w:tc>
          <w:tcPr>
            <w:tcW w:w="1077" w:type="dxa"/>
            <w:noWrap/>
          </w:tcPr>
          <w:p w14:paraId="3A9B40E7">
            <w:pPr>
              <w:spacing w:after="0"/>
              <w:jc w:val="right"/>
            </w:pPr>
            <w:r>
              <w:rPr>
                <w:rFonts w:ascii="Times New Roman" w:hAnsi="Times New Roman" w:eastAsia="宋体"/>
                <w:sz w:val="21"/>
              </w:rPr>
              <w:t>（3-6）</w:t>
            </w:r>
          </w:p>
        </w:tc>
      </w:tr>
    </w:tbl>
    <w:p w14:paraId="432931F6">
      <w:pPr>
        <w:spacing w:before="0" w:after="0" w:line="360" w:lineRule="auto"/>
        <w:ind w:firstLine="420"/>
        <w:jc w:val="both"/>
      </w:pPr>
      <w:r>
        <w:rPr>
          <w:rFonts w:ascii="Times New Roman" w:hAnsi="Times New Roman" w:eastAsia="宋体"/>
          <w:sz w:val="24"/>
        </w:rPr>
        <w:t>每条样本同步保存噪声存在性yn、归一化SNR目标r、带宽类别yb和位深类别yq，并附加clean、light、medium、heavy难度标签。SNR只在存在噪声时参与回归损失；带宽和位深采用离散类别监督。当前固定退化顺序有利于复现，但正式泛化实验应增加随机顺序和真实环境噪声，以排除模型仅学习合成流程伪影的可能。</w:t>
      </w:r>
    </w:p>
    <w:p w14:paraId="7859D3AD">
      <w:pPr>
        <w:pStyle w:val="19"/>
        <w:spacing w:before="60" w:after="120"/>
        <w:jc w:val="center"/>
      </w:pPr>
      <w:r>
        <w:rPr>
          <w:rFonts w:ascii="Times New Roman" w:hAnsi="Times New Roman" w:eastAsia="宋体"/>
          <w:b/>
          <w:sz w:val="21"/>
        </w:rPr>
        <w:t>表 3-1 复合退化诊断任务与标签定义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2835"/>
        <w:gridCol w:w="2268"/>
      </w:tblGrid>
      <w:tr w14:paraId="314EF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1F2"/>
            <w:vAlign w:val="center"/>
          </w:tcPr>
          <w:p w14:paraId="32AD88F2">
            <w:pPr>
              <w:spacing w:after="0" w:line="276" w:lineRule="auto"/>
              <w:jc w:val="center"/>
            </w:pPr>
            <w:r>
              <w:rPr>
                <w:rFonts w:ascii="Times New Roman" w:hAnsi="Times New Roman" w:eastAsia="宋体"/>
                <w:b/>
                <w:sz w:val="19"/>
              </w:rPr>
              <w:t>任务</w:t>
            </w:r>
          </w:p>
        </w:tc>
        <w:tc>
          <w:tcPr>
            <w:tcW w:w="1701" w:type="dxa"/>
            <w:shd w:val="clear" w:color="auto" w:fill="D9E1F2"/>
            <w:vAlign w:val="center"/>
          </w:tcPr>
          <w:p w14:paraId="767FC9C7">
            <w:pPr>
              <w:spacing w:after="0" w:line="276" w:lineRule="auto"/>
              <w:jc w:val="center"/>
            </w:pPr>
            <w:r>
              <w:rPr>
                <w:rFonts w:ascii="Times New Roman" w:hAnsi="Times New Roman" w:eastAsia="宋体"/>
                <w:b/>
                <w:sz w:val="19"/>
              </w:rPr>
              <w:t>输出形式</w:t>
            </w:r>
          </w:p>
        </w:tc>
        <w:tc>
          <w:tcPr>
            <w:tcW w:w="2835" w:type="dxa"/>
            <w:shd w:val="clear" w:color="auto" w:fill="D9E1F2"/>
            <w:vAlign w:val="center"/>
          </w:tcPr>
          <w:p w14:paraId="50246D25">
            <w:pPr>
              <w:spacing w:after="0" w:line="276" w:lineRule="auto"/>
              <w:jc w:val="center"/>
            </w:pPr>
            <w:r>
              <w:rPr>
                <w:rFonts w:ascii="Times New Roman" w:hAnsi="Times New Roman" w:eastAsia="宋体"/>
                <w:b/>
                <w:sz w:val="19"/>
              </w:rPr>
              <w:t>标签空间</w:t>
            </w:r>
          </w:p>
        </w:tc>
        <w:tc>
          <w:tcPr>
            <w:tcW w:w="2268" w:type="dxa"/>
            <w:shd w:val="clear" w:color="auto" w:fill="D9E1F2"/>
            <w:vAlign w:val="center"/>
          </w:tcPr>
          <w:p w14:paraId="104C6F0C">
            <w:pPr>
              <w:spacing w:after="0" w:line="276" w:lineRule="auto"/>
              <w:jc w:val="center"/>
            </w:pPr>
            <w:r>
              <w:rPr>
                <w:rFonts w:ascii="Times New Roman" w:hAnsi="Times New Roman" w:eastAsia="宋体"/>
                <w:b/>
                <w:sz w:val="19"/>
              </w:rPr>
              <w:t>监督方式</w:t>
            </w:r>
          </w:p>
        </w:tc>
      </w:tr>
      <w:tr w14:paraId="53ED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3DCE61C">
            <w:pPr>
              <w:spacing w:after="0" w:line="276" w:lineRule="auto"/>
              <w:jc w:val="left"/>
            </w:pPr>
            <w:r>
              <w:rPr>
                <w:rFonts w:ascii="Times New Roman" w:hAnsi="Times New Roman" w:eastAsia="宋体"/>
                <w:b w:val="0"/>
                <w:sz w:val="19"/>
              </w:rPr>
              <w:t>噪声存在性</w:t>
            </w:r>
          </w:p>
        </w:tc>
        <w:tc>
          <w:tcPr>
            <w:tcW w:w="1701" w:type="dxa"/>
            <w:vAlign w:val="center"/>
          </w:tcPr>
          <w:p w14:paraId="2BAA692A">
            <w:pPr>
              <w:spacing w:after="0" w:line="276" w:lineRule="auto"/>
              <w:jc w:val="center"/>
            </w:pPr>
            <w:r>
              <w:rPr>
                <w:rFonts w:ascii="Times New Roman" w:hAnsi="Times New Roman" w:eastAsia="宋体"/>
                <w:b w:val="0"/>
                <w:sz w:val="19"/>
              </w:rPr>
              <w:t>1维logit</w:t>
            </w:r>
          </w:p>
        </w:tc>
        <w:tc>
          <w:tcPr>
            <w:tcW w:w="2835" w:type="dxa"/>
            <w:vAlign w:val="center"/>
          </w:tcPr>
          <w:p w14:paraId="148378DF">
            <w:pPr>
              <w:spacing w:after="0" w:line="276" w:lineRule="auto"/>
              <w:jc w:val="center"/>
            </w:pPr>
            <w:r>
              <w:rPr>
                <w:rFonts w:ascii="Times New Roman" w:hAnsi="Times New Roman" w:eastAsia="宋体"/>
                <w:b w:val="0"/>
                <w:sz w:val="19"/>
              </w:rPr>
              <w:t>无噪声/有噪声</w:t>
            </w:r>
          </w:p>
        </w:tc>
        <w:tc>
          <w:tcPr>
            <w:tcW w:w="2268" w:type="dxa"/>
            <w:vAlign w:val="center"/>
          </w:tcPr>
          <w:p w14:paraId="05330332">
            <w:pPr>
              <w:spacing w:after="0" w:line="276" w:lineRule="auto"/>
              <w:jc w:val="center"/>
            </w:pPr>
            <w:r>
              <w:rPr>
                <w:rFonts w:ascii="Times New Roman" w:hAnsi="Times New Roman" w:eastAsia="宋体"/>
                <w:b w:val="0"/>
                <w:sz w:val="19"/>
              </w:rPr>
              <w:t>BCEWithLogits</w:t>
            </w:r>
          </w:p>
        </w:tc>
      </w:tr>
      <w:tr w14:paraId="7C86E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CCA91D3">
            <w:pPr>
              <w:spacing w:after="0" w:line="276" w:lineRule="auto"/>
              <w:jc w:val="left"/>
            </w:pPr>
            <w:r>
              <w:rPr>
                <w:rFonts w:ascii="Times New Roman" w:hAnsi="Times New Roman" w:eastAsia="宋体"/>
                <w:b w:val="0"/>
                <w:sz w:val="19"/>
              </w:rPr>
              <w:t>SNR</w:t>
            </w:r>
          </w:p>
        </w:tc>
        <w:tc>
          <w:tcPr>
            <w:tcW w:w="1701" w:type="dxa"/>
            <w:vAlign w:val="center"/>
          </w:tcPr>
          <w:p w14:paraId="28646B79">
            <w:pPr>
              <w:spacing w:after="0" w:line="276" w:lineRule="auto"/>
              <w:jc w:val="center"/>
            </w:pPr>
            <w:r>
              <w:rPr>
                <w:rFonts w:ascii="Times New Roman" w:hAnsi="Times New Roman" w:eastAsia="宋体"/>
                <w:b w:val="0"/>
                <w:sz w:val="19"/>
              </w:rPr>
              <w:t>1维连续值</w:t>
            </w:r>
          </w:p>
        </w:tc>
        <w:tc>
          <w:tcPr>
            <w:tcW w:w="2835" w:type="dxa"/>
            <w:vAlign w:val="center"/>
          </w:tcPr>
          <w:p w14:paraId="30ACA623">
            <w:pPr>
              <w:spacing w:after="0" w:line="276" w:lineRule="auto"/>
              <w:jc w:val="center"/>
            </w:pPr>
            <w:r>
              <w:rPr>
                <w:rFonts w:ascii="Times New Roman" w:hAnsi="Times New Roman" w:eastAsia="宋体"/>
                <w:b w:val="0"/>
                <w:sz w:val="19"/>
              </w:rPr>
              <w:t>0–40 dB归一化</w:t>
            </w:r>
          </w:p>
        </w:tc>
        <w:tc>
          <w:tcPr>
            <w:tcW w:w="2268" w:type="dxa"/>
            <w:vAlign w:val="center"/>
          </w:tcPr>
          <w:p w14:paraId="5D840102">
            <w:pPr>
              <w:spacing w:after="0" w:line="276" w:lineRule="auto"/>
              <w:jc w:val="center"/>
            </w:pPr>
            <w:r>
              <w:rPr>
                <w:rFonts w:ascii="Times New Roman" w:hAnsi="Times New Roman" w:eastAsia="宋体"/>
                <w:b w:val="0"/>
                <w:sz w:val="19"/>
              </w:rPr>
              <w:t>掩码Smooth L1</w:t>
            </w:r>
          </w:p>
        </w:tc>
      </w:tr>
      <w:tr w14:paraId="7A433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1F916B8">
            <w:pPr>
              <w:spacing w:after="0" w:line="276" w:lineRule="auto"/>
              <w:jc w:val="left"/>
            </w:pPr>
            <w:r>
              <w:rPr>
                <w:rFonts w:ascii="Times New Roman" w:hAnsi="Times New Roman" w:eastAsia="宋体"/>
                <w:b w:val="0"/>
                <w:sz w:val="19"/>
              </w:rPr>
              <w:t>有效带宽</w:t>
            </w:r>
          </w:p>
        </w:tc>
        <w:tc>
          <w:tcPr>
            <w:tcW w:w="1701" w:type="dxa"/>
            <w:vAlign w:val="center"/>
          </w:tcPr>
          <w:p w14:paraId="743F6CC7">
            <w:pPr>
              <w:spacing w:after="0" w:line="276" w:lineRule="auto"/>
              <w:jc w:val="center"/>
            </w:pPr>
            <w:r>
              <w:rPr>
                <w:rFonts w:ascii="Times New Roman" w:hAnsi="Times New Roman" w:eastAsia="宋体"/>
                <w:b w:val="0"/>
                <w:sz w:val="19"/>
              </w:rPr>
              <w:t>3维logits</w:t>
            </w:r>
          </w:p>
        </w:tc>
        <w:tc>
          <w:tcPr>
            <w:tcW w:w="2835" w:type="dxa"/>
            <w:vAlign w:val="center"/>
          </w:tcPr>
          <w:p w14:paraId="149BBDBD">
            <w:pPr>
              <w:spacing w:after="0" w:line="276" w:lineRule="auto"/>
              <w:jc w:val="center"/>
            </w:pPr>
            <w:r>
              <w:rPr>
                <w:rFonts w:ascii="Times New Roman" w:hAnsi="Times New Roman" w:eastAsia="宋体"/>
                <w:b w:val="0"/>
                <w:sz w:val="19"/>
              </w:rPr>
              <w:t>全带宽/约6 kHz/约4 kHz</w:t>
            </w:r>
          </w:p>
        </w:tc>
        <w:tc>
          <w:tcPr>
            <w:tcW w:w="2268" w:type="dxa"/>
            <w:vAlign w:val="center"/>
          </w:tcPr>
          <w:p w14:paraId="74FB9167">
            <w:pPr>
              <w:spacing w:after="0" w:line="276" w:lineRule="auto"/>
              <w:jc w:val="center"/>
            </w:pPr>
            <w:r>
              <w:rPr>
                <w:rFonts w:ascii="Times New Roman" w:hAnsi="Times New Roman" w:eastAsia="宋体"/>
                <w:b w:val="0"/>
                <w:sz w:val="19"/>
              </w:rPr>
              <w:t>交叉熵</w:t>
            </w:r>
          </w:p>
        </w:tc>
      </w:tr>
      <w:tr w14:paraId="03D57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DCFE666">
            <w:pPr>
              <w:spacing w:after="0" w:line="276" w:lineRule="auto"/>
              <w:jc w:val="left"/>
            </w:pPr>
            <w:r>
              <w:rPr>
                <w:rFonts w:ascii="Times New Roman" w:hAnsi="Times New Roman" w:eastAsia="宋体"/>
                <w:b w:val="0"/>
                <w:sz w:val="19"/>
              </w:rPr>
              <w:t>量化位深</w:t>
            </w:r>
          </w:p>
        </w:tc>
        <w:tc>
          <w:tcPr>
            <w:tcW w:w="1701" w:type="dxa"/>
            <w:vAlign w:val="center"/>
          </w:tcPr>
          <w:p w14:paraId="4CCC0AD5">
            <w:pPr>
              <w:spacing w:after="0" w:line="276" w:lineRule="auto"/>
              <w:jc w:val="center"/>
            </w:pPr>
            <w:r>
              <w:rPr>
                <w:rFonts w:ascii="Times New Roman" w:hAnsi="Times New Roman" w:eastAsia="宋体"/>
                <w:b w:val="0"/>
                <w:sz w:val="19"/>
              </w:rPr>
              <w:t>4维logits</w:t>
            </w:r>
          </w:p>
        </w:tc>
        <w:tc>
          <w:tcPr>
            <w:tcW w:w="2835" w:type="dxa"/>
            <w:vAlign w:val="center"/>
          </w:tcPr>
          <w:p w14:paraId="0F907EA5">
            <w:pPr>
              <w:spacing w:after="0" w:line="276" w:lineRule="auto"/>
              <w:jc w:val="center"/>
            </w:pPr>
            <w:r>
              <w:rPr>
                <w:rFonts w:ascii="Times New Roman" w:hAnsi="Times New Roman" w:eastAsia="宋体"/>
                <w:b w:val="0"/>
                <w:sz w:val="19"/>
              </w:rPr>
              <w:t>16/12/10/8 bit</w:t>
            </w:r>
          </w:p>
        </w:tc>
        <w:tc>
          <w:tcPr>
            <w:tcW w:w="2268" w:type="dxa"/>
            <w:vAlign w:val="center"/>
          </w:tcPr>
          <w:p w14:paraId="52AAC5CD">
            <w:pPr>
              <w:spacing w:after="0" w:line="276" w:lineRule="auto"/>
              <w:jc w:val="center"/>
            </w:pPr>
            <w:r>
              <w:rPr>
                <w:rFonts w:ascii="Times New Roman" w:hAnsi="Times New Roman" w:eastAsia="宋体"/>
                <w:b w:val="0"/>
                <w:sz w:val="19"/>
              </w:rPr>
              <w:t>交叉熵</w:t>
            </w:r>
          </w:p>
        </w:tc>
      </w:tr>
    </w:tbl>
    <w:p w14:paraId="08319F88">
      <w:pPr>
        <w:pStyle w:val="4"/>
      </w:pPr>
      <w:r>
        <w:t>3.4 深层退化表征与多任务诊断</w:t>
      </w:r>
    </w:p>
    <w:p w14:paraId="48543D66">
      <w:pPr>
        <w:spacing w:before="0" w:after="0" w:line="360" w:lineRule="auto"/>
        <w:ind w:firstLine="420"/>
        <w:jc w:val="both"/>
      </w:pPr>
      <w:r>
        <w:rPr>
          <w:rFonts w:ascii="Times New Roman" w:hAnsi="Times New Roman" w:eastAsia="宋体"/>
          <w:sz w:val="24"/>
        </w:rPr>
        <w:t>基础增强器处理实部—虚部双通道频谱并输出瓶颈张量H∈ℝ^(B×C×T×F)。为把变长时频特征压缩为定长诊断向量，本文在时间和频率维度计算每个通道的均值与标准差，并将二者拼接：</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2E34B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6665009D">
            <w:pPr>
              <w:spacing w:after="0"/>
              <w:jc w:val="center"/>
            </w:pPr>
            <w:r>
              <w:rPr>
                <w:rFonts w:ascii="Cambria Math" w:hAnsi="Cambria Math" w:eastAsia="Cambria Math"/>
                <w:sz w:val="22"/>
              </w:rPr>
              <w:t>μc = (1/TF) Σt Σf Hc,t,f</w:t>
            </w:r>
          </w:p>
        </w:tc>
        <w:tc>
          <w:tcPr>
            <w:tcW w:w="1077" w:type="dxa"/>
            <w:noWrap/>
          </w:tcPr>
          <w:p w14:paraId="08AEF686">
            <w:pPr>
              <w:spacing w:after="0"/>
              <w:jc w:val="right"/>
            </w:pPr>
            <w:r>
              <w:rPr>
                <w:rFonts w:ascii="Times New Roman" w:hAnsi="Times New Roman" w:eastAsia="宋体"/>
                <w:sz w:val="21"/>
              </w:rPr>
              <w:t>（3-7）</w:t>
            </w:r>
          </w:p>
        </w:tc>
      </w:tr>
      <w:tr w14:paraId="64A85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178B8412">
            <w:pPr>
              <w:spacing w:after="0"/>
              <w:jc w:val="center"/>
            </w:pPr>
            <w:r>
              <w:rPr>
                <w:rFonts w:ascii="Cambria Math" w:hAnsi="Cambria Math" w:eastAsia="Cambria Math"/>
                <w:sz w:val="21"/>
              </w:rPr>
              <w:t>σc = √[(1/TF) Σt Σf (Hc,t,f − μc)²],    z = [μ; σ]</w:t>
            </w:r>
          </w:p>
        </w:tc>
        <w:tc>
          <w:tcPr>
            <w:tcW w:w="1077" w:type="dxa"/>
            <w:noWrap/>
          </w:tcPr>
          <w:p w14:paraId="6AB0DA65">
            <w:pPr>
              <w:spacing w:after="0"/>
              <w:jc w:val="right"/>
            </w:pPr>
            <w:r>
              <w:rPr>
                <w:rFonts w:ascii="Times New Roman" w:hAnsi="Times New Roman" w:eastAsia="宋体"/>
                <w:sz w:val="21"/>
              </w:rPr>
              <w:t>（3-8）</w:t>
            </w:r>
          </w:p>
        </w:tc>
      </w:tr>
    </w:tbl>
    <w:p w14:paraId="78C6C189">
      <w:pPr>
        <w:spacing w:before="0" w:after="0" w:line="360" w:lineRule="auto"/>
        <w:ind w:firstLine="420"/>
        <w:jc w:val="both"/>
      </w:pPr>
      <w:r>
        <w:rPr>
          <w:rFonts w:ascii="Times New Roman" w:hAnsi="Times New Roman" w:eastAsia="宋体"/>
          <w:sz w:val="24"/>
        </w:rPr>
        <w:t>统计向量z经过两层共享感知机得到联合表示h，再由四个任务头分别预测噪声概率pn、归一化SNR r̂、带宽概率pb和位深概率pq。连续概率而非硬标签被拼接为九维条件向量c，以保留类别边界附近的不确定性：</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714ED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7710" w:type="dxa"/>
          </w:tcPr>
          <w:p w14:paraId="281AE9F5">
            <w:pPr>
              <w:spacing w:after="0"/>
              <w:jc w:val="center"/>
            </w:pPr>
            <w:r>
              <w:rPr>
                <w:rFonts w:ascii="Cambria Math" w:hAnsi="Cambria Math" w:eastAsia="Cambria Math"/>
                <w:sz w:val="21"/>
              </w:rPr>
              <w:t>h = MLP(z),    pn = sigmoid(gn(h)),    r̂ = sigmoid(gr(h))</w:t>
            </w:r>
          </w:p>
        </w:tc>
        <w:tc>
          <w:tcPr>
            <w:tcW w:w="1077" w:type="dxa"/>
            <w:noWrap/>
          </w:tcPr>
          <w:p w14:paraId="158CDA43">
            <w:pPr>
              <w:spacing w:after="0"/>
              <w:jc w:val="right"/>
            </w:pPr>
            <w:r>
              <w:rPr>
                <w:rFonts w:ascii="Times New Roman" w:hAnsi="Times New Roman" w:eastAsia="宋体"/>
                <w:sz w:val="21"/>
              </w:rPr>
              <w:t>（3-9）</w:t>
            </w:r>
          </w:p>
        </w:tc>
      </w:tr>
      <w:tr w14:paraId="65D2E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2019B8FC">
            <w:pPr>
              <w:spacing w:after="0"/>
              <w:jc w:val="center"/>
            </w:pPr>
            <w:r>
              <w:rPr>
                <w:rFonts w:ascii="Cambria Math" w:hAnsi="Cambria Math" w:eastAsia="Cambria Math"/>
                <w:sz w:val="22"/>
              </w:rPr>
              <w:t>pb = softmax(gb(h)),    pq = softmax(gq(h))</w:t>
            </w:r>
          </w:p>
        </w:tc>
        <w:tc>
          <w:tcPr>
            <w:tcW w:w="1077" w:type="dxa"/>
            <w:noWrap/>
          </w:tcPr>
          <w:p w14:paraId="30604894">
            <w:pPr>
              <w:spacing w:after="0"/>
              <w:jc w:val="right"/>
            </w:pPr>
            <w:r>
              <w:rPr>
                <w:rFonts w:ascii="Times New Roman" w:hAnsi="Times New Roman" w:eastAsia="宋体"/>
                <w:sz w:val="21"/>
              </w:rPr>
              <w:t>（3-10）</w:t>
            </w:r>
          </w:p>
        </w:tc>
      </w:tr>
      <w:tr w14:paraId="37708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3F79BD62">
            <w:pPr>
              <w:spacing w:after="0"/>
              <w:jc w:val="center"/>
            </w:pPr>
            <w:r>
              <w:rPr>
                <w:rFonts w:ascii="Cambria Math" w:hAnsi="Cambria Math" w:eastAsia="Cambria Math"/>
                <w:sz w:val="22"/>
              </w:rPr>
              <w:t>c = [pn, r̂, pbᵀ, pqᵀ]ᵀ ∈ ℝ⁹</w:t>
            </w:r>
          </w:p>
        </w:tc>
        <w:tc>
          <w:tcPr>
            <w:tcW w:w="1077" w:type="dxa"/>
            <w:noWrap/>
          </w:tcPr>
          <w:p w14:paraId="67625921">
            <w:pPr>
              <w:spacing w:after="0"/>
              <w:jc w:val="right"/>
            </w:pPr>
            <w:r>
              <w:rPr>
                <w:rFonts w:ascii="Times New Roman" w:hAnsi="Times New Roman" w:eastAsia="宋体"/>
                <w:sz w:val="21"/>
              </w:rPr>
              <w:t>（3-11）</w:t>
            </w:r>
          </w:p>
        </w:tc>
      </w:tr>
    </w:tbl>
    <w:p w14:paraId="3ACE8332">
      <w:pPr>
        <w:spacing w:before="0" w:after="0" w:line="360" w:lineRule="auto"/>
        <w:ind w:firstLine="420"/>
        <w:jc w:val="both"/>
      </w:pPr>
      <w:r>
        <w:rPr>
          <w:rFonts w:ascii="Times New Roman" w:hAnsi="Times New Roman" w:eastAsia="宋体"/>
          <w:sz w:val="24"/>
        </w:rPr>
        <w:t>共享干路能够利用噪声存在与SNR、带宽与重采样等相关性，独立任务头则保留可解释输出。图3-2应展示瓶颈张量、均值—标准差池化、共享干路、四任务头和九维条件编码，重点标注各输出的维度及激活函数。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7"/>
      </w:tblGrid>
      <w:tr w14:paraId="7ADFB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38" w:hRule="atLeast"/>
          <w:jc w:val="center"/>
        </w:trPr>
        <w:tc>
          <w:tcPr>
            <w:tcW w:w="8617" w:type="dxa"/>
            <w:shd w:val="clear" w:color="auto" w:fill="F3F6FA"/>
            <w:vAlign w:val="center"/>
          </w:tcPr>
          <w:p w14:paraId="37525E87">
            <w:pPr>
              <w:spacing w:after="80"/>
              <w:jc w:val="center"/>
            </w:pPr>
            <w:r>
              <w:rPr>
                <w:rFonts w:ascii="Times New Roman" w:hAnsi="Times New Roman" w:eastAsia="宋体"/>
                <w:b/>
                <w:sz w:val="26"/>
              </w:rPr>
              <w:t>【此处插入图3-2】</w:t>
            </w:r>
          </w:p>
          <w:p w14:paraId="53762858">
            <w:pPr>
              <w:keepNext/>
              <w:spacing w:after="0"/>
              <w:jc w:val="center"/>
            </w:pPr>
            <w:r>
              <w:rPr>
                <w:rFonts w:ascii="Times New Roman" w:hAnsi="Times New Roman" w:eastAsia="宋体"/>
                <w:color w:val="5A5A5A"/>
                <w:sz w:val="19"/>
              </w:rPr>
              <w:t>建议绘制：B×C×T×F瓶颈张量 → 时间/频率统计池化 → 2C维向量</w:t>
            </w:r>
            <w:r>
              <w:rPr>
                <w:rFonts w:ascii="Times New Roman" w:hAnsi="Times New Roman" w:eastAsia="宋体"/>
                <w:color w:val="5A5A5A"/>
                <w:sz w:val="19"/>
              </w:rPr>
              <w:br w:type="textWrapping"/>
            </w:r>
            <w:r>
              <w:rPr>
                <w:rFonts w:ascii="Times New Roman" w:hAnsi="Times New Roman" w:eastAsia="宋体"/>
                <w:color w:val="5A5A5A"/>
                <w:sz w:val="19"/>
              </w:rPr>
              <w:t>共享MLP → Noise头、SNR头、Bandwidth头、Bit-depth头</w:t>
            </w:r>
            <w:r>
              <w:rPr>
                <w:rFonts w:ascii="Times New Roman" w:hAnsi="Times New Roman" w:eastAsia="宋体"/>
                <w:color w:val="5A5A5A"/>
                <w:sz w:val="19"/>
              </w:rPr>
              <w:br w:type="textWrapping"/>
            </w:r>
            <w:r>
              <w:rPr>
                <w:rFonts w:ascii="Times New Roman" w:hAnsi="Times New Roman" w:eastAsia="宋体"/>
                <w:color w:val="5A5A5A"/>
                <w:sz w:val="19"/>
              </w:rPr>
              <w:t>Sigmoid/Softmax后拼接为9维连续条件；标注SNR有效掩码与四项损失。</w:t>
            </w:r>
          </w:p>
        </w:tc>
      </w:tr>
    </w:tbl>
    <w:p w14:paraId="55982028">
      <w:pPr>
        <w:pStyle w:val="19"/>
        <w:spacing w:before="60" w:after="120"/>
        <w:jc w:val="center"/>
      </w:pPr>
      <w:r>
        <w:rPr>
          <w:rFonts w:ascii="Times New Roman" w:hAnsi="Times New Roman" w:eastAsia="宋体"/>
          <w:b/>
          <w:sz w:val="21"/>
        </w:rPr>
        <w:t>图 3-2 显式退化诊断与九维条件编码结构</w:t>
      </w:r>
    </w:p>
    <w:p w14:paraId="3AF36D53">
      <w:pPr>
        <w:pStyle w:val="4"/>
      </w:pPr>
      <w:r>
        <w:t>3.5 条件化频带残差修复</w:t>
      </w:r>
    </w:p>
    <w:p w14:paraId="23635448">
      <w:pPr>
        <w:spacing w:before="0" w:after="0" w:line="360" w:lineRule="auto"/>
        <w:ind w:firstLine="420"/>
        <w:jc w:val="both"/>
      </w:pPr>
      <w:r>
        <w:rPr>
          <w:rFonts w:ascii="Times New Roman" w:hAnsi="Times New Roman" w:eastAsia="宋体"/>
          <w:sz w:val="24"/>
        </w:rPr>
        <w:t>基础增强频谱Ŝb仍可能包含残余噪声、高频缺失和量化纹理。全局条件版本首先沿频率轴生成候选残差R，再由条件嵌入产生实部和虚部门控g；它能够调节整体修复强度，但所有频点共享门控，因此主要作为基础消融模型。</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7DD57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68D11F4D">
            <w:pPr>
              <w:spacing w:after="0"/>
              <w:jc w:val="center"/>
            </w:pPr>
            <w:r>
              <w:rPr>
                <w:rFonts w:ascii="Cambria Math" w:hAnsi="Cambria Math" w:eastAsia="Cambria Math"/>
                <w:sz w:val="21"/>
              </w:rPr>
              <w:t>R = Convfreq(Ŝb),    g = sigmoid(G(c)),    Ŝ = Ŝb + g ⊙ R</w:t>
            </w:r>
          </w:p>
        </w:tc>
        <w:tc>
          <w:tcPr>
            <w:tcW w:w="1077" w:type="dxa"/>
            <w:noWrap/>
          </w:tcPr>
          <w:p w14:paraId="3B272299">
            <w:pPr>
              <w:spacing w:after="0"/>
              <w:jc w:val="right"/>
            </w:pPr>
            <w:r>
              <w:rPr>
                <w:rFonts w:ascii="Times New Roman" w:hAnsi="Times New Roman" w:eastAsia="宋体"/>
                <w:sz w:val="21"/>
              </w:rPr>
              <w:t>（3-12）</w:t>
            </w:r>
          </w:p>
        </w:tc>
      </w:tr>
    </w:tbl>
    <w:p w14:paraId="02334279">
      <w:pPr>
        <w:spacing w:before="0" w:after="0" w:line="360" w:lineRule="auto"/>
        <w:ind w:firstLine="420"/>
        <w:jc w:val="both"/>
      </w:pPr>
      <w:r>
        <w:rPr>
          <w:rFonts w:ascii="Times New Roman" w:hAnsi="Times New Roman" w:eastAsia="宋体"/>
          <w:sz w:val="24"/>
        </w:rPr>
        <w:t>完整版本把F个频点划分为低、中、高K=3个不重叠频带，每个频带设置独立轻量残差分支。条件嵌入为第k个频带和复数通道生成门控αk，门控上限αmax限制残差注入幅度，最终输出为：</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7B30C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6A3CFA98">
            <w:pPr>
              <w:spacing w:after="0"/>
              <w:jc w:val="center"/>
            </w:pPr>
            <w:r>
              <w:rPr>
                <w:rFonts w:ascii="Cambria Math" w:hAnsi="Cambria Math" w:eastAsia="Cambria Math"/>
                <w:sz w:val="21"/>
              </w:rPr>
              <w:t>Rk = ℛk(Mk ⊙ Ŝb),    αk = αmax · sigmoid(Gk(c))</w:t>
            </w:r>
          </w:p>
        </w:tc>
        <w:tc>
          <w:tcPr>
            <w:tcW w:w="1077" w:type="dxa"/>
            <w:noWrap/>
          </w:tcPr>
          <w:p w14:paraId="476DF754">
            <w:pPr>
              <w:spacing w:after="0"/>
              <w:jc w:val="right"/>
            </w:pPr>
            <w:r>
              <w:rPr>
                <w:rFonts w:ascii="Times New Roman" w:hAnsi="Times New Roman" w:eastAsia="宋体"/>
                <w:sz w:val="21"/>
              </w:rPr>
              <w:t>（3-13）</w:t>
            </w:r>
          </w:p>
        </w:tc>
      </w:tr>
      <w:tr w14:paraId="2D009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3C9B6F04">
            <w:pPr>
              <w:spacing w:after="0"/>
              <w:jc w:val="center"/>
            </w:pPr>
            <w:r>
              <w:rPr>
                <w:rFonts w:ascii="Cambria Math" w:hAnsi="Cambria Math" w:eastAsia="Cambria Math"/>
                <w:sz w:val="22"/>
              </w:rPr>
              <w:t>ΔS = Σk Mk ⊙ (αk Rk),    Ŝ = Ŝb + ΔS</w:t>
            </w:r>
          </w:p>
        </w:tc>
        <w:tc>
          <w:tcPr>
            <w:tcW w:w="1077" w:type="dxa"/>
            <w:noWrap/>
          </w:tcPr>
          <w:p w14:paraId="248F3546">
            <w:pPr>
              <w:spacing w:after="0"/>
              <w:jc w:val="right"/>
            </w:pPr>
            <w:r>
              <w:rPr>
                <w:rFonts w:ascii="Times New Roman" w:hAnsi="Times New Roman" w:eastAsia="宋体"/>
                <w:sz w:val="21"/>
              </w:rPr>
              <w:t>（3-14）</w:t>
            </w:r>
          </w:p>
        </w:tc>
      </w:tr>
      <w:tr w14:paraId="14BB3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5AB6B380">
            <w:pPr>
              <w:spacing w:after="0"/>
              <w:jc w:val="center"/>
            </w:pPr>
            <w:r>
              <w:rPr>
                <w:rFonts w:ascii="Cambria Math" w:hAnsi="Cambria Math" w:eastAsia="Cambria Math"/>
                <w:sz w:val="22"/>
              </w:rPr>
              <w:t>ρres = ‖ΔS‖₂ / (‖Ŝb‖₂ + ε)</w:t>
            </w:r>
          </w:p>
        </w:tc>
        <w:tc>
          <w:tcPr>
            <w:tcW w:w="1077" w:type="dxa"/>
            <w:noWrap/>
          </w:tcPr>
          <w:p w14:paraId="1110D539">
            <w:pPr>
              <w:spacing w:after="0"/>
              <w:jc w:val="right"/>
            </w:pPr>
            <w:r>
              <w:rPr>
                <w:rFonts w:ascii="Times New Roman" w:hAnsi="Times New Roman" w:eastAsia="宋体"/>
                <w:sz w:val="21"/>
              </w:rPr>
              <w:t>（3-15）</w:t>
            </w:r>
          </w:p>
        </w:tc>
      </w:tr>
    </w:tbl>
    <w:p w14:paraId="023033ED">
      <w:pPr>
        <w:spacing w:before="0" w:after="0" w:line="360" w:lineRule="auto"/>
        <w:ind w:firstLine="420"/>
        <w:jc w:val="both"/>
      </w:pPr>
      <w:r>
        <w:rPr>
          <w:rFonts w:ascii="Times New Roman" w:hAnsi="Times New Roman" w:eastAsia="宋体"/>
          <w:sz w:val="24"/>
        </w:rPr>
        <w:t>其中Mk为频带掩码，ρres为残差能量比。带宽概率预期主要影响高频门控，噪声概率与SNR用于控制修复的保守程度，位深概率用于调整中高频纹理和全频小幅修正。上述对应关系属于待验证机制，必须通过Predicted、Shuffled、Zero和Oracle条件实验以及门控分布图予以证明。图3-3应展示三个频带专家、条件门控、残差上限和与基础频谱的加和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7"/>
      </w:tblGrid>
      <w:tr w14:paraId="47AFB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08" w:hRule="atLeast"/>
          <w:jc w:val="center"/>
        </w:trPr>
        <w:tc>
          <w:tcPr>
            <w:tcW w:w="8617" w:type="dxa"/>
            <w:shd w:val="clear" w:color="auto" w:fill="F3F6FA"/>
            <w:vAlign w:val="center"/>
          </w:tcPr>
          <w:p w14:paraId="13079D69">
            <w:pPr>
              <w:spacing w:after="80"/>
              <w:jc w:val="center"/>
            </w:pPr>
            <w:r>
              <w:rPr>
                <w:rFonts w:ascii="Times New Roman" w:hAnsi="Times New Roman" w:eastAsia="宋体"/>
                <w:b/>
                <w:sz w:val="26"/>
              </w:rPr>
              <w:t>【此处插入图3-3】</w:t>
            </w:r>
          </w:p>
          <w:p w14:paraId="6E9241D0">
            <w:pPr>
              <w:keepNext/>
              <w:spacing w:after="0"/>
              <w:jc w:val="center"/>
            </w:pPr>
            <w:r>
              <w:rPr>
                <w:rFonts w:ascii="Times New Roman" w:hAnsi="Times New Roman" w:eastAsia="宋体"/>
                <w:color w:val="5A5A5A"/>
                <w:sz w:val="19"/>
              </w:rPr>
              <w:t>建议绘制：初步增强复数频谱按低/中/高频切分为三个分支</w:t>
            </w:r>
            <w:r>
              <w:rPr>
                <w:rFonts w:ascii="Times New Roman" w:hAnsi="Times New Roman" w:eastAsia="宋体"/>
                <w:color w:val="5A5A5A"/>
                <w:sz w:val="19"/>
              </w:rPr>
              <w:br w:type="textWrapping"/>
            </w:r>
            <w:r>
              <w:rPr>
                <w:rFonts w:ascii="Times New Roman" w:hAnsi="Times New Roman" w:eastAsia="宋体"/>
                <w:color w:val="5A5A5A"/>
                <w:sz w:val="19"/>
              </w:rPr>
              <w:t>每个分支：轻量频率卷积 → 候选残差；9维条件 → 频带/复通道门控</w:t>
            </w:r>
            <w:r>
              <w:rPr>
                <w:rFonts w:ascii="Times New Roman" w:hAnsi="Times New Roman" w:eastAsia="宋体"/>
                <w:color w:val="5A5A5A"/>
                <w:sz w:val="19"/>
              </w:rPr>
              <w:br w:type="textWrapping"/>
            </w:r>
            <w:r>
              <w:rPr>
                <w:rFonts w:ascii="Times New Roman" w:hAnsi="Times New Roman" w:eastAsia="宋体"/>
                <w:color w:val="5A5A5A"/>
                <w:sz w:val="19"/>
              </w:rPr>
              <w:t>门控残差经频带掩码拼接，与基础频谱相加；旁注αmax和残差能量比ρres。</w:t>
            </w:r>
          </w:p>
        </w:tc>
      </w:tr>
    </w:tbl>
    <w:p w14:paraId="6010F33F">
      <w:pPr>
        <w:pStyle w:val="19"/>
        <w:spacing w:before="60" w:after="120"/>
        <w:jc w:val="center"/>
      </w:pPr>
      <w:r>
        <w:rPr>
          <w:rFonts w:ascii="Times New Roman" w:hAnsi="Times New Roman" w:eastAsia="宋体"/>
          <w:b/>
          <w:sz w:val="21"/>
        </w:rPr>
        <w:t>图 3-3 条件化频带残差修复与门控注入结构</w:t>
      </w:r>
    </w:p>
    <w:p w14:paraId="5B476BCE">
      <w:pPr>
        <w:pStyle w:val="4"/>
      </w:pPr>
      <w:r>
        <w:t>3.6 优化目标与分阶段训练</w:t>
      </w:r>
    </w:p>
    <w:p w14:paraId="6A5A58E2">
      <w:pPr>
        <w:spacing w:before="0" w:after="0" w:line="360" w:lineRule="auto"/>
        <w:ind w:firstLine="420"/>
        <w:jc w:val="both"/>
      </w:pPr>
      <w:r>
        <w:rPr>
          <w:rFonts w:ascii="Times New Roman" w:hAnsi="Times New Roman" w:eastAsia="宋体"/>
          <w:sz w:val="24"/>
        </w:rPr>
        <w:t>退化诊断器采用多任务联合损失。噪声存在性使用二元交叉熵，SNR使用带有效性掩码的Smooth L1，带宽和位深使用交叉熵；四项权重记为λn、λr、λb和λq。</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512E9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2DCB7673">
            <w:pPr>
              <w:spacing w:after="0"/>
              <w:jc w:val="center"/>
            </w:pPr>
            <w:r>
              <w:rPr>
                <w:rFonts w:ascii="Cambria Math" w:hAnsi="Cambria Math" w:eastAsia="Cambria Math"/>
                <w:sz w:val="22"/>
              </w:rPr>
              <w:t>Ldeg = λnLn + λrLr + λbLb + λqLq</w:t>
            </w:r>
          </w:p>
        </w:tc>
        <w:tc>
          <w:tcPr>
            <w:tcW w:w="1077" w:type="dxa"/>
            <w:noWrap/>
          </w:tcPr>
          <w:p w14:paraId="5F389AD6">
            <w:pPr>
              <w:spacing w:after="0"/>
              <w:jc w:val="right"/>
            </w:pPr>
            <w:r>
              <w:rPr>
                <w:rFonts w:ascii="Times New Roman" w:hAnsi="Times New Roman" w:eastAsia="宋体"/>
                <w:sz w:val="21"/>
              </w:rPr>
              <w:t>（3-16）</w:t>
            </w:r>
          </w:p>
        </w:tc>
      </w:tr>
    </w:tbl>
    <w:p w14:paraId="2C5424C6">
      <w:pPr>
        <w:spacing w:before="0" w:after="0" w:line="360" w:lineRule="auto"/>
        <w:ind w:firstLine="420"/>
        <w:jc w:val="both"/>
      </w:pPr>
      <w:r>
        <w:rPr>
          <w:rFonts w:ascii="Times New Roman" w:hAnsi="Times New Roman" w:eastAsia="宋体"/>
          <w:sz w:val="24"/>
        </w:rPr>
        <w:t>残差模块以全频幅度误差为主，并对带宽受限样本增加高频强调项，同时用残差正则限制过度修改。对于近干净或轻度退化样本，可加入基础结果保护项Lprotect。</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3C269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72452C63">
            <w:pPr>
              <w:spacing w:after="0"/>
              <w:jc w:val="center"/>
            </w:pPr>
            <w:r>
              <w:rPr>
                <w:rFonts w:ascii="Cambria Math" w:hAnsi="Cambria Math" w:eastAsia="Cambria Math"/>
                <w:sz w:val="22"/>
              </w:rPr>
              <w:t>Lenh = λmagLmag + λhfLhf + λresLres + λpLprotect</w:t>
            </w:r>
          </w:p>
        </w:tc>
        <w:tc>
          <w:tcPr>
            <w:tcW w:w="1077" w:type="dxa"/>
            <w:noWrap/>
          </w:tcPr>
          <w:p w14:paraId="5353E9FB">
            <w:pPr>
              <w:spacing w:after="0"/>
              <w:jc w:val="right"/>
            </w:pPr>
            <w:r>
              <w:rPr>
                <w:rFonts w:ascii="Times New Roman" w:hAnsi="Times New Roman" w:eastAsia="宋体"/>
                <w:sz w:val="21"/>
              </w:rPr>
              <w:t>（3-17）</w:t>
            </w:r>
          </w:p>
        </w:tc>
      </w:tr>
      <w:tr w14:paraId="6B749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076A456E">
            <w:pPr>
              <w:spacing w:after="0"/>
              <w:jc w:val="center"/>
            </w:pPr>
            <w:r>
              <w:rPr>
                <w:rFonts w:ascii="Cambria Math" w:hAnsi="Cambria Math" w:eastAsia="Cambria Math"/>
                <w:sz w:val="21"/>
              </w:rPr>
              <w:t>Lres = ‖ΔS‖²₂,    Lprotect = (1 − wd) ‖Ŝ − Ŝb‖₁</w:t>
            </w:r>
          </w:p>
        </w:tc>
        <w:tc>
          <w:tcPr>
            <w:tcW w:w="1077" w:type="dxa"/>
            <w:noWrap/>
          </w:tcPr>
          <w:p w14:paraId="7584B9D0">
            <w:pPr>
              <w:spacing w:after="0"/>
              <w:jc w:val="right"/>
            </w:pPr>
            <w:r>
              <w:rPr>
                <w:rFonts w:ascii="Times New Roman" w:hAnsi="Times New Roman" w:eastAsia="宋体"/>
                <w:sz w:val="21"/>
              </w:rPr>
              <w:t>（3-18）</w:t>
            </w:r>
          </w:p>
        </w:tc>
      </w:tr>
    </w:tbl>
    <w:p w14:paraId="03BF5A29">
      <w:pPr>
        <w:spacing w:before="0" w:after="0" w:line="360" w:lineRule="auto"/>
        <w:ind w:firstLine="420"/>
        <w:jc w:val="both"/>
      </w:pPr>
      <w:r>
        <w:rPr>
          <w:rFonts w:ascii="Times New Roman" w:hAnsi="Times New Roman" w:eastAsia="宋体"/>
          <w:sz w:val="24"/>
        </w:rPr>
        <w:t>训练采用三阶段策略：首先冻结基础增强器并缓存初步增强频谱、瓶颈统计和结构化标签；随后训练诊断器并保存验证集最优检查点；最后加载并冻结最佳诊断器，只训练全局或分频带残差模块。测试前统一重新加载最佳检查点，避免最后一个epoch代替最佳模型。形式化地：</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5D6CA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7B761034">
            <w:pPr>
              <w:spacing w:after="0"/>
              <w:jc w:val="center"/>
            </w:pPr>
            <w:r>
              <w:rPr>
                <w:rFonts w:ascii="Cambria Math" w:hAnsi="Cambria Math" w:eastAsia="Cambria Math"/>
                <w:sz w:val="21"/>
              </w:rPr>
              <w:t>θ* = arg minθ Ldeg,    ψ* = arg minψ Lenh  (φ, θ* fixed)</w:t>
            </w:r>
          </w:p>
        </w:tc>
        <w:tc>
          <w:tcPr>
            <w:tcW w:w="1077" w:type="dxa"/>
            <w:noWrap/>
          </w:tcPr>
          <w:p w14:paraId="740DF276">
            <w:pPr>
              <w:spacing w:after="0"/>
              <w:jc w:val="right"/>
            </w:pPr>
            <w:r>
              <w:rPr>
                <w:rFonts w:ascii="Times New Roman" w:hAnsi="Times New Roman" w:eastAsia="宋体"/>
                <w:sz w:val="21"/>
              </w:rPr>
              <w:t>（3-19）</w:t>
            </w:r>
          </w:p>
        </w:tc>
      </w:tr>
    </w:tbl>
    <w:p w14:paraId="44B676A6">
      <w:pPr>
        <w:pStyle w:val="19"/>
        <w:spacing w:before="60" w:after="120"/>
        <w:jc w:val="center"/>
      </w:pPr>
      <w:r>
        <w:rPr>
          <w:rFonts w:ascii="Times New Roman" w:hAnsi="Times New Roman" w:eastAsia="宋体"/>
          <w:b/>
          <w:sz w:val="21"/>
        </w:rPr>
        <w:t>算法 3-1 EDCR-Net分阶段训练与测试流程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4819"/>
        <w:gridCol w:w="2268"/>
      </w:tblGrid>
      <w:tr w14:paraId="48BEB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E1F2"/>
            <w:vAlign w:val="center"/>
          </w:tcPr>
          <w:p w14:paraId="6D543944">
            <w:pPr>
              <w:spacing w:after="0" w:line="276" w:lineRule="auto"/>
              <w:jc w:val="center"/>
            </w:pPr>
            <w:r>
              <w:rPr>
                <w:rFonts w:ascii="Times New Roman" w:hAnsi="Times New Roman" w:eastAsia="宋体"/>
                <w:b/>
                <w:sz w:val="18"/>
              </w:rPr>
              <w:t>阶段</w:t>
            </w:r>
          </w:p>
        </w:tc>
        <w:tc>
          <w:tcPr>
            <w:tcW w:w="4819" w:type="dxa"/>
            <w:shd w:val="clear" w:color="auto" w:fill="D9E1F2"/>
            <w:vAlign w:val="center"/>
          </w:tcPr>
          <w:p w14:paraId="1864A81B">
            <w:pPr>
              <w:spacing w:after="0" w:line="276" w:lineRule="auto"/>
              <w:jc w:val="center"/>
            </w:pPr>
            <w:r>
              <w:rPr>
                <w:rFonts w:ascii="Times New Roman" w:hAnsi="Times New Roman" w:eastAsia="宋体"/>
                <w:b/>
                <w:sz w:val="18"/>
              </w:rPr>
              <w:t>主要操作</w:t>
            </w:r>
          </w:p>
        </w:tc>
        <w:tc>
          <w:tcPr>
            <w:tcW w:w="2268" w:type="dxa"/>
            <w:shd w:val="clear" w:color="auto" w:fill="D9E1F2"/>
            <w:vAlign w:val="center"/>
          </w:tcPr>
          <w:p w14:paraId="278AC25D">
            <w:pPr>
              <w:spacing w:after="0" w:line="276" w:lineRule="auto"/>
              <w:jc w:val="center"/>
            </w:pPr>
            <w:r>
              <w:rPr>
                <w:rFonts w:ascii="Times New Roman" w:hAnsi="Times New Roman" w:eastAsia="宋体"/>
                <w:b/>
                <w:sz w:val="18"/>
              </w:rPr>
              <w:t>输出</w:t>
            </w:r>
          </w:p>
        </w:tc>
      </w:tr>
      <w:tr w14:paraId="79236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AB16F58">
            <w:pPr>
              <w:spacing w:after="0" w:line="276" w:lineRule="auto"/>
              <w:jc w:val="left"/>
            </w:pPr>
            <w:r>
              <w:rPr>
                <w:rFonts w:ascii="Times New Roman" w:hAnsi="Times New Roman" w:eastAsia="宋体"/>
                <w:b w:val="0"/>
                <w:sz w:val="18"/>
              </w:rPr>
              <w:t>阶段1：缓存</w:t>
            </w:r>
          </w:p>
        </w:tc>
        <w:tc>
          <w:tcPr>
            <w:tcW w:w="4819" w:type="dxa"/>
            <w:vAlign w:val="center"/>
          </w:tcPr>
          <w:p w14:paraId="6C6D039C">
            <w:pPr>
              <w:spacing w:after="0" w:line="276" w:lineRule="auto"/>
              <w:jc w:val="center"/>
            </w:pPr>
            <w:r>
              <w:rPr>
                <w:rFonts w:ascii="Times New Roman" w:hAnsi="Times New Roman" w:eastAsia="宋体"/>
                <w:b w:val="0"/>
                <w:sz w:val="18"/>
              </w:rPr>
              <w:t>生成复合退化；冻结基础增强器；提取Ŝb、H及标签</w:t>
            </w:r>
          </w:p>
        </w:tc>
        <w:tc>
          <w:tcPr>
            <w:tcW w:w="2268" w:type="dxa"/>
            <w:vAlign w:val="center"/>
          </w:tcPr>
          <w:p w14:paraId="7EDFD7E9">
            <w:pPr>
              <w:spacing w:after="0" w:line="276" w:lineRule="auto"/>
              <w:jc w:val="center"/>
            </w:pPr>
            <w:r>
              <w:rPr>
                <w:rFonts w:ascii="Times New Roman" w:hAnsi="Times New Roman" w:eastAsia="宋体"/>
                <w:b w:val="0"/>
                <w:sz w:val="18"/>
              </w:rPr>
              <w:t>Estimator/Residual分片缓存</w:t>
            </w:r>
          </w:p>
        </w:tc>
      </w:tr>
      <w:tr w14:paraId="7D8C8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662CDA1">
            <w:pPr>
              <w:spacing w:after="0" w:line="276" w:lineRule="auto"/>
              <w:jc w:val="left"/>
            </w:pPr>
            <w:r>
              <w:rPr>
                <w:rFonts w:ascii="Times New Roman" w:hAnsi="Times New Roman" w:eastAsia="宋体"/>
                <w:b w:val="0"/>
                <w:sz w:val="18"/>
              </w:rPr>
              <w:t>阶段2：诊断</w:t>
            </w:r>
          </w:p>
        </w:tc>
        <w:tc>
          <w:tcPr>
            <w:tcW w:w="4819" w:type="dxa"/>
            <w:vAlign w:val="center"/>
          </w:tcPr>
          <w:p w14:paraId="56ADE08B">
            <w:pPr>
              <w:spacing w:after="0" w:line="276" w:lineRule="auto"/>
              <w:jc w:val="center"/>
            </w:pPr>
            <w:r>
              <w:rPr>
                <w:rFonts w:ascii="Times New Roman" w:hAnsi="Times New Roman" w:eastAsia="宋体"/>
                <w:b w:val="0"/>
                <w:sz w:val="18"/>
              </w:rPr>
              <w:t>训练多任务退化诊断器；按验证损失选择最佳检查点</w:t>
            </w:r>
          </w:p>
        </w:tc>
        <w:tc>
          <w:tcPr>
            <w:tcW w:w="2268" w:type="dxa"/>
            <w:vAlign w:val="center"/>
          </w:tcPr>
          <w:p w14:paraId="57E4ECE3">
            <w:pPr>
              <w:spacing w:after="0" w:line="276" w:lineRule="auto"/>
              <w:jc w:val="center"/>
            </w:pPr>
            <w:r>
              <w:rPr>
                <w:rFonts w:ascii="Times New Roman" w:hAnsi="Times New Roman" w:eastAsia="宋体"/>
                <w:b w:val="0"/>
                <w:sz w:val="18"/>
              </w:rPr>
              <w:t>最佳Estimator检查点</w:t>
            </w:r>
          </w:p>
        </w:tc>
      </w:tr>
      <w:tr w14:paraId="4443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F1229F4">
            <w:pPr>
              <w:spacing w:after="0" w:line="276" w:lineRule="auto"/>
              <w:jc w:val="left"/>
            </w:pPr>
            <w:r>
              <w:rPr>
                <w:rFonts w:ascii="Times New Roman" w:hAnsi="Times New Roman" w:eastAsia="宋体"/>
                <w:b w:val="0"/>
                <w:sz w:val="18"/>
              </w:rPr>
              <w:t>阶段3：修复</w:t>
            </w:r>
          </w:p>
        </w:tc>
        <w:tc>
          <w:tcPr>
            <w:tcW w:w="4819" w:type="dxa"/>
            <w:vAlign w:val="center"/>
          </w:tcPr>
          <w:p w14:paraId="057324D4">
            <w:pPr>
              <w:spacing w:after="0" w:line="276" w:lineRule="auto"/>
              <w:jc w:val="center"/>
            </w:pPr>
            <w:r>
              <w:rPr>
                <w:rFonts w:ascii="Times New Roman" w:hAnsi="Times New Roman" w:eastAsia="宋体"/>
                <w:b w:val="0"/>
                <w:sz w:val="18"/>
              </w:rPr>
              <w:t>冻结基础增强器和诊断器；训练V1或V2残差模块</w:t>
            </w:r>
          </w:p>
        </w:tc>
        <w:tc>
          <w:tcPr>
            <w:tcW w:w="2268" w:type="dxa"/>
            <w:vAlign w:val="center"/>
          </w:tcPr>
          <w:p w14:paraId="5F3BFC93">
            <w:pPr>
              <w:spacing w:after="0" w:line="276" w:lineRule="auto"/>
              <w:jc w:val="center"/>
            </w:pPr>
            <w:r>
              <w:rPr>
                <w:rFonts w:ascii="Times New Roman" w:hAnsi="Times New Roman" w:eastAsia="宋体"/>
                <w:b w:val="0"/>
                <w:sz w:val="18"/>
              </w:rPr>
              <w:t>最佳Residual检查点</w:t>
            </w:r>
          </w:p>
        </w:tc>
      </w:tr>
      <w:tr w14:paraId="25FEF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C0E4300">
            <w:pPr>
              <w:spacing w:after="0" w:line="276" w:lineRule="auto"/>
              <w:jc w:val="left"/>
            </w:pPr>
            <w:r>
              <w:rPr>
                <w:rFonts w:ascii="Times New Roman" w:hAnsi="Times New Roman" w:eastAsia="宋体"/>
                <w:b w:val="0"/>
                <w:sz w:val="18"/>
              </w:rPr>
              <w:t>统一测试</w:t>
            </w:r>
          </w:p>
        </w:tc>
        <w:tc>
          <w:tcPr>
            <w:tcW w:w="4819" w:type="dxa"/>
            <w:vAlign w:val="center"/>
          </w:tcPr>
          <w:p w14:paraId="30C88FCE">
            <w:pPr>
              <w:spacing w:after="0" w:line="276" w:lineRule="auto"/>
              <w:jc w:val="center"/>
            </w:pPr>
            <w:r>
              <w:rPr>
                <w:rFonts w:ascii="Times New Roman" w:hAnsi="Times New Roman" w:eastAsia="宋体"/>
                <w:b w:val="0"/>
                <w:sz w:val="18"/>
              </w:rPr>
              <w:t>加载最佳检查点；计算诊断、增强、条件和复杂度指标</w:t>
            </w:r>
          </w:p>
        </w:tc>
        <w:tc>
          <w:tcPr>
            <w:tcW w:w="2268" w:type="dxa"/>
            <w:vAlign w:val="center"/>
          </w:tcPr>
          <w:p w14:paraId="449D50D1">
            <w:pPr>
              <w:spacing w:after="0" w:line="276" w:lineRule="auto"/>
              <w:jc w:val="center"/>
            </w:pPr>
            <w:r>
              <w:rPr>
                <w:rFonts w:ascii="Times New Roman" w:hAnsi="Times New Roman" w:eastAsia="宋体"/>
                <w:b w:val="0"/>
                <w:sz w:val="18"/>
              </w:rPr>
              <w:t>表格、曲线、频谱与门控图</w:t>
            </w:r>
          </w:p>
        </w:tc>
      </w:tr>
    </w:tbl>
    <w:p w14:paraId="4C447922">
      <w:pPr>
        <w:pStyle w:val="4"/>
      </w:pPr>
      <w:r>
        <w:t>3.7 工程实现、可解释性与适用边界</w:t>
      </w:r>
    </w:p>
    <w:p w14:paraId="358DD27A">
      <w:pPr>
        <w:spacing w:before="0" w:after="0" w:line="360" w:lineRule="auto"/>
        <w:ind w:firstLine="420"/>
        <w:jc w:val="both"/>
      </w:pPr>
      <w:r>
        <w:rPr>
          <w:rFonts w:ascii="Times New Roman" w:hAnsi="Times New Roman" w:eastAsia="宋体"/>
          <w:sz w:val="24"/>
        </w:rPr>
        <w:t>为降低大规模频谱数据的读写开销，估计器缓存仅保存低维统计向量与标签，残差缓存保存干净频谱、退化频谱、基础增强频谱和退化标签；训练时逐分片载入内存并切分小批次。同一源语音的不同退化版本应固定在同一数据子集，正式实验还需检查说话人是否跨集合。模型的可解释量包括四类退化预测、九维条件向量、低中高频门控和残差能量比。</w:t>
      </w:r>
    </w:p>
    <w:p w14:paraId="33F9BC64">
      <w:pPr>
        <w:spacing w:before="0" w:after="0" w:line="360" w:lineRule="auto"/>
        <w:ind w:firstLine="420"/>
        <w:jc w:val="both"/>
      </w:pPr>
      <w:r>
        <w:rPr>
          <w:rFonts w:ascii="Times New Roman" w:hAnsi="Times New Roman" w:eastAsia="宋体"/>
          <w:sz w:val="24"/>
        </w:rPr>
        <w:t>本方法的结论边界包括：诊断器依赖预定义标签空间，未见编码伪影或丢包可能无法由现有四个头完整描述；均值—标准差池化可能损失局部量化纹理；当前基础增强器实例能否被其他主干替换，需要额外实验。故论文应首先在当前复合退化集合和所选基础增强器上证明“预测条件优于打乱条件、分频带版本优于全局版本且近干净样本不过度下降”，再讨论更广泛泛化。</w:t>
      </w:r>
    </w:p>
    <w:p w14:paraId="6E0977F6">
      <w:pPr>
        <w:pStyle w:val="3"/>
        <w:pageBreakBefore/>
        <w:ind w:firstLine="0"/>
        <w:jc w:val="center"/>
      </w:pPr>
      <w:r>
        <w:rPr>
          <w:rFonts w:ascii="Times New Roman" w:hAnsi="Times New Roman" w:eastAsia="黑体"/>
          <w:b/>
          <w:sz w:val="32"/>
        </w:rPr>
        <w:t>4 实验结果与分析</w:t>
      </w:r>
    </w:p>
    <w:p w14:paraId="70BE0E56">
      <w:pPr>
        <w:spacing w:after="0" w:line="360" w:lineRule="auto"/>
        <w:ind w:firstLine="420"/>
      </w:pPr>
      <w:r>
        <w:rPr>
          <w:rFonts w:ascii="Times New Roman" w:hAnsi="Times New Roman" w:eastAsia="宋体"/>
          <w:i w:val="0"/>
          <w:sz w:val="21"/>
        </w:rPr>
        <w:t>本章依据当前已完成且能够复核的实验结果，对显式退化诊断、系统级增强、条件扰动、典型频谱与模型复杂度进行筛选分析。为避免阶段性结果被过度解释，正文仅保留评价协议一致、数值来源明确的结论；尚未完成或存在口径不一致的结果统一列为待补项目。</w:t>
      </w:r>
    </w:p>
    <w:p w14:paraId="4C42EAE3">
      <w:pPr>
        <w:pStyle w:val="4"/>
        <w:ind w:firstLine="0"/>
      </w:pPr>
      <w:r>
        <w:rPr>
          <w:rFonts w:ascii="Times New Roman" w:hAnsi="Times New Roman" w:eastAsia="黑体"/>
          <w:b/>
          <w:sz w:val="28"/>
        </w:rPr>
        <w:t>4.1 实验设置与评价协议</w:t>
      </w:r>
    </w:p>
    <w:p w14:paraId="5141E08C">
      <w:pPr>
        <w:spacing w:after="0" w:line="360" w:lineRule="auto"/>
        <w:ind w:firstLine="420"/>
      </w:pPr>
      <w:r>
        <w:rPr>
          <w:rFonts w:ascii="Times New Roman" w:hAnsi="Times New Roman" w:eastAsia="宋体"/>
          <w:i w:val="0"/>
          <w:sz w:val="21"/>
        </w:rPr>
        <w:t>实验以VCTK作为干净语音来源，并在源语音级完成训练、验证和测试划分。退化语音由噪声、带宽限制、重采样、低通与量化等操作合成生成，因此本文结果应表述为“合成复合退化VCTK测试集上的结果”，不宜写成真实通信语音或真实退化数据上的结论。当前评价采用冻结GTCRN作为基础增强器，Estimator与Residual分别训练，并在测试前加载验证集最佳检查点。</w:t>
      </w:r>
    </w:p>
    <w:p w14:paraId="27D8DDE0">
      <w:pPr>
        <w:spacing w:before="60" w:after="120"/>
        <w:ind w:firstLine="0"/>
        <w:jc w:val="center"/>
      </w:pPr>
      <w:r>
        <w:rPr>
          <w:rFonts w:ascii="Times New Roman" w:hAnsi="Times New Roman" w:eastAsia="宋体"/>
          <w:sz w:val="21"/>
        </w:rPr>
        <w:t>表 4-1  主要实验设置与当前评价状态</w:t>
      </w:r>
    </w:p>
    <w:tbl>
      <w:tblPr>
        <w:tblStyle w:val="33"/>
        <w:tblW w:w="9372"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autofit"/>
        <w:tblCellMar>
          <w:top w:w="0" w:type="dxa"/>
          <w:left w:w="108" w:type="dxa"/>
          <w:bottom w:w="0" w:type="dxa"/>
          <w:right w:w="108" w:type="dxa"/>
        </w:tblCellMar>
      </w:tblPr>
      <w:tblGrid>
        <w:gridCol w:w="1685"/>
        <w:gridCol w:w="7687"/>
      </w:tblGrid>
      <w:tr w14:paraId="3384CE8A">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D9EAF7"/>
            <w:noWrap w:val="0"/>
            <w:tcMar>
              <w:top w:w="70" w:type="dxa"/>
              <w:left w:w="70" w:type="dxa"/>
              <w:bottom w:w="70" w:type="dxa"/>
              <w:right w:w="70" w:type="dxa"/>
            </w:tcMar>
            <w:vAlign w:val="center"/>
          </w:tcPr>
          <w:p w14:paraId="329F6B91">
            <w:pPr>
              <w:snapToGrid w:val="0"/>
              <w:ind w:firstLine="0"/>
              <w:jc w:val="center"/>
            </w:pPr>
            <w:r>
              <w:rPr>
                <w:rFonts w:ascii="Times New Roman" w:hAnsi="Times New Roman" w:eastAsia="黑体"/>
                <w:b/>
                <w:sz w:val="18"/>
              </w:rPr>
              <w:t>项目</w:t>
            </w:r>
          </w:p>
        </w:tc>
        <w:tc>
          <w:tcPr>
            <w:tcW w:w="7687" w:type="dxa"/>
            <w:tcBorders>
              <w:top w:val="single" w:color="auto" w:sz="12" w:space="0"/>
              <w:left w:val="nil"/>
              <w:bottom w:val="nil"/>
              <w:right w:val="nil"/>
            </w:tcBorders>
            <w:shd w:val="clear" w:color="auto" w:fill="D9EAF7"/>
            <w:noWrap w:val="0"/>
            <w:tcMar>
              <w:top w:w="70" w:type="dxa"/>
              <w:left w:w="70" w:type="dxa"/>
              <w:bottom w:w="70" w:type="dxa"/>
              <w:right w:w="70" w:type="dxa"/>
            </w:tcMar>
            <w:vAlign w:val="center"/>
          </w:tcPr>
          <w:p w14:paraId="56342CA1">
            <w:pPr>
              <w:snapToGrid w:val="0"/>
              <w:ind w:firstLine="0"/>
              <w:jc w:val="center"/>
            </w:pPr>
            <w:r>
              <w:rPr>
                <w:rFonts w:ascii="Times New Roman" w:hAnsi="Times New Roman" w:eastAsia="黑体"/>
                <w:b/>
                <w:sz w:val="18"/>
              </w:rPr>
              <w:t>设置</w:t>
            </w:r>
          </w:p>
        </w:tc>
      </w:tr>
      <w:tr w14:paraId="77A1AE4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70" w:type="dxa"/>
              <w:left w:w="70" w:type="dxa"/>
              <w:bottom w:w="70" w:type="dxa"/>
              <w:right w:w="70" w:type="dxa"/>
            </w:tcMar>
            <w:vAlign w:val="center"/>
          </w:tcPr>
          <w:p w14:paraId="19E3A53C">
            <w:pPr>
              <w:snapToGrid w:val="0"/>
              <w:ind w:firstLine="0"/>
              <w:jc w:val="center"/>
            </w:pPr>
            <w:r>
              <w:rPr>
                <w:rFonts w:ascii="Times New Roman" w:hAnsi="Times New Roman" w:eastAsia="宋体"/>
                <w:sz w:val="18"/>
              </w:rPr>
              <w:t>数据集</w:t>
            </w:r>
          </w:p>
        </w:tc>
        <w:tc>
          <w:tcPr>
            <w:tcW w:w="7687" w:type="dxa"/>
            <w:tcBorders>
              <w:top w:val="single" w:color="auto" w:sz="4" w:space="0"/>
              <w:left w:val="nil"/>
              <w:bottom w:val="nil"/>
              <w:right w:val="nil"/>
            </w:tcBorders>
            <w:noWrap w:val="0"/>
            <w:tcMar>
              <w:top w:w="70" w:type="dxa"/>
              <w:left w:w="70" w:type="dxa"/>
              <w:bottom w:w="70" w:type="dxa"/>
              <w:right w:w="70" w:type="dxa"/>
            </w:tcMar>
            <w:vAlign w:val="center"/>
          </w:tcPr>
          <w:p w14:paraId="09F74462">
            <w:pPr>
              <w:snapToGrid w:val="0"/>
              <w:ind w:firstLine="0"/>
              <w:jc w:val="center"/>
            </w:pPr>
            <w:r>
              <w:rPr>
                <w:rFonts w:ascii="Times New Roman" w:hAnsi="Times New Roman" w:eastAsia="宋体"/>
                <w:sz w:val="18"/>
              </w:rPr>
              <w:t>VCTK；重采样至16 kHz；44,247条源语音；109位说话人</w:t>
            </w:r>
          </w:p>
        </w:tc>
      </w:tr>
      <w:tr w14:paraId="73584A6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70" w:type="dxa"/>
              <w:left w:w="70" w:type="dxa"/>
              <w:bottom w:w="70" w:type="dxa"/>
              <w:right w:w="70" w:type="dxa"/>
            </w:tcMar>
            <w:vAlign w:val="center"/>
          </w:tcPr>
          <w:p w14:paraId="3CA18549">
            <w:pPr>
              <w:snapToGrid w:val="0"/>
              <w:ind w:firstLine="0"/>
              <w:jc w:val="center"/>
            </w:pPr>
            <w:r>
              <w:rPr>
                <w:rFonts w:ascii="Times New Roman" w:hAnsi="Times New Roman" w:eastAsia="宋体"/>
                <w:sz w:val="18"/>
              </w:rPr>
              <w:t>片段长度</w:t>
            </w:r>
          </w:p>
        </w:tc>
        <w:tc>
          <w:tcPr>
            <w:tcW w:w="7687" w:type="dxa"/>
            <w:tcBorders>
              <w:top w:val="nil"/>
              <w:left w:val="nil"/>
              <w:bottom w:val="nil"/>
              <w:right w:val="nil"/>
            </w:tcBorders>
            <w:noWrap w:val="0"/>
            <w:tcMar>
              <w:top w:w="70" w:type="dxa"/>
              <w:left w:w="70" w:type="dxa"/>
              <w:bottom w:w="70" w:type="dxa"/>
              <w:right w:w="70" w:type="dxa"/>
            </w:tcMar>
            <w:vAlign w:val="center"/>
          </w:tcPr>
          <w:p w14:paraId="06E56B51">
            <w:pPr>
              <w:snapToGrid w:val="0"/>
              <w:ind w:firstLine="0"/>
              <w:jc w:val="center"/>
            </w:pPr>
            <w:r>
              <w:rPr>
                <w:rFonts w:ascii="Times New Roman" w:hAnsi="Times New Roman" w:eastAsia="宋体"/>
                <w:sz w:val="18"/>
              </w:rPr>
              <w:t>2 s；截取或循环补齐</w:t>
            </w:r>
          </w:p>
        </w:tc>
      </w:tr>
      <w:tr w14:paraId="1667969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70" w:type="dxa"/>
              <w:left w:w="70" w:type="dxa"/>
              <w:bottom w:w="70" w:type="dxa"/>
              <w:right w:w="70" w:type="dxa"/>
            </w:tcMar>
            <w:vAlign w:val="center"/>
          </w:tcPr>
          <w:p w14:paraId="77EB3111">
            <w:pPr>
              <w:snapToGrid w:val="0"/>
              <w:ind w:firstLine="0"/>
              <w:jc w:val="center"/>
            </w:pPr>
            <w:r>
              <w:rPr>
                <w:rFonts w:ascii="Times New Roman" w:hAnsi="Times New Roman" w:eastAsia="宋体"/>
                <w:sz w:val="18"/>
              </w:rPr>
              <w:t>STFT</w:t>
            </w:r>
          </w:p>
        </w:tc>
        <w:tc>
          <w:tcPr>
            <w:tcW w:w="7687" w:type="dxa"/>
            <w:tcBorders>
              <w:top w:val="nil"/>
              <w:left w:val="nil"/>
              <w:bottom w:val="nil"/>
              <w:right w:val="nil"/>
            </w:tcBorders>
            <w:noWrap w:val="0"/>
            <w:tcMar>
              <w:top w:w="70" w:type="dxa"/>
              <w:left w:w="70" w:type="dxa"/>
              <w:bottom w:w="70" w:type="dxa"/>
              <w:right w:w="70" w:type="dxa"/>
            </w:tcMar>
            <w:vAlign w:val="center"/>
          </w:tcPr>
          <w:p w14:paraId="2BB06C89">
            <w:pPr>
              <w:snapToGrid w:val="0"/>
              <w:ind w:firstLine="0"/>
              <w:jc w:val="center"/>
            </w:pPr>
            <w:r>
              <w:rPr>
                <w:rFonts w:ascii="Times New Roman" w:hAnsi="Times New Roman" w:eastAsia="宋体"/>
                <w:sz w:val="18"/>
              </w:rPr>
              <w:t>FFT=512；窗长=512；帧移=256；sqrt-Hann；257频点</w:t>
            </w:r>
          </w:p>
        </w:tc>
      </w:tr>
      <w:tr w14:paraId="0970678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70" w:type="dxa"/>
              <w:left w:w="70" w:type="dxa"/>
              <w:bottom w:w="70" w:type="dxa"/>
              <w:right w:w="70" w:type="dxa"/>
            </w:tcMar>
            <w:vAlign w:val="center"/>
          </w:tcPr>
          <w:p w14:paraId="4A24034F">
            <w:pPr>
              <w:snapToGrid w:val="0"/>
              <w:ind w:firstLine="0"/>
              <w:jc w:val="center"/>
            </w:pPr>
            <w:r>
              <w:rPr>
                <w:rFonts w:ascii="Times New Roman" w:hAnsi="Times New Roman" w:eastAsia="宋体"/>
                <w:sz w:val="18"/>
              </w:rPr>
              <w:t>数据划分</w:t>
            </w:r>
          </w:p>
        </w:tc>
        <w:tc>
          <w:tcPr>
            <w:tcW w:w="7687" w:type="dxa"/>
            <w:tcBorders>
              <w:top w:val="nil"/>
              <w:left w:val="nil"/>
              <w:bottom w:val="nil"/>
              <w:right w:val="nil"/>
            </w:tcBorders>
            <w:noWrap w:val="0"/>
            <w:tcMar>
              <w:top w:w="70" w:type="dxa"/>
              <w:left w:w="70" w:type="dxa"/>
              <w:bottom w:w="70" w:type="dxa"/>
              <w:right w:w="70" w:type="dxa"/>
            </w:tcMar>
            <w:vAlign w:val="center"/>
          </w:tcPr>
          <w:p w14:paraId="643DAE66">
            <w:pPr>
              <w:snapToGrid w:val="0"/>
              <w:ind w:firstLine="0"/>
              <w:jc w:val="center"/>
            </w:pPr>
            <w:r>
              <w:rPr>
                <w:rFonts w:ascii="Times New Roman" w:hAnsi="Times New Roman" w:eastAsia="宋体"/>
                <w:sz w:val="18"/>
              </w:rPr>
              <w:t>源语音级约8:1:1；随机种子2026</w:t>
            </w:r>
          </w:p>
        </w:tc>
      </w:tr>
      <w:tr w14:paraId="59BA3A5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70" w:type="dxa"/>
              <w:left w:w="70" w:type="dxa"/>
              <w:bottom w:w="70" w:type="dxa"/>
              <w:right w:w="70" w:type="dxa"/>
            </w:tcMar>
            <w:vAlign w:val="center"/>
          </w:tcPr>
          <w:p w14:paraId="6DE6201F">
            <w:pPr>
              <w:snapToGrid w:val="0"/>
              <w:ind w:firstLine="0"/>
              <w:jc w:val="center"/>
            </w:pPr>
            <w:r>
              <w:rPr>
                <w:rFonts w:ascii="Times New Roman" w:hAnsi="Times New Roman" w:eastAsia="宋体"/>
                <w:sz w:val="18"/>
              </w:rPr>
              <w:t>退化等级</w:t>
            </w:r>
          </w:p>
        </w:tc>
        <w:tc>
          <w:tcPr>
            <w:tcW w:w="7687" w:type="dxa"/>
            <w:tcBorders>
              <w:top w:val="nil"/>
              <w:left w:val="nil"/>
              <w:bottom w:val="nil"/>
              <w:right w:val="nil"/>
            </w:tcBorders>
            <w:noWrap w:val="0"/>
            <w:tcMar>
              <w:top w:w="70" w:type="dxa"/>
              <w:left w:w="70" w:type="dxa"/>
              <w:bottom w:w="70" w:type="dxa"/>
              <w:right w:w="70" w:type="dxa"/>
            </w:tcMar>
            <w:vAlign w:val="center"/>
          </w:tcPr>
          <w:p w14:paraId="4C1FB7A1">
            <w:pPr>
              <w:snapToGrid w:val="0"/>
              <w:ind w:firstLine="0"/>
              <w:jc w:val="center"/>
            </w:pPr>
            <w:r>
              <w:rPr>
                <w:rFonts w:ascii="Times New Roman" w:hAnsi="Times New Roman" w:eastAsia="宋体"/>
                <w:sz w:val="18"/>
              </w:rPr>
              <w:t>clean / light / medium / heavy；测试集每组4,414条</w:t>
            </w:r>
          </w:p>
        </w:tc>
      </w:tr>
      <w:tr w14:paraId="3B86899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tblHeader/>
          <w:jc w:val="center"/>
        </w:trPr>
        <w:tc>
          <w:tcPr>
            <w:tcW w:w="1685" w:type="dxa"/>
            <w:tcBorders>
              <w:top w:val="nil"/>
              <w:left w:val="nil"/>
              <w:bottom w:val="single" w:color="auto" w:sz="12" w:space="0"/>
              <w:right w:val="nil"/>
            </w:tcBorders>
            <w:noWrap w:val="0"/>
            <w:tcMar>
              <w:top w:w="70" w:type="dxa"/>
              <w:left w:w="70" w:type="dxa"/>
              <w:bottom w:w="70" w:type="dxa"/>
              <w:right w:w="70" w:type="dxa"/>
            </w:tcMar>
            <w:vAlign w:val="center"/>
          </w:tcPr>
          <w:p w14:paraId="490705AE">
            <w:pPr>
              <w:snapToGrid w:val="0"/>
              <w:ind w:firstLine="0"/>
              <w:jc w:val="center"/>
            </w:pPr>
            <w:r>
              <w:rPr>
                <w:rFonts w:ascii="Times New Roman" w:hAnsi="Times New Roman" w:eastAsia="宋体"/>
                <w:sz w:val="18"/>
              </w:rPr>
              <w:t>基础增强器</w:t>
            </w:r>
          </w:p>
        </w:tc>
        <w:tc>
          <w:tcPr>
            <w:tcW w:w="7687" w:type="dxa"/>
            <w:tcBorders>
              <w:top w:val="nil"/>
              <w:left w:val="nil"/>
              <w:bottom w:val="single" w:color="auto" w:sz="12" w:space="0"/>
              <w:right w:val="nil"/>
            </w:tcBorders>
            <w:noWrap w:val="0"/>
            <w:tcMar>
              <w:top w:w="70" w:type="dxa"/>
              <w:left w:w="70" w:type="dxa"/>
              <w:bottom w:w="70" w:type="dxa"/>
              <w:right w:w="70" w:type="dxa"/>
            </w:tcMar>
            <w:vAlign w:val="center"/>
          </w:tcPr>
          <w:p w14:paraId="047FE062">
            <w:pPr>
              <w:snapToGrid w:val="0"/>
              <w:ind w:firstLine="0"/>
              <w:jc w:val="center"/>
            </w:pPr>
            <w:r>
              <w:rPr>
                <w:rFonts w:ascii="Times New Roman" w:hAnsi="Times New Roman" w:eastAsia="宋体"/>
                <w:sz w:val="18"/>
              </w:rPr>
              <w:t>GTCRN预训练模型；训练Estimator与Residual时冻结</w:t>
            </w:r>
          </w:p>
        </w:tc>
      </w:tr>
    </w:tbl>
    <w:p w14:paraId="78C5EE94">
      <w:pPr>
        <w:spacing w:after="0" w:line="360" w:lineRule="auto"/>
        <w:ind w:firstLine="420"/>
      </w:pPr>
      <w:r>
        <w:rPr>
          <w:rFonts w:ascii="Times New Roman" w:hAnsi="Times New Roman" w:eastAsia="宋体"/>
          <w:i w:val="0"/>
          <w:sz w:val="21"/>
        </w:rPr>
        <w:t>SI-SDR需要结合数据构造方式解释。clean组中的Degraded信号与参考信号几乎一致，其SI-SDR达到104.16 dB，显著抬高Degraded的overall均值。因此，Degraded overall SI-SDR仅作为数据特征展示，不用于判断增强器优劣；系统结论主要依据Base、V1和V2之间的同组比较，并建议最终补充剔除clean组后的non-clean SI-SDR。</w:t>
      </w:r>
    </w:p>
    <w:p w14:paraId="6C88DE06">
      <w:pPr>
        <w:pStyle w:val="4"/>
        <w:ind w:firstLine="0"/>
      </w:pPr>
      <w:r>
        <w:rPr>
          <w:rFonts w:ascii="Times New Roman" w:hAnsi="Times New Roman" w:eastAsia="黑体"/>
          <w:b/>
          <w:sz w:val="28"/>
        </w:rPr>
        <w:t>4.2 显式退化诊断结果</w:t>
      </w:r>
    </w:p>
    <w:p w14:paraId="5D690189">
      <w:pPr>
        <w:spacing w:after="0" w:line="360" w:lineRule="auto"/>
        <w:ind w:firstLine="420"/>
      </w:pPr>
      <w:r>
        <w:rPr>
          <w:rFonts w:ascii="Times New Roman" w:hAnsi="Times New Roman" w:eastAsia="宋体"/>
          <w:i w:val="0"/>
          <w:sz w:val="21"/>
        </w:rPr>
        <w:t>退化诊断器用于检验方法的前提：冻结基础增强器的瓶颈统计特征是否包含可分辨的复合退化信息。总体结果显示，噪声存在性、有效带宽和SNR具有较高可分辨性，位深分类相对困难。</w:t>
      </w:r>
    </w:p>
    <w:p w14:paraId="56CB8D96">
      <w:pPr>
        <w:spacing w:before="60" w:after="120"/>
        <w:ind w:firstLine="0"/>
        <w:jc w:val="center"/>
      </w:pPr>
      <w:r>
        <w:rPr>
          <w:rFonts w:ascii="Times New Roman" w:hAnsi="Times New Roman" w:eastAsia="宋体"/>
          <w:sz w:val="21"/>
        </w:rPr>
        <w:t>表 4-2  退化诊断器测试集总体性能</w:t>
      </w:r>
    </w:p>
    <w:tbl>
      <w:tblPr>
        <w:tblStyle w:val="3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381"/>
        <w:gridCol w:w="2381"/>
        <w:gridCol w:w="2381"/>
      </w:tblGrid>
      <w:tr w14:paraId="0D445AD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2381" w:type="dxa"/>
            <w:shd w:val="clear" w:color="auto" w:fill="D9EAF7"/>
            <w:tcMar>
              <w:top w:w="70" w:type="dxa"/>
              <w:left w:w="70" w:type="dxa"/>
              <w:bottom w:w="70" w:type="dxa"/>
              <w:right w:w="70" w:type="dxa"/>
            </w:tcMar>
            <w:vAlign w:val="center"/>
          </w:tcPr>
          <w:p w14:paraId="6DD7822A">
            <w:pPr>
              <w:ind w:firstLine="0"/>
              <w:jc w:val="center"/>
            </w:pPr>
            <w:r>
              <w:rPr>
                <w:rFonts w:ascii="Times New Roman" w:hAnsi="Times New Roman" w:eastAsia="黑体"/>
                <w:b/>
                <w:sz w:val="18"/>
              </w:rPr>
              <w:t>任务</w:t>
            </w:r>
          </w:p>
        </w:tc>
        <w:tc>
          <w:tcPr>
            <w:tcW w:w="2381" w:type="dxa"/>
            <w:shd w:val="clear" w:color="auto" w:fill="D9EAF7"/>
            <w:tcMar>
              <w:top w:w="70" w:type="dxa"/>
              <w:left w:w="70" w:type="dxa"/>
              <w:bottom w:w="70" w:type="dxa"/>
              <w:right w:w="70" w:type="dxa"/>
            </w:tcMar>
            <w:vAlign w:val="center"/>
          </w:tcPr>
          <w:p w14:paraId="37A8CFB9">
            <w:pPr>
              <w:ind w:firstLine="0"/>
              <w:jc w:val="center"/>
            </w:pPr>
            <w:r>
              <w:rPr>
                <w:rFonts w:ascii="Times New Roman" w:hAnsi="Times New Roman" w:eastAsia="黑体"/>
                <w:b/>
                <w:sz w:val="18"/>
              </w:rPr>
              <w:t>指标</w:t>
            </w:r>
          </w:p>
        </w:tc>
        <w:tc>
          <w:tcPr>
            <w:tcW w:w="2381" w:type="dxa"/>
            <w:shd w:val="clear" w:color="auto" w:fill="D9EAF7"/>
            <w:tcMar>
              <w:top w:w="70" w:type="dxa"/>
              <w:left w:w="70" w:type="dxa"/>
              <w:bottom w:w="70" w:type="dxa"/>
              <w:right w:w="70" w:type="dxa"/>
            </w:tcMar>
            <w:vAlign w:val="center"/>
          </w:tcPr>
          <w:p w14:paraId="2ECBDC77">
            <w:pPr>
              <w:ind w:firstLine="0"/>
              <w:jc w:val="center"/>
            </w:pPr>
            <w:r>
              <w:rPr>
                <w:rFonts w:ascii="Times New Roman" w:hAnsi="Times New Roman" w:eastAsia="黑体"/>
                <w:b/>
                <w:sz w:val="18"/>
              </w:rPr>
              <w:t>结果</w:t>
            </w:r>
          </w:p>
        </w:tc>
      </w:tr>
      <w:tr w14:paraId="5405DE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81" w:type="dxa"/>
            <w:tcMar>
              <w:top w:w="70" w:type="dxa"/>
              <w:left w:w="70" w:type="dxa"/>
              <w:bottom w:w="70" w:type="dxa"/>
              <w:right w:w="70" w:type="dxa"/>
            </w:tcMar>
            <w:vAlign w:val="center"/>
          </w:tcPr>
          <w:p w14:paraId="086B8659">
            <w:pPr>
              <w:ind w:firstLine="0"/>
              <w:jc w:val="center"/>
            </w:pPr>
            <w:r>
              <w:rPr>
                <w:rFonts w:ascii="Times New Roman" w:hAnsi="Times New Roman" w:eastAsia="宋体"/>
                <w:sz w:val="18"/>
              </w:rPr>
              <w:t>噪声识别</w:t>
            </w:r>
          </w:p>
        </w:tc>
        <w:tc>
          <w:tcPr>
            <w:tcW w:w="2381" w:type="dxa"/>
            <w:tcMar>
              <w:top w:w="70" w:type="dxa"/>
              <w:left w:w="70" w:type="dxa"/>
              <w:bottom w:w="70" w:type="dxa"/>
              <w:right w:w="70" w:type="dxa"/>
            </w:tcMar>
            <w:vAlign w:val="center"/>
          </w:tcPr>
          <w:p w14:paraId="502325A1">
            <w:pPr>
              <w:ind w:firstLine="0"/>
              <w:jc w:val="center"/>
            </w:pPr>
            <w:r>
              <w:rPr>
                <w:rFonts w:ascii="Times New Roman" w:hAnsi="Times New Roman" w:eastAsia="宋体"/>
                <w:sz w:val="18"/>
              </w:rPr>
              <w:t>Accuracy</w:t>
            </w:r>
          </w:p>
        </w:tc>
        <w:tc>
          <w:tcPr>
            <w:tcW w:w="2381" w:type="dxa"/>
            <w:tcMar>
              <w:top w:w="70" w:type="dxa"/>
              <w:left w:w="70" w:type="dxa"/>
              <w:bottom w:w="70" w:type="dxa"/>
              <w:right w:w="70" w:type="dxa"/>
            </w:tcMar>
            <w:vAlign w:val="center"/>
          </w:tcPr>
          <w:p w14:paraId="2C0EE408">
            <w:pPr>
              <w:ind w:firstLine="0"/>
              <w:jc w:val="center"/>
            </w:pPr>
            <w:r>
              <w:rPr>
                <w:rFonts w:ascii="Times New Roman" w:hAnsi="Times New Roman" w:eastAsia="宋体"/>
                <w:sz w:val="18"/>
              </w:rPr>
              <w:t>0.9999</w:t>
            </w:r>
          </w:p>
        </w:tc>
      </w:tr>
      <w:tr w14:paraId="117FBE2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81" w:type="dxa"/>
            <w:tcMar>
              <w:top w:w="70" w:type="dxa"/>
              <w:left w:w="70" w:type="dxa"/>
              <w:bottom w:w="70" w:type="dxa"/>
              <w:right w:w="70" w:type="dxa"/>
            </w:tcMar>
            <w:vAlign w:val="center"/>
          </w:tcPr>
          <w:p w14:paraId="17BC0849">
            <w:pPr>
              <w:ind w:firstLine="0"/>
              <w:jc w:val="center"/>
            </w:pPr>
            <w:r>
              <w:rPr>
                <w:rFonts w:ascii="Times New Roman" w:hAnsi="Times New Roman" w:eastAsia="宋体"/>
                <w:sz w:val="18"/>
              </w:rPr>
              <w:t>噪声识别</w:t>
            </w:r>
          </w:p>
        </w:tc>
        <w:tc>
          <w:tcPr>
            <w:tcW w:w="2381" w:type="dxa"/>
            <w:tcMar>
              <w:top w:w="70" w:type="dxa"/>
              <w:left w:w="70" w:type="dxa"/>
              <w:bottom w:w="70" w:type="dxa"/>
              <w:right w:w="70" w:type="dxa"/>
            </w:tcMar>
            <w:vAlign w:val="center"/>
          </w:tcPr>
          <w:p w14:paraId="468BF148">
            <w:pPr>
              <w:ind w:firstLine="0"/>
              <w:jc w:val="center"/>
            </w:pPr>
            <w:r>
              <w:rPr>
                <w:rFonts w:ascii="Times New Roman" w:hAnsi="Times New Roman" w:eastAsia="宋体"/>
                <w:sz w:val="18"/>
              </w:rPr>
              <w:t>Precision</w:t>
            </w:r>
          </w:p>
        </w:tc>
        <w:tc>
          <w:tcPr>
            <w:tcW w:w="2381" w:type="dxa"/>
            <w:tcMar>
              <w:top w:w="70" w:type="dxa"/>
              <w:left w:w="70" w:type="dxa"/>
              <w:bottom w:w="70" w:type="dxa"/>
              <w:right w:w="70" w:type="dxa"/>
            </w:tcMar>
            <w:vAlign w:val="center"/>
          </w:tcPr>
          <w:p w14:paraId="523F2D97">
            <w:pPr>
              <w:ind w:firstLine="0"/>
              <w:jc w:val="center"/>
            </w:pPr>
            <w:r>
              <w:rPr>
                <w:rFonts w:ascii="Times New Roman" w:hAnsi="Times New Roman" w:eastAsia="宋体"/>
                <w:sz w:val="18"/>
              </w:rPr>
              <w:t>0.9998</w:t>
            </w:r>
          </w:p>
        </w:tc>
      </w:tr>
      <w:tr w14:paraId="6326F6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81" w:type="dxa"/>
            <w:tcMar>
              <w:top w:w="70" w:type="dxa"/>
              <w:left w:w="70" w:type="dxa"/>
              <w:bottom w:w="70" w:type="dxa"/>
              <w:right w:w="70" w:type="dxa"/>
            </w:tcMar>
            <w:vAlign w:val="center"/>
          </w:tcPr>
          <w:p w14:paraId="7D012D66">
            <w:pPr>
              <w:ind w:firstLine="0"/>
              <w:jc w:val="center"/>
            </w:pPr>
            <w:r>
              <w:rPr>
                <w:rFonts w:ascii="Times New Roman" w:hAnsi="Times New Roman" w:eastAsia="宋体"/>
                <w:sz w:val="18"/>
              </w:rPr>
              <w:t>噪声识别</w:t>
            </w:r>
          </w:p>
        </w:tc>
        <w:tc>
          <w:tcPr>
            <w:tcW w:w="2381" w:type="dxa"/>
            <w:tcMar>
              <w:top w:w="70" w:type="dxa"/>
              <w:left w:w="70" w:type="dxa"/>
              <w:bottom w:w="70" w:type="dxa"/>
              <w:right w:w="70" w:type="dxa"/>
            </w:tcMar>
            <w:vAlign w:val="center"/>
          </w:tcPr>
          <w:p w14:paraId="08B3E7F3">
            <w:pPr>
              <w:ind w:firstLine="0"/>
              <w:jc w:val="center"/>
            </w:pPr>
            <w:r>
              <w:rPr>
                <w:rFonts w:ascii="Times New Roman" w:hAnsi="Times New Roman" w:eastAsia="宋体"/>
                <w:sz w:val="18"/>
              </w:rPr>
              <w:t>Recall</w:t>
            </w:r>
          </w:p>
        </w:tc>
        <w:tc>
          <w:tcPr>
            <w:tcW w:w="2381" w:type="dxa"/>
            <w:tcMar>
              <w:top w:w="70" w:type="dxa"/>
              <w:left w:w="70" w:type="dxa"/>
              <w:bottom w:w="70" w:type="dxa"/>
              <w:right w:w="70" w:type="dxa"/>
            </w:tcMar>
            <w:vAlign w:val="center"/>
          </w:tcPr>
          <w:p w14:paraId="05392D29">
            <w:pPr>
              <w:ind w:firstLine="0"/>
              <w:jc w:val="center"/>
            </w:pPr>
            <w:r>
              <w:rPr>
                <w:rFonts w:ascii="Times New Roman" w:hAnsi="Times New Roman" w:eastAsia="宋体"/>
                <w:sz w:val="18"/>
              </w:rPr>
              <w:t>1.0000</w:t>
            </w:r>
          </w:p>
        </w:tc>
      </w:tr>
      <w:tr w14:paraId="43CA0A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81" w:type="dxa"/>
            <w:tcMar>
              <w:top w:w="70" w:type="dxa"/>
              <w:left w:w="70" w:type="dxa"/>
              <w:bottom w:w="70" w:type="dxa"/>
              <w:right w:w="70" w:type="dxa"/>
            </w:tcMar>
            <w:vAlign w:val="center"/>
          </w:tcPr>
          <w:p w14:paraId="1769236E">
            <w:pPr>
              <w:ind w:firstLine="0"/>
              <w:jc w:val="center"/>
            </w:pPr>
            <w:r>
              <w:rPr>
                <w:rFonts w:ascii="Times New Roman" w:hAnsi="Times New Roman" w:eastAsia="宋体"/>
                <w:sz w:val="18"/>
              </w:rPr>
              <w:t>噪声识别</w:t>
            </w:r>
          </w:p>
        </w:tc>
        <w:tc>
          <w:tcPr>
            <w:tcW w:w="2381" w:type="dxa"/>
            <w:tcMar>
              <w:top w:w="70" w:type="dxa"/>
              <w:left w:w="70" w:type="dxa"/>
              <w:bottom w:w="70" w:type="dxa"/>
              <w:right w:w="70" w:type="dxa"/>
            </w:tcMar>
            <w:vAlign w:val="center"/>
          </w:tcPr>
          <w:p w14:paraId="289C7415">
            <w:pPr>
              <w:ind w:firstLine="0"/>
              <w:jc w:val="center"/>
            </w:pPr>
            <w:r>
              <w:rPr>
                <w:rFonts w:ascii="Times New Roman" w:hAnsi="Times New Roman" w:eastAsia="宋体"/>
                <w:sz w:val="18"/>
              </w:rPr>
              <w:t>F1</w:t>
            </w:r>
          </w:p>
        </w:tc>
        <w:tc>
          <w:tcPr>
            <w:tcW w:w="2381" w:type="dxa"/>
            <w:tcMar>
              <w:top w:w="70" w:type="dxa"/>
              <w:left w:w="70" w:type="dxa"/>
              <w:bottom w:w="70" w:type="dxa"/>
              <w:right w:w="70" w:type="dxa"/>
            </w:tcMar>
            <w:vAlign w:val="center"/>
          </w:tcPr>
          <w:p w14:paraId="5C03D5EA">
            <w:pPr>
              <w:ind w:firstLine="0"/>
              <w:jc w:val="center"/>
            </w:pPr>
            <w:r>
              <w:rPr>
                <w:rFonts w:ascii="Times New Roman" w:hAnsi="Times New Roman" w:eastAsia="宋体"/>
                <w:sz w:val="18"/>
              </w:rPr>
              <w:t>0.9999</w:t>
            </w:r>
          </w:p>
        </w:tc>
      </w:tr>
      <w:tr w14:paraId="2BEB05A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81" w:type="dxa"/>
            <w:tcMar>
              <w:top w:w="70" w:type="dxa"/>
              <w:left w:w="70" w:type="dxa"/>
              <w:bottom w:w="70" w:type="dxa"/>
              <w:right w:w="70" w:type="dxa"/>
            </w:tcMar>
            <w:vAlign w:val="center"/>
          </w:tcPr>
          <w:p w14:paraId="64267B4F">
            <w:pPr>
              <w:ind w:firstLine="0"/>
              <w:jc w:val="center"/>
            </w:pPr>
            <w:r>
              <w:rPr>
                <w:rFonts w:ascii="Times New Roman" w:hAnsi="Times New Roman" w:eastAsia="宋体"/>
                <w:sz w:val="18"/>
              </w:rPr>
              <w:t>带宽分类</w:t>
            </w:r>
          </w:p>
        </w:tc>
        <w:tc>
          <w:tcPr>
            <w:tcW w:w="2381" w:type="dxa"/>
            <w:tcMar>
              <w:top w:w="70" w:type="dxa"/>
              <w:left w:w="70" w:type="dxa"/>
              <w:bottom w:w="70" w:type="dxa"/>
              <w:right w:w="70" w:type="dxa"/>
            </w:tcMar>
            <w:vAlign w:val="center"/>
          </w:tcPr>
          <w:p w14:paraId="43CB5A9E">
            <w:pPr>
              <w:ind w:firstLine="0"/>
              <w:jc w:val="center"/>
            </w:pPr>
            <w:r>
              <w:rPr>
                <w:rFonts w:ascii="Times New Roman" w:hAnsi="Times New Roman" w:eastAsia="宋体"/>
                <w:sz w:val="18"/>
              </w:rPr>
              <w:t>Accuracy</w:t>
            </w:r>
          </w:p>
        </w:tc>
        <w:tc>
          <w:tcPr>
            <w:tcW w:w="2381" w:type="dxa"/>
            <w:tcMar>
              <w:top w:w="70" w:type="dxa"/>
              <w:left w:w="70" w:type="dxa"/>
              <w:bottom w:w="70" w:type="dxa"/>
              <w:right w:w="70" w:type="dxa"/>
            </w:tcMar>
            <w:vAlign w:val="center"/>
          </w:tcPr>
          <w:p w14:paraId="22E73C55">
            <w:pPr>
              <w:ind w:firstLine="0"/>
              <w:jc w:val="center"/>
            </w:pPr>
            <w:r>
              <w:rPr>
                <w:rFonts w:ascii="Times New Roman" w:hAnsi="Times New Roman" w:eastAsia="宋体"/>
                <w:sz w:val="18"/>
              </w:rPr>
              <w:t>0.9961</w:t>
            </w:r>
          </w:p>
        </w:tc>
      </w:tr>
      <w:tr w14:paraId="6987887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81" w:type="dxa"/>
            <w:tcMar>
              <w:top w:w="70" w:type="dxa"/>
              <w:left w:w="70" w:type="dxa"/>
              <w:bottom w:w="70" w:type="dxa"/>
              <w:right w:w="70" w:type="dxa"/>
            </w:tcMar>
            <w:vAlign w:val="center"/>
          </w:tcPr>
          <w:p w14:paraId="5D271A85">
            <w:pPr>
              <w:ind w:firstLine="0"/>
              <w:jc w:val="center"/>
            </w:pPr>
            <w:r>
              <w:rPr>
                <w:rFonts w:ascii="Times New Roman" w:hAnsi="Times New Roman" w:eastAsia="宋体"/>
                <w:sz w:val="18"/>
              </w:rPr>
              <w:t>带宽分类</w:t>
            </w:r>
          </w:p>
        </w:tc>
        <w:tc>
          <w:tcPr>
            <w:tcW w:w="2381" w:type="dxa"/>
            <w:tcMar>
              <w:top w:w="70" w:type="dxa"/>
              <w:left w:w="70" w:type="dxa"/>
              <w:bottom w:w="70" w:type="dxa"/>
              <w:right w:w="70" w:type="dxa"/>
            </w:tcMar>
            <w:vAlign w:val="center"/>
          </w:tcPr>
          <w:p w14:paraId="3779D0B3">
            <w:pPr>
              <w:ind w:firstLine="0"/>
              <w:jc w:val="center"/>
            </w:pPr>
            <w:r>
              <w:rPr>
                <w:rFonts w:ascii="Times New Roman" w:hAnsi="Times New Roman" w:eastAsia="宋体"/>
                <w:sz w:val="18"/>
              </w:rPr>
              <w:t>Macro-F1</w:t>
            </w:r>
          </w:p>
        </w:tc>
        <w:tc>
          <w:tcPr>
            <w:tcW w:w="2381" w:type="dxa"/>
            <w:tcMar>
              <w:top w:w="70" w:type="dxa"/>
              <w:left w:w="70" w:type="dxa"/>
              <w:bottom w:w="70" w:type="dxa"/>
              <w:right w:w="70" w:type="dxa"/>
            </w:tcMar>
            <w:vAlign w:val="center"/>
          </w:tcPr>
          <w:p w14:paraId="07E1AABE">
            <w:pPr>
              <w:ind w:firstLine="0"/>
              <w:jc w:val="center"/>
            </w:pPr>
            <w:r>
              <w:rPr>
                <w:rFonts w:ascii="Times New Roman" w:hAnsi="Times New Roman" w:eastAsia="宋体"/>
                <w:sz w:val="18"/>
              </w:rPr>
              <w:t>0.9949</w:t>
            </w:r>
          </w:p>
        </w:tc>
      </w:tr>
      <w:tr w14:paraId="2B5F10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81" w:type="dxa"/>
            <w:tcMar>
              <w:top w:w="70" w:type="dxa"/>
              <w:left w:w="70" w:type="dxa"/>
              <w:bottom w:w="70" w:type="dxa"/>
              <w:right w:w="70" w:type="dxa"/>
            </w:tcMar>
            <w:vAlign w:val="center"/>
          </w:tcPr>
          <w:p w14:paraId="7A54C8BC">
            <w:pPr>
              <w:ind w:firstLine="0"/>
              <w:jc w:val="center"/>
            </w:pPr>
            <w:r>
              <w:rPr>
                <w:rFonts w:ascii="Times New Roman" w:hAnsi="Times New Roman" w:eastAsia="宋体"/>
                <w:sz w:val="18"/>
              </w:rPr>
              <w:t>位深分类</w:t>
            </w:r>
          </w:p>
        </w:tc>
        <w:tc>
          <w:tcPr>
            <w:tcW w:w="2381" w:type="dxa"/>
            <w:tcMar>
              <w:top w:w="70" w:type="dxa"/>
              <w:left w:w="70" w:type="dxa"/>
              <w:bottom w:w="70" w:type="dxa"/>
              <w:right w:w="70" w:type="dxa"/>
            </w:tcMar>
            <w:vAlign w:val="center"/>
          </w:tcPr>
          <w:p w14:paraId="39BD32FC">
            <w:pPr>
              <w:ind w:firstLine="0"/>
              <w:jc w:val="center"/>
            </w:pPr>
            <w:r>
              <w:rPr>
                <w:rFonts w:ascii="Times New Roman" w:hAnsi="Times New Roman" w:eastAsia="宋体"/>
                <w:sz w:val="18"/>
              </w:rPr>
              <w:t>Accuracy</w:t>
            </w:r>
          </w:p>
        </w:tc>
        <w:tc>
          <w:tcPr>
            <w:tcW w:w="2381" w:type="dxa"/>
            <w:tcMar>
              <w:top w:w="70" w:type="dxa"/>
              <w:left w:w="70" w:type="dxa"/>
              <w:bottom w:w="70" w:type="dxa"/>
              <w:right w:w="70" w:type="dxa"/>
            </w:tcMar>
            <w:vAlign w:val="center"/>
          </w:tcPr>
          <w:p w14:paraId="3EDE0AF1">
            <w:pPr>
              <w:ind w:firstLine="0"/>
              <w:jc w:val="center"/>
            </w:pPr>
            <w:r>
              <w:rPr>
                <w:rFonts w:ascii="Times New Roman" w:hAnsi="Times New Roman" w:eastAsia="宋体"/>
                <w:sz w:val="18"/>
              </w:rPr>
              <w:t>0.8693</w:t>
            </w:r>
          </w:p>
        </w:tc>
      </w:tr>
      <w:tr w14:paraId="1A4784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81" w:type="dxa"/>
            <w:tcMar>
              <w:top w:w="70" w:type="dxa"/>
              <w:left w:w="70" w:type="dxa"/>
              <w:bottom w:w="70" w:type="dxa"/>
              <w:right w:w="70" w:type="dxa"/>
            </w:tcMar>
            <w:vAlign w:val="center"/>
          </w:tcPr>
          <w:p w14:paraId="0C8A3CF5">
            <w:pPr>
              <w:ind w:firstLine="0"/>
              <w:jc w:val="center"/>
            </w:pPr>
            <w:r>
              <w:rPr>
                <w:rFonts w:ascii="Times New Roman" w:hAnsi="Times New Roman" w:eastAsia="宋体"/>
                <w:sz w:val="18"/>
              </w:rPr>
              <w:t>位深分类</w:t>
            </w:r>
          </w:p>
        </w:tc>
        <w:tc>
          <w:tcPr>
            <w:tcW w:w="2381" w:type="dxa"/>
            <w:tcMar>
              <w:top w:w="70" w:type="dxa"/>
              <w:left w:w="70" w:type="dxa"/>
              <w:bottom w:w="70" w:type="dxa"/>
              <w:right w:w="70" w:type="dxa"/>
            </w:tcMar>
            <w:vAlign w:val="center"/>
          </w:tcPr>
          <w:p w14:paraId="38E73C64">
            <w:pPr>
              <w:ind w:firstLine="0"/>
              <w:jc w:val="center"/>
            </w:pPr>
            <w:r>
              <w:rPr>
                <w:rFonts w:ascii="Times New Roman" w:hAnsi="Times New Roman" w:eastAsia="宋体"/>
                <w:sz w:val="18"/>
              </w:rPr>
              <w:t>Macro-F1</w:t>
            </w:r>
          </w:p>
        </w:tc>
        <w:tc>
          <w:tcPr>
            <w:tcW w:w="2381" w:type="dxa"/>
            <w:tcMar>
              <w:top w:w="70" w:type="dxa"/>
              <w:left w:w="70" w:type="dxa"/>
              <w:bottom w:w="70" w:type="dxa"/>
              <w:right w:w="70" w:type="dxa"/>
            </w:tcMar>
            <w:vAlign w:val="center"/>
          </w:tcPr>
          <w:p w14:paraId="05A7DEF6">
            <w:pPr>
              <w:ind w:firstLine="0"/>
              <w:jc w:val="center"/>
            </w:pPr>
            <w:r>
              <w:rPr>
                <w:rFonts w:ascii="Times New Roman" w:hAnsi="Times New Roman" w:eastAsia="宋体"/>
                <w:sz w:val="18"/>
              </w:rPr>
              <w:t>0.8661</w:t>
            </w:r>
          </w:p>
        </w:tc>
      </w:tr>
      <w:tr w14:paraId="4D3618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81" w:type="dxa"/>
            <w:tcMar>
              <w:top w:w="70" w:type="dxa"/>
              <w:left w:w="70" w:type="dxa"/>
              <w:bottom w:w="70" w:type="dxa"/>
              <w:right w:w="70" w:type="dxa"/>
            </w:tcMar>
            <w:vAlign w:val="center"/>
          </w:tcPr>
          <w:p w14:paraId="2A12BDAA">
            <w:pPr>
              <w:ind w:firstLine="0"/>
              <w:jc w:val="center"/>
            </w:pPr>
            <w:r>
              <w:rPr>
                <w:rFonts w:ascii="Times New Roman" w:hAnsi="Times New Roman" w:eastAsia="宋体"/>
                <w:sz w:val="18"/>
              </w:rPr>
              <w:t>SNR回归</w:t>
            </w:r>
          </w:p>
        </w:tc>
        <w:tc>
          <w:tcPr>
            <w:tcW w:w="2381" w:type="dxa"/>
            <w:tcMar>
              <w:top w:w="70" w:type="dxa"/>
              <w:left w:w="70" w:type="dxa"/>
              <w:bottom w:w="70" w:type="dxa"/>
              <w:right w:w="70" w:type="dxa"/>
            </w:tcMar>
            <w:vAlign w:val="center"/>
          </w:tcPr>
          <w:p w14:paraId="041C287B">
            <w:pPr>
              <w:ind w:firstLine="0"/>
              <w:jc w:val="center"/>
            </w:pPr>
            <w:r>
              <w:rPr>
                <w:rFonts w:ascii="Times New Roman" w:hAnsi="Times New Roman" w:eastAsia="宋体"/>
                <w:sz w:val="18"/>
              </w:rPr>
              <w:t>MAE</w:t>
            </w:r>
          </w:p>
        </w:tc>
        <w:tc>
          <w:tcPr>
            <w:tcW w:w="2381" w:type="dxa"/>
            <w:tcMar>
              <w:top w:w="70" w:type="dxa"/>
              <w:left w:w="70" w:type="dxa"/>
              <w:bottom w:w="70" w:type="dxa"/>
              <w:right w:w="70" w:type="dxa"/>
            </w:tcMar>
            <w:vAlign w:val="center"/>
          </w:tcPr>
          <w:p w14:paraId="2052035B">
            <w:pPr>
              <w:ind w:firstLine="0"/>
              <w:jc w:val="center"/>
            </w:pPr>
            <w:r>
              <w:rPr>
                <w:rFonts w:ascii="Times New Roman" w:hAnsi="Times New Roman" w:eastAsia="宋体"/>
                <w:sz w:val="18"/>
              </w:rPr>
              <w:t>0.8968 dB</w:t>
            </w:r>
          </w:p>
        </w:tc>
      </w:tr>
      <w:tr w14:paraId="6702B1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81" w:type="dxa"/>
            <w:tcMar>
              <w:top w:w="70" w:type="dxa"/>
              <w:left w:w="70" w:type="dxa"/>
              <w:bottom w:w="70" w:type="dxa"/>
              <w:right w:w="70" w:type="dxa"/>
            </w:tcMar>
            <w:vAlign w:val="center"/>
          </w:tcPr>
          <w:p w14:paraId="5A4D5AD6">
            <w:pPr>
              <w:ind w:firstLine="0"/>
              <w:jc w:val="center"/>
            </w:pPr>
            <w:r>
              <w:rPr>
                <w:rFonts w:ascii="Times New Roman" w:hAnsi="Times New Roman" w:eastAsia="宋体"/>
                <w:sz w:val="18"/>
              </w:rPr>
              <w:t>SNR回归</w:t>
            </w:r>
          </w:p>
        </w:tc>
        <w:tc>
          <w:tcPr>
            <w:tcW w:w="2381" w:type="dxa"/>
            <w:tcMar>
              <w:top w:w="70" w:type="dxa"/>
              <w:left w:w="70" w:type="dxa"/>
              <w:bottom w:w="70" w:type="dxa"/>
              <w:right w:w="70" w:type="dxa"/>
            </w:tcMar>
            <w:vAlign w:val="center"/>
          </w:tcPr>
          <w:p w14:paraId="706600E2">
            <w:pPr>
              <w:ind w:firstLine="0"/>
              <w:jc w:val="center"/>
            </w:pPr>
            <w:r>
              <w:rPr>
                <w:rFonts w:ascii="Times New Roman" w:hAnsi="Times New Roman" w:eastAsia="宋体"/>
                <w:sz w:val="18"/>
              </w:rPr>
              <w:t>RMSE</w:t>
            </w:r>
          </w:p>
        </w:tc>
        <w:tc>
          <w:tcPr>
            <w:tcW w:w="2381" w:type="dxa"/>
            <w:tcMar>
              <w:top w:w="70" w:type="dxa"/>
              <w:left w:w="70" w:type="dxa"/>
              <w:bottom w:w="70" w:type="dxa"/>
              <w:right w:w="70" w:type="dxa"/>
            </w:tcMar>
            <w:vAlign w:val="center"/>
          </w:tcPr>
          <w:p w14:paraId="004F81D9">
            <w:pPr>
              <w:ind w:firstLine="0"/>
              <w:jc w:val="center"/>
            </w:pPr>
            <w:r>
              <w:rPr>
                <w:rFonts w:ascii="Times New Roman" w:hAnsi="Times New Roman" w:eastAsia="宋体"/>
                <w:sz w:val="18"/>
              </w:rPr>
              <w:t>1.1189 dB</w:t>
            </w:r>
          </w:p>
        </w:tc>
      </w:tr>
      <w:tr w14:paraId="1E5419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81" w:type="dxa"/>
            <w:tcMar>
              <w:top w:w="70" w:type="dxa"/>
              <w:left w:w="70" w:type="dxa"/>
              <w:bottom w:w="70" w:type="dxa"/>
              <w:right w:w="70" w:type="dxa"/>
            </w:tcMar>
            <w:vAlign w:val="center"/>
          </w:tcPr>
          <w:p w14:paraId="52CC1615">
            <w:pPr>
              <w:ind w:firstLine="0"/>
              <w:jc w:val="center"/>
            </w:pPr>
            <w:r>
              <w:rPr>
                <w:rFonts w:ascii="Times New Roman" w:hAnsi="Times New Roman" w:eastAsia="宋体"/>
                <w:sz w:val="18"/>
              </w:rPr>
              <w:t>SNR回归</w:t>
            </w:r>
          </w:p>
        </w:tc>
        <w:tc>
          <w:tcPr>
            <w:tcW w:w="2381" w:type="dxa"/>
            <w:tcMar>
              <w:top w:w="70" w:type="dxa"/>
              <w:left w:w="70" w:type="dxa"/>
              <w:bottom w:w="70" w:type="dxa"/>
              <w:right w:w="70" w:type="dxa"/>
            </w:tcMar>
            <w:vAlign w:val="center"/>
          </w:tcPr>
          <w:p w14:paraId="2F6011C8">
            <w:pPr>
              <w:ind w:firstLine="0"/>
              <w:jc w:val="center"/>
            </w:pPr>
            <w:r>
              <w:rPr>
                <w:rFonts w:ascii="Times New Roman" w:hAnsi="Times New Roman" w:eastAsia="宋体"/>
                <w:sz w:val="18"/>
              </w:rPr>
              <w:t>Pearson r</w:t>
            </w:r>
          </w:p>
        </w:tc>
        <w:tc>
          <w:tcPr>
            <w:tcW w:w="2381" w:type="dxa"/>
            <w:tcMar>
              <w:top w:w="70" w:type="dxa"/>
              <w:left w:w="70" w:type="dxa"/>
              <w:bottom w:w="70" w:type="dxa"/>
              <w:right w:w="70" w:type="dxa"/>
            </w:tcMar>
            <w:vAlign w:val="center"/>
          </w:tcPr>
          <w:p w14:paraId="1FD7011C">
            <w:pPr>
              <w:ind w:firstLine="0"/>
              <w:jc w:val="center"/>
            </w:pPr>
            <w:r>
              <w:rPr>
                <w:rFonts w:ascii="Times New Roman" w:hAnsi="Times New Roman" w:eastAsia="宋体"/>
                <w:sz w:val="18"/>
              </w:rPr>
              <w:t>0.9863</w:t>
            </w:r>
          </w:p>
        </w:tc>
      </w:tr>
    </w:tbl>
    <w:p w14:paraId="322FD822">
      <w:pPr>
        <w:spacing w:before="60" w:after="120"/>
        <w:ind w:firstLine="0"/>
        <w:jc w:val="center"/>
      </w:pPr>
      <w:r>
        <w:rPr>
          <w:rFonts w:ascii="Times New Roman" w:hAnsi="Times New Roman" w:eastAsia="宋体"/>
          <w:sz w:val="21"/>
        </w:rPr>
        <w:t>表 4-3  不同退化强度下的诊断结果</w:t>
      </w:r>
    </w:p>
    <w:tbl>
      <w:tblPr>
        <w:tblStyle w:val="3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361"/>
        <w:gridCol w:w="1247"/>
        <w:gridCol w:w="1701"/>
        <w:gridCol w:w="1814"/>
        <w:gridCol w:w="1814"/>
      </w:tblGrid>
      <w:tr w14:paraId="7F5F40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1361" w:type="dxa"/>
            <w:shd w:val="clear" w:color="auto" w:fill="D9EAF7"/>
            <w:tcMar>
              <w:top w:w="70" w:type="dxa"/>
              <w:left w:w="70" w:type="dxa"/>
              <w:bottom w:w="70" w:type="dxa"/>
              <w:right w:w="70" w:type="dxa"/>
            </w:tcMar>
            <w:vAlign w:val="center"/>
          </w:tcPr>
          <w:p w14:paraId="079E4185">
            <w:pPr>
              <w:ind w:firstLine="0"/>
              <w:jc w:val="center"/>
            </w:pPr>
            <w:r>
              <w:rPr>
                <w:rFonts w:ascii="Times New Roman" w:hAnsi="Times New Roman" w:eastAsia="黑体"/>
                <w:b/>
                <w:sz w:val="17"/>
              </w:rPr>
              <w:t>退化等级</w:t>
            </w:r>
          </w:p>
        </w:tc>
        <w:tc>
          <w:tcPr>
            <w:tcW w:w="1247" w:type="dxa"/>
            <w:shd w:val="clear" w:color="auto" w:fill="D9EAF7"/>
            <w:tcMar>
              <w:top w:w="70" w:type="dxa"/>
              <w:left w:w="70" w:type="dxa"/>
              <w:bottom w:w="70" w:type="dxa"/>
              <w:right w:w="70" w:type="dxa"/>
            </w:tcMar>
            <w:vAlign w:val="center"/>
          </w:tcPr>
          <w:p w14:paraId="3A844388">
            <w:pPr>
              <w:ind w:firstLine="0"/>
              <w:jc w:val="center"/>
            </w:pPr>
            <w:r>
              <w:rPr>
                <w:rFonts w:ascii="Times New Roman" w:hAnsi="Times New Roman" w:eastAsia="黑体"/>
                <w:b/>
                <w:sz w:val="17"/>
              </w:rPr>
              <w:t>样本数</w:t>
            </w:r>
          </w:p>
        </w:tc>
        <w:tc>
          <w:tcPr>
            <w:tcW w:w="1701" w:type="dxa"/>
            <w:shd w:val="clear" w:color="auto" w:fill="D9EAF7"/>
            <w:tcMar>
              <w:top w:w="70" w:type="dxa"/>
              <w:left w:w="70" w:type="dxa"/>
              <w:bottom w:w="70" w:type="dxa"/>
              <w:right w:w="70" w:type="dxa"/>
            </w:tcMar>
            <w:vAlign w:val="center"/>
          </w:tcPr>
          <w:p w14:paraId="64889CC7">
            <w:pPr>
              <w:ind w:firstLine="0"/>
              <w:jc w:val="center"/>
            </w:pPr>
            <w:r>
              <w:rPr>
                <w:rFonts w:ascii="Times New Roman" w:hAnsi="Times New Roman" w:eastAsia="黑体"/>
                <w:b/>
                <w:sz w:val="17"/>
              </w:rPr>
              <w:t>Noise Acc</w:t>
            </w:r>
          </w:p>
        </w:tc>
        <w:tc>
          <w:tcPr>
            <w:tcW w:w="1814" w:type="dxa"/>
            <w:shd w:val="clear" w:color="auto" w:fill="D9EAF7"/>
            <w:tcMar>
              <w:top w:w="70" w:type="dxa"/>
              <w:left w:w="70" w:type="dxa"/>
              <w:bottom w:w="70" w:type="dxa"/>
              <w:right w:w="70" w:type="dxa"/>
            </w:tcMar>
            <w:vAlign w:val="center"/>
          </w:tcPr>
          <w:p w14:paraId="66FE8E82">
            <w:pPr>
              <w:ind w:firstLine="0"/>
              <w:jc w:val="center"/>
            </w:pPr>
            <w:r>
              <w:rPr>
                <w:rFonts w:ascii="Times New Roman" w:hAnsi="Times New Roman" w:eastAsia="黑体"/>
                <w:b/>
                <w:sz w:val="17"/>
              </w:rPr>
              <w:t>Bandwidth Acc</w:t>
            </w:r>
          </w:p>
        </w:tc>
        <w:tc>
          <w:tcPr>
            <w:tcW w:w="1814" w:type="dxa"/>
            <w:shd w:val="clear" w:color="auto" w:fill="D9EAF7"/>
            <w:tcMar>
              <w:top w:w="70" w:type="dxa"/>
              <w:left w:w="70" w:type="dxa"/>
              <w:bottom w:w="70" w:type="dxa"/>
              <w:right w:w="70" w:type="dxa"/>
            </w:tcMar>
            <w:vAlign w:val="center"/>
          </w:tcPr>
          <w:p w14:paraId="639E330E">
            <w:pPr>
              <w:ind w:firstLine="0"/>
              <w:jc w:val="center"/>
            </w:pPr>
            <w:r>
              <w:rPr>
                <w:rFonts w:ascii="Times New Roman" w:hAnsi="Times New Roman" w:eastAsia="黑体"/>
                <w:b/>
                <w:sz w:val="17"/>
              </w:rPr>
              <w:t>Bit-depth Acc</w:t>
            </w:r>
          </w:p>
        </w:tc>
      </w:tr>
      <w:tr w14:paraId="565763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361" w:type="dxa"/>
            <w:tcMar>
              <w:top w:w="70" w:type="dxa"/>
              <w:left w:w="70" w:type="dxa"/>
              <w:bottom w:w="70" w:type="dxa"/>
              <w:right w:w="70" w:type="dxa"/>
            </w:tcMar>
            <w:vAlign w:val="center"/>
          </w:tcPr>
          <w:p w14:paraId="6E35DACF">
            <w:pPr>
              <w:ind w:firstLine="0"/>
              <w:jc w:val="center"/>
            </w:pPr>
            <w:r>
              <w:rPr>
                <w:rFonts w:ascii="Times New Roman" w:hAnsi="Times New Roman" w:eastAsia="宋体"/>
                <w:sz w:val="17"/>
              </w:rPr>
              <w:t>clean</w:t>
            </w:r>
          </w:p>
        </w:tc>
        <w:tc>
          <w:tcPr>
            <w:tcW w:w="1247" w:type="dxa"/>
            <w:tcMar>
              <w:top w:w="70" w:type="dxa"/>
              <w:left w:w="70" w:type="dxa"/>
              <w:bottom w:w="70" w:type="dxa"/>
              <w:right w:w="70" w:type="dxa"/>
            </w:tcMar>
            <w:vAlign w:val="center"/>
          </w:tcPr>
          <w:p w14:paraId="0B1E839B">
            <w:pPr>
              <w:ind w:firstLine="0"/>
              <w:jc w:val="center"/>
            </w:pPr>
            <w:r>
              <w:rPr>
                <w:rFonts w:ascii="Times New Roman" w:hAnsi="Times New Roman" w:eastAsia="宋体"/>
                <w:sz w:val="17"/>
              </w:rPr>
              <w:t>4,414</w:t>
            </w:r>
          </w:p>
        </w:tc>
        <w:tc>
          <w:tcPr>
            <w:tcW w:w="1701" w:type="dxa"/>
            <w:tcMar>
              <w:top w:w="70" w:type="dxa"/>
              <w:left w:w="70" w:type="dxa"/>
              <w:bottom w:w="70" w:type="dxa"/>
              <w:right w:w="70" w:type="dxa"/>
            </w:tcMar>
            <w:vAlign w:val="center"/>
          </w:tcPr>
          <w:p w14:paraId="685500A0">
            <w:pPr>
              <w:ind w:firstLine="0"/>
              <w:jc w:val="center"/>
            </w:pPr>
            <w:r>
              <w:rPr>
                <w:rFonts w:ascii="Times New Roman" w:hAnsi="Times New Roman" w:eastAsia="宋体"/>
                <w:sz w:val="17"/>
              </w:rPr>
              <w:t>1.0000</w:t>
            </w:r>
          </w:p>
        </w:tc>
        <w:tc>
          <w:tcPr>
            <w:tcW w:w="1814" w:type="dxa"/>
            <w:tcMar>
              <w:top w:w="70" w:type="dxa"/>
              <w:left w:w="70" w:type="dxa"/>
              <w:bottom w:w="70" w:type="dxa"/>
              <w:right w:w="70" w:type="dxa"/>
            </w:tcMar>
            <w:vAlign w:val="center"/>
          </w:tcPr>
          <w:p w14:paraId="1F3E2C62">
            <w:pPr>
              <w:ind w:firstLine="0"/>
              <w:jc w:val="center"/>
            </w:pPr>
            <w:r>
              <w:rPr>
                <w:rFonts w:ascii="Times New Roman" w:hAnsi="Times New Roman" w:eastAsia="宋体"/>
                <w:sz w:val="17"/>
              </w:rPr>
              <w:t>0.9887</w:t>
            </w:r>
          </w:p>
        </w:tc>
        <w:tc>
          <w:tcPr>
            <w:tcW w:w="1814" w:type="dxa"/>
            <w:tcMar>
              <w:top w:w="70" w:type="dxa"/>
              <w:left w:w="70" w:type="dxa"/>
              <w:bottom w:w="70" w:type="dxa"/>
              <w:right w:w="70" w:type="dxa"/>
            </w:tcMar>
            <w:vAlign w:val="center"/>
          </w:tcPr>
          <w:p w14:paraId="4C6E98E8">
            <w:pPr>
              <w:ind w:firstLine="0"/>
              <w:jc w:val="center"/>
            </w:pPr>
            <w:r>
              <w:rPr>
                <w:rFonts w:ascii="Times New Roman" w:hAnsi="Times New Roman" w:eastAsia="宋体"/>
                <w:sz w:val="17"/>
              </w:rPr>
              <w:t>0.9878</w:t>
            </w:r>
          </w:p>
        </w:tc>
      </w:tr>
      <w:tr w14:paraId="7656C7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361" w:type="dxa"/>
            <w:tcMar>
              <w:top w:w="70" w:type="dxa"/>
              <w:left w:w="70" w:type="dxa"/>
              <w:bottom w:w="70" w:type="dxa"/>
              <w:right w:w="70" w:type="dxa"/>
            </w:tcMar>
            <w:vAlign w:val="center"/>
          </w:tcPr>
          <w:p w14:paraId="56356B9E">
            <w:pPr>
              <w:ind w:firstLine="0"/>
              <w:jc w:val="center"/>
            </w:pPr>
            <w:r>
              <w:rPr>
                <w:rFonts w:ascii="Times New Roman" w:hAnsi="Times New Roman" w:eastAsia="宋体"/>
                <w:sz w:val="17"/>
              </w:rPr>
              <w:t>light</w:t>
            </w:r>
          </w:p>
        </w:tc>
        <w:tc>
          <w:tcPr>
            <w:tcW w:w="1247" w:type="dxa"/>
            <w:tcMar>
              <w:top w:w="70" w:type="dxa"/>
              <w:left w:w="70" w:type="dxa"/>
              <w:bottom w:w="70" w:type="dxa"/>
              <w:right w:w="70" w:type="dxa"/>
            </w:tcMar>
            <w:vAlign w:val="center"/>
          </w:tcPr>
          <w:p w14:paraId="09F1932F">
            <w:pPr>
              <w:ind w:firstLine="0"/>
              <w:jc w:val="center"/>
            </w:pPr>
            <w:r>
              <w:rPr>
                <w:rFonts w:ascii="Times New Roman" w:hAnsi="Times New Roman" w:eastAsia="宋体"/>
                <w:sz w:val="17"/>
              </w:rPr>
              <w:t>4,414</w:t>
            </w:r>
          </w:p>
        </w:tc>
        <w:tc>
          <w:tcPr>
            <w:tcW w:w="1701" w:type="dxa"/>
            <w:tcMar>
              <w:top w:w="70" w:type="dxa"/>
              <w:left w:w="70" w:type="dxa"/>
              <w:bottom w:w="70" w:type="dxa"/>
              <w:right w:w="70" w:type="dxa"/>
            </w:tcMar>
            <w:vAlign w:val="center"/>
          </w:tcPr>
          <w:p w14:paraId="5FA1ABE4">
            <w:pPr>
              <w:ind w:firstLine="0"/>
              <w:jc w:val="center"/>
            </w:pPr>
            <w:r>
              <w:rPr>
                <w:rFonts w:ascii="Times New Roman" w:hAnsi="Times New Roman" w:eastAsia="宋体"/>
                <w:sz w:val="17"/>
              </w:rPr>
              <w:t>0.9995</w:t>
            </w:r>
          </w:p>
        </w:tc>
        <w:tc>
          <w:tcPr>
            <w:tcW w:w="1814" w:type="dxa"/>
            <w:tcMar>
              <w:top w:w="70" w:type="dxa"/>
              <w:left w:w="70" w:type="dxa"/>
              <w:bottom w:w="70" w:type="dxa"/>
              <w:right w:w="70" w:type="dxa"/>
            </w:tcMar>
            <w:vAlign w:val="center"/>
          </w:tcPr>
          <w:p w14:paraId="394696D7">
            <w:pPr>
              <w:ind w:firstLine="0"/>
              <w:jc w:val="center"/>
            </w:pPr>
            <w:r>
              <w:rPr>
                <w:rFonts w:ascii="Times New Roman" w:hAnsi="Times New Roman" w:eastAsia="宋体"/>
                <w:sz w:val="17"/>
              </w:rPr>
              <w:t>0.9959</w:t>
            </w:r>
          </w:p>
        </w:tc>
        <w:tc>
          <w:tcPr>
            <w:tcW w:w="1814" w:type="dxa"/>
            <w:tcMar>
              <w:top w:w="70" w:type="dxa"/>
              <w:left w:w="70" w:type="dxa"/>
              <w:bottom w:w="70" w:type="dxa"/>
              <w:right w:w="70" w:type="dxa"/>
            </w:tcMar>
            <w:vAlign w:val="center"/>
          </w:tcPr>
          <w:p w14:paraId="2C26D61F">
            <w:pPr>
              <w:ind w:firstLine="0"/>
              <w:jc w:val="center"/>
            </w:pPr>
            <w:r>
              <w:rPr>
                <w:rFonts w:ascii="Times New Roman" w:hAnsi="Times New Roman" w:eastAsia="宋体"/>
                <w:sz w:val="17"/>
              </w:rPr>
              <w:t>0.9638</w:t>
            </w:r>
          </w:p>
        </w:tc>
      </w:tr>
      <w:tr w14:paraId="4E07104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361" w:type="dxa"/>
            <w:tcMar>
              <w:top w:w="70" w:type="dxa"/>
              <w:left w:w="70" w:type="dxa"/>
              <w:bottom w:w="70" w:type="dxa"/>
              <w:right w:w="70" w:type="dxa"/>
            </w:tcMar>
            <w:vAlign w:val="center"/>
          </w:tcPr>
          <w:p w14:paraId="03DF0C95">
            <w:pPr>
              <w:ind w:firstLine="0"/>
              <w:jc w:val="center"/>
            </w:pPr>
            <w:r>
              <w:rPr>
                <w:rFonts w:ascii="Times New Roman" w:hAnsi="Times New Roman" w:eastAsia="宋体"/>
                <w:sz w:val="17"/>
              </w:rPr>
              <w:t>medium</w:t>
            </w:r>
          </w:p>
        </w:tc>
        <w:tc>
          <w:tcPr>
            <w:tcW w:w="1247" w:type="dxa"/>
            <w:tcMar>
              <w:top w:w="70" w:type="dxa"/>
              <w:left w:w="70" w:type="dxa"/>
              <w:bottom w:w="70" w:type="dxa"/>
              <w:right w:w="70" w:type="dxa"/>
            </w:tcMar>
            <w:vAlign w:val="center"/>
          </w:tcPr>
          <w:p w14:paraId="660A0B4C">
            <w:pPr>
              <w:ind w:firstLine="0"/>
              <w:jc w:val="center"/>
            </w:pPr>
            <w:r>
              <w:rPr>
                <w:rFonts w:ascii="Times New Roman" w:hAnsi="Times New Roman" w:eastAsia="宋体"/>
                <w:sz w:val="17"/>
              </w:rPr>
              <w:t>4,414</w:t>
            </w:r>
          </w:p>
        </w:tc>
        <w:tc>
          <w:tcPr>
            <w:tcW w:w="1701" w:type="dxa"/>
            <w:tcMar>
              <w:top w:w="70" w:type="dxa"/>
              <w:left w:w="70" w:type="dxa"/>
              <w:bottom w:w="70" w:type="dxa"/>
              <w:right w:w="70" w:type="dxa"/>
            </w:tcMar>
            <w:vAlign w:val="center"/>
          </w:tcPr>
          <w:p w14:paraId="29BF1F68">
            <w:pPr>
              <w:ind w:firstLine="0"/>
              <w:jc w:val="center"/>
            </w:pPr>
            <w:r>
              <w:rPr>
                <w:rFonts w:ascii="Times New Roman" w:hAnsi="Times New Roman" w:eastAsia="宋体"/>
                <w:sz w:val="17"/>
              </w:rPr>
              <w:t>1.0000</w:t>
            </w:r>
          </w:p>
        </w:tc>
        <w:tc>
          <w:tcPr>
            <w:tcW w:w="1814" w:type="dxa"/>
            <w:tcMar>
              <w:top w:w="70" w:type="dxa"/>
              <w:left w:w="70" w:type="dxa"/>
              <w:bottom w:w="70" w:type="dxa"/>
              <w:right w:w="70" w:type="dxa"/>
            </w:tcMar>
            <w:vAlign w:val="center"/>
          </w:tcPr>
          <w:p w14:paraId="7D7B001D">
            <w:pPr>
              <w:ind w:firstLine="0"/>
              <w:jc w:val="center"/>
            </w:pPr>
            <w:r>
              <w:rPr>
                <w:rFonts w:ascii="Times New Roman" w:hAnsi="Times New Roman" w:eastAsia="宋体"/>
                <w:sz w:val="17"/>
              </w:rPr>
              <w:t>1.0000</w:t>
            </w:r>
          </w:p>
        </w:tc>
        <w:tc>
          <w:tcPr>
            <w:tcW w:w="1814" w:type="dxa"/>
            <w:tcMar>
              <w:top w:w="70" w:type="dxa"/>
              <w:left w:w="70" w:type="dxa"/>
              <w:bottom w:w="70" w:type="dxa"/>
              <w:right w:w="70" w:type="dxa"/>
            </w:tcMar>
            <w:vAlign w:val="center"/>
          </w:tcPr>
          <w:p w14:paraId="4B1C56AD">
            <w:pPr>
              <w:ind w:firstLine="0"/>
              <w:jc w:val="center"/>
            </w:pPr>
            <w:r>
              <w:rPr>
                <w:rFonts w:ascii="Times New Roman" w:hAnsi="Times New Roman" w:eastAsia="宋体"/>
                <w:sz w:val="17"/>
              </w:rPr>
              <w:t>0.5263</w:t>
            </w:r>
          </w:p>
        </w:tc>
      </w:tr>
      <w:tr w14:paraId="6B9ABFC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361" w:type="dxa"/>
            <w:tcMar>
              <w:top w:w="70" w:type="dxa"/>
              <w:left w:w="70" w:type="dxa"/>
              <w:bottom w:w="70" w:type="dxa"/>
              <w:right w:w="70" w:type="dxa"/>
            </w:tcMar>
            <w:vAlign w:val="center"/>
          </w:tcPr>
          <w:p w14:paraId="2A19046B">
            <w:pPr>
              <w:ind w:firstLine="0"/>
              <w:jc w:val="center"/>
            </w:pPr>
            <w:r>
              <w:rPr>
                <w:rFonts w:ascii="Times New Roman" w:hAnsi="Times New Roman" w:eastAsia="宋体"/>
                <w:sz w:val="17"/>
              </w:rPr>
              <w:t>heavy</w:t>
            </w:r>
          </w:p>
        </w:tc>
        <w:tc>
          <w:tcPr>
            <w:tcW w:w="1247" w:type="dxa"/>
            <w:tcMar>
              <w:top w:w="70" w:type="dxa"/>
              <w:left w:w="70" w:type="dxa"/>
              <w:bottom w:w="70" w:type="dxa"/>
              <w:right w:w="70" w:type="dxa"/>
            </w:tcMar>
            <w:vAlign w:val="center"/>
          </w:tcPr>
          <w:p w14:paraId="53F215EA">
            <w:pPr>
              <w:ind w:firstLine="0"/>
              <w:jc w:val="center"/>
            </w:pPr>
            <w:r>
              <w:rPr>
                <w:rFonts w:ascii="Times New Roman" w:hAnsi="Times New Roman" w:eastAsia="宋体"/>
                <w:sz w:val="17"/>
              </w:rPr>
              <w:t>4,414</w:t>
            </w:r>
          </w:p>
        </w:tc>
        <w:tc>
          <w:tcPr>
            <w:tcW w:w="1701" w:type="dxa"/>
            <w:tcMar>
              <w:top w:w="70" w:type="dxa"/>
              <w:left w:w="70" w:type="dxa"/>
              <w:bottom w:w="70" w:type="dxa"/>
              <w:right w:w="70" w:type="dxa"/>
            </w:tcMar>
            <w:vAlign w:val="center"/>
          </w:tcPr>
          <w:p w14:paraId="34559E11">
            <w:pPr>
              <w:ind w:firstLine="0"/>
              <w:jc w:val="center"/>
            </w:pPr>
            <w:r>
              <w:rPr>
                <w:rFonts w:ascii="Times New Roman" w:hAnsi="Times New Roman" w:eastAsia="宋体"/>
                <w:sz w:val="17"/>
              </w:rPr>
              <w:t>1.0000</w:t>
            </w:r>
          </w:p>
        </w:tc>
        <w:tc>
          <w:tcPr>
            <w:tcW w:w="1814" w:type="dxa"/>
            <w:tcMar>
              <w:top w:w="70" w:type="dxa"/>
              <w:left w:w="70" w:type="dxa"/>
              <w:bottom w:w="70" w:type="dxa"/>
              <w:right w:w="70" w:type="dxa"/>
            </w:tcMar>
            <w:vAlign w:val="center"/>
          </w:tcPr>
          <w:p w14:paraId="279B06CE">
            <w:pPr>
              <w:ind w:firstLine="0"/>
              <w:jc w:val="center"/>
            </w:pPr>
            <w:r>
              <w:rPr>
                <w:rFonts w:ascii="Times New Roman" w:hAnsi="Times New Roman" w:eastAsia="宋体"/>
                <w:sz w:val="17"/>
              </w:rPr>
              <w:t>1.0000</w:t>
            </w:r>
          </w:p>
        </w:tc>
        <w:tc>
          <w:tcPr>
            <w:tcW w:w="1814" w:type="dxa"/>
            <w:tcMar>
              <w:top w:w="70" w:type="dxa"/>
              <w:left w:w="70" w:type="dxa"/>
              <w:bottom w:w="70" w:type="dxa"/>
              <w:right w:w="70" w:type="dxa"/>
            </w:tcMar>
            <w:vAlign w:val="center"/>
          </w:tcPr>
          <w:p w14:paraId="723F1FE8">
            <w:pPr>
              <w:ind w:firstLine="0"/>
              <w:jc w:val="center"/>
            </w:pPr>
            <w:r>
              <w:rPr>
                <w:rFonts w:ascii="Times New Roman" w:hAnsi="Times New Roman" w:eastAsia="宋体"/>
                <w:sz w:val="17"/>
              </w:rPr>
              <w:t>0.9993</w:t>
            </w:r>
          </w:p>
        </w:tc>
      </w:tr>
    </w:tbl>
    <w:p w14:paraId="64A7CFBA">
      <w:pPr>
        <w:spacing w:after="0" w:line="360" w:lineRule="auto"/>
        <w:ind w:firstLine="420"/>
      </w:pPr>
      <w:r>
        <w:rPr>
          <w:rFonts w:ascii="Times New Roman" w:hAnsi="Times New Roman" w:eastAsia="宋体"/>
          <w:i w:val="0"/>
          <w:sz w:val="21"/>
        </w:rPr>
        <w:t>按severity分组后，medium组位深准确率仅为0.5263，而heavy组达到0.9993。结合位深混淆矩阵可见，主要误差集中在12 bit与10 bit之间：12 bit样本中有1,738条被预测为10 bit，10 bit样本中有488条被预测为12 bit；8 bit则几乎完全可分。因此，当前证据支持“深层统计能够表征噪声、SNR和带宽，并对位深提供总体可用但不均衡的判别信息”，不能笼统表述为所有退化属性均达到高精度。</w:t>
      </w:r>
    </w:p>
    <w:p w14:paraId="54ABF1C2">
      <w:pPr>
        <w:ind w:firstLine="0"/>
        <w:jc w:val="center"/>
      </w:pPr>
      <w:r>
        <w:drawing>
          <wp:inline distT="0" distB="0" distL="114300" distR="114300">
            <wp:extent cx="4607560" cy="36861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608000" cy="3686400"/>
                    </a:xfrm>
                    <a:prstGeom prst="rect">
                      <a:avLst/>
                    </a:prstGeom>
                  </pic:spPr>
                </pic:pic>
              </a:graphicData>
            </a:graphic>
          </wp:inline>
        </w:drawing>
      </w:r>
    </w:p>
    <w:p w14:paraId="357F236B">
      <w:pPr>
        <w:spacing w:before="60" w:after="120"/>
        <w:ind w:firstLine="0"/>
        <w:jc w:val="center"/>
      </w:pPr>
      <w:r>
        <w:rPr>
          <w:rFonts w:ascii="Times New Roman" w:hAnsi="Times New Roman" w:eastAsia="宋体"/>
          <w:sz w:val="21"/>
        </w:rPr>
        <w:t>图 4-1  噪声识别混淆矩阵</w:t>
      </w:r>
    </w:p>
    <w:p w14:paraId="0D22D2C7">
      <w:pPr>
        <w:ind w:firstLine="0"/>
        <w:jc w:val="center"/>
      </w:pPr>
      <w:r>
        <w:drawing>
          <wp:inline distT="0" distB="0" distL="114300" distR="114300">
            <wp:extent cx="4607560" cy="36861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608000" cy="3686400"/>
                    </a:xfrm>
                    <a:prstGeom prst="rect">
                      <a:avLst/>
                    </a:prstGeom>
                  </pic:spPr>
                </pic:pic>
              </a:graphicData>
            </a:graphic>
          </wp:inline>
        </w:drawing>
      </w:r>
    </w:p>
    <w:p w14:paraId="79BE43CA">
      <w:pPr>
        <w:spacing w:before="60" w:after="120"/>
        <w:ind w:firstLine="0"/>
        <w:jc w:val="center"/>
      </w:pPr>
      <w:r>
        <w:rPr>
          <w:rFonts w:ascii="Times New Roman" w:hAnsi="Times New Roman" w:eastAsia="宋体"/>
          <w:sz w:val="21"/>
        </w:rPr>
        <w:t>图 4-2  带宽分类混淆矩阵</w:t>
      </w:r>
    </w:p>
    <w:p w14:paraId="05D0D8DC">
      <w:pPr>
        <w:ind w:firstLine="0"/>
        <w:jc w:val="center"/>
      </w:pPr>
      <w:r>
        <w:drawing>
          <wp:inline distT="0" distB="0" distL="114300" distR="114300">
            <wp:extent cx="4607560" cy="36861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608000" cy="3686400"/>
                    </a:xfrm>
                    <a:prstGeom prst="rect">
                      <a:avLst/>
                    </a:prstGeom>
                  </pic:spPr>
                </pic:pic>
              </a:graphicData>
            </a:graphic>
          </wp:inline>
        </w:drawing>
      </w:r>
    </w:p>
    <w:p w14:paraId="46387182">
      <w:pPr>
        <w:spacing w:before="60" w:after="120"/>
        <w:ind w:firstLine="0"/>
        <w:jc w:val="center"/>
      </w:pPr>
      <w:r>
        <w:rPr>
          <w:rFonts w:ascii="Times New Roman" w:hAnsi="Times New Roman" w:eastAsia="宋体"/>
          <w:sz w:val="21"/>
        </w:rPr>
        <w:t>图 4-3  位深分类混淆矩阵</w:t>
      </w:r>
    </w:p>
    <w:p w14:paraId="22F33424">
      <w:pPr>
        <w:ind w:firstLine="0"/>
        <w:jc w:val="center"/>
      </w:pPr>
      <w:r>
        <w:drawing>
          <wp:inline distT="0" distB="0" distL="114300" distR="114300">
            <wp:extent cx="4607560" cy="46075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608000" cy="4608000"/>
                    </a:xfrm>
                    <a:prstGeom prst="rect">
                      <a:avLst/>
                    </a:prstGeom>
                  </pic:spPr>
                </pic:pic>
              </a:graphicData>
            </a:graphic>
          </wp:inline>
        </w:drawing>
      </w:r>
    </w:p>
    <w:p w14:paraId="17997C22">
      <w:pPr>
        <w:spacing w:before="60" w:after="120"/>
        <w:ind w:firstLine="0"/>
        <w:jc w:val="center"/>
      </w:pPr>
      <w:r>
        <w:rPr>
          <w:rFonts w:ascii="Times New Roman" w:hAnsi="Times New Roman" w:eastAsia="宋体"/>
          <w:sz w:val="21"/>
        </w:rPr>
        <w:t>图 4-4  SNR真实值与预测值散点图</w:t>
      </w:r>
    </w:p>
    <w:p w14:paraId="2396C14B">
      <w:pPr>
        <w:ind w:firstLine="0"/>
        <w:jc w:val="center"/>
      </w:pPr>
      <w:r>
        <w:drawing>
          <wp:inline distT="0" distB="0" distL="114300" distR="114300">
            <wp:extent cx="5399405" cy="1687195"/>
            <wp:effectExtent l="0" t="0" r="1079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00000" cy="1687500"/>
                    </a:xfrm>
                    <a:prstGeom prst="rect">
                      <a:avLst/>
                    </a:prstGeom>
                  </pic:spPr>
                </pic:pic>
              </a:graphicData>
            </a:graphic>
          </wp:inline>
        </w:drawing>
      </w:r>
    </w:p>
    <w:p w14:paraId="6FE32FD1">
      <w:pPr>
        <w:spacing w:before="60" w:after="120"/>
        <w:ind w:firstLine="0"/>
        <w:jc w:val="center"/>
      </w:pPr>
      <w:r>
        <w:rPr>
          <w:rFonts w:ascii="Times New Roman" w:hAnsi="Times New Roman" w:eastAsia="宋体"/>
          <w:sz w:val="21"/>
        </w:rPr>
        <w:t>图 4-5  退化诊断器训练与验证曲线</w:t>
      </w:r>
    </w:p>
    <w:p w14:paraId="56532A72">
      <w:pPr>
        <w:pStyle w:val="4"/>
        <w:ind w:firstLine="0"/>
      </w:pPr>
      <w:r>
        <w:rPr>
          <w:rFonts w:ascii="Times New Roman" w:hAnsi="Times New Roman" w:eastAsia="黑体"/>
          <w:b/>
          <w:sz w:val="28"/>
        </w:rPr>
        <w:t>4.3 系统级增强结果</w:t>
      </w:r>
    </w:p>
    <w:p w14:paraId="04EFB3D7">
      <w:pPr>
        <w:spacing w:after="0" w:line="360" w:lineRule="auto"/>
        <w:ind w:firstLine="420"/>
      </w:pPr>
      <w:r>
        <w:rPr>
          <w:rFonts w:ascii="Times New Roman" w:hAnsi="Times New Roman" w:eastAsia="宋体"/>
          <w:i w:val="0"/>
          <w:sz w:val="21"/>
        </w:rPr>
        <w:t>系统级结果比较Degraded、Base Enhancer、EDCR-V1与EDCR-V2-Initial。由于PESQ、STOI和ESTOI当前尚未完成统一全量评估，正式表格不再保留nan占位列，避免形成“指标已经计算但无结果”的误解。当前可稳定使用的指标为SI-SDR、LSD和HF-LSD。</w:t>
      </w:r>
    </w:p>
    <w:p w14:paraId="7D4D0C94">
      <w:pPr>
        <w:spacing w:before="60" w:after="120"/>
        <w:ind w:firstLine="0"/>
        <w:jc w:val="center"/>
      </w:pPr>
      <w:r>
        <w:rPr>
          <w:rFonts w:ascii="Times New Roman" w:hAnsi="Times New Roman" w:eastAsia="宋体"/>
          <w:sz w:val="21"/>
        </w:rPr>
        <w:t>表 4-4  系统级总体增强结果</w:t>
      </w:r>
    </w:p>
    <w:tbl>
      <w:tblPr>
        <w:tblStyle w:val="3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551"/>
        <w:gridCol w:w="1814"/>
        <w:gridCol w:w="1814"/>
        <w:gridCol w:w="1814"/>
      </w:tblGrid>
      <w:tr w14:paraId="495D50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2551" w:type="dxa"/>
            <w:shd w:val="clear" w:color="auto" w:fill="D9EAF7"/>
            <w:tcMar>
              <w:top w:w="70" w:type="dxa"/>
              <w:left w:w="70" w:type="dxa"/>
              <w:bottom w:w="70" w:type="dxa"/>
              <w:right w:w="70" w:type="dxa"/>
            </w:tcMar>
            <w:vAlign w:val="center"/>
          </w:tcPr>
          <w:p w14:paraId="06DE7FA5">
            <w:pPr>
              <w:ind w:firstLine="0"/>
              <w:jc w:val="center"/>
            </w:pPr>
            <w:r>
              <w:rPr>
                <w:rFonts w:ascii="Times New Roman" w:hAnsi="Times New Roman" w:eastAsia="黑体"/>
                <w:b/>
                <w:sz w:val="18"/>
              </w:rPr>
              <w:t>方法</w:t>
            </w:r>
          </w:p>
        </w:tc>
        <w:tc>
          <w:tcPr>
            <w:tcW w:w="1814" w:type="dxa"/>
            <w:shd w:val="clear" w:color="auto" w:fill="D9EAF7"/>
            <w:tcMar>
              <w:top w:w="70" w:type="dxa"/>
              <w:left w:w="70" w:type="dxa"/>
              <w:bottom w:w="70" w:type="dxa"/>
              <w:right w:w="70" w:type="dxa"/>
            </w:tcMar>
            <w:vAlign w:val="center"/>
          </w:tcPr>
          <w:p w14:paraId="7A0E1C0D">
            <w:pPr>
              <w:ind w:firstLine="0"/>
              <w:jc w:val="center"/>
            </w:pPr>
            <w:r>
              <w:rPr>
                <w:rFonts w:ascii="Times New Roman" w:hAnsi="Times New Roman" w:eastAsia="黑体"/>
                <w:b/>
                <w:sz w:val="18"/>
              </w:rPr>
              <w:t>SI-SDR↑ (dB)</w:t>
            </w:r>
          </w:p>
        </w:tc>
        <w:tc>
          <w:tcPr>
            <w:tcW w:w="1814" w:type="dxa"/>
            <w:shd w:val="clear" w:color="auto" w:fill="D9EAF7"/>
            <w:tcMar>
              <w:top w:w="70" w:type="dxa"/>
              <w:left w:w="70" w:type="dxa"/>
              <w:bottom w:w="70" w:type="dxa"/>
              <w:right w:w="70" w:type="dxa"/>
            </w:tcMar>
            <w:vAlign w:val="center"/>
          </w:tcPr>
          <w:p w14:paraId="72F8BB32">
            <w:pPr>
              <w:ind w:firstLine="0"/>
              <w:jc w:val="center"/>
            </w:pPr>
            <w:r>
              <w:rPr>
                <w:rFonts w:ascii="Times New Roman" w:hAnsi="Times New Roman" w:eastAsia="黑体"/>
                <w:b/>
                <w:sz w:val="18"/>
              </w:rPr>
              <w:t>LSD↓</w:t>
            </w:r>
          </w:p>
        </w:tc>
        <w:tc>
          <w:tcPr>
            <w:tcW w:w="1814" w:type="dxa"/>
            <w:shd w:val="clear" w:color="auto" w:fill="D9EAF7"/>
            <w:tcMar>
              <w:top w:w="70" w:type="dxa"/>
              <w:left w:w="70" w:type="dxa"/>
              <w:bottom w:w="70" w:type="dxa"/>
              <w:right w:w="70" w:type="dxa"/>
            </w:tcMar>
            <w:vAlign w:val="center"/>
          </w:tcPr>
          <w:p w14:paraId="21AB7FD0">
            <w:pPr>
              <w:ind w:firstLine="0"/>
              <w:jc w:val="center"/>
            </w:pPr>
            <w:r>
              <w:rPr>
                <w:rFonts w:ascii="Times New Roman" w:hAnsi="Times New Roman" w:eastAsia="黑体"/>
                <w:b/>
                <w:sz w:val="18"/>
              </w:rPr>
              <w:t>HF-LSD↓</w:t>
            </w:r>
          </w:p>
        </w:tc>
      </w:tr>
      <w:tr w14:paraId="52D1C2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551" w:type="dxa"/>
            <w:tcMar>
              <w:top w:w="70" w:type="dxa"/>
              <w:left w:w="70" w:type="dxa"/>
              <w:bottom w:w="70" w:type="dxa"/>
              <w:right w:w="70" w:type="dxa"/>
            </w:tcMar>
            <w:vAlign w:val="center"/>
          </w:tcPr>
          <w:p w14:paraId="77A00616">
            <w:pPr>
              <w:ind w:firstLine="0"/>
              <w:jc w:val="center"/>
            </w:pPr>
            <w:r>
              <w:rPr>
                <w:rFonts w:ascii="Times New Roman" w:hAnsi="Times New Roman" w:eastAsia="宋体"/>
                <w:sz w:val="18"/>
              </w:rPr>
              <w:t>Degraded</w:t>
            </w:r>
          </w:p>
        </w:tc>
        <w:tc>
          <w:tcPr>
            <w:tcW w:w="1814" w:type="dxa"/>
            <w:tcMar>
              <w:top w:w="70" w:type="dxa"/>
              <w:left w:w="70" w:type="dxa"/>
              <w:bottom w:w="70" w:type="dxa"/>
              <w:right w:w="70" w:type="dxa"/>
            </w:tcMar>
            <w:vAlign w:val="center"/>
          </w:tcPr>
          <w:p w14:paraId="4B687F96">
            <w:pPr>
              <w:ind w:firstLine="0"/>
              <w:jc w:val="center"/>
            </w:pPr>
            <w:r>
              <w:rPr>
                <w:rFonts w:ascii="Times New Roman" w:hAnsi="Times New Roman" w:eastAsia="宋体"/>
                <w:sz w:val="18"/>
              </w:rPr>
              <w:t>38.8261†</w:t>
            </w:r>
          </w:p>
        </w:tc>
        <w:tc>
          <w:tcPr>
            <w:tcW w:w="1814" w:type="dxa"/>
            <w:tcMar>
              <w:top w:w="70" w:type="dxa"/>
              <w:left w:w="70" w:type="dxa"/>
              <w:bottom w:w="70" w:type="dxa"/>
              <w:right w:w="70" w:type="dxa"/>
            </w:tcMar>
            <w:vAlign w:val="center"/>
          </w:tcPr>
          <w:p w14:paraId="7B4C5D03">
            <w:pPr>
              <w:ind w:firstLine="0"/>
              <w:jc w:val="center"/>
            </w:pPr>
            <w:r>
              <w:rPr>
                <w:rFonts w:ascii="Times New Roman" w:hAnsi="Times New Roman" w:eastAsia="宋体"/>
                <w:sz w:val="18"/>
              </w:rPr>
              <w:t>25.1856</w:t>
            </w:r>
          </w:p>
        </w:tc>
        <w:tc>
          <w:tcPr>
            <w:tcW w:w="1814" w:type="dxa"/>
            <w:tcMar>
              <w:top w:w="70" w:type="dxa"/>
              <w:left w:w="70" w:type="dxa"/>
              <w:bottom w:w="70" w:type="dxa"/>
              <w:right w:w="70" w:type="dxa"/>
            </w:tcMar>
            <w:vAlign w:val="center"/>
          </w:tcPr>
          <w:p w14:paraId="2F2D6A35">
            <w:pPr>
              <w:ind w:firstLine="0"/>
              <w:jc w:val="center"/>
            </w:pPr>
            <w:r>
              <w:rPr>
                <w:rFonts w:ascii="Times New Roman" w:hAnsi="Times New Roman" w:eastAsia="宋体"/>
                <w:sz w:val="18"/>
              </w:rPr>
              <w:t>27.9227</w:t>
            </w:r>
          </w:p>
        </w:tc>
      </w:tr>
      <w:tr w14:paraId="0FC249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551" w:type="dxa"/>
            <w:tcMar>
              <w:top w:w="70" w:type="dxa"/>
              <w:left w:w="70" w:type="dxa"/>
              <w:bottom w:w="70" w:type="dxa"/>
              <w:right w:w="70" w:type="dxa"/>
            </w:tcMar>
            <w:vAlign w:val="center"/>
          </w:tcPr>
          <w:p w14:paraId="237E1E8E">
            <w:pPr>
              <w:ind w:firstLine="0"/>
              <w:jc w:val="center"/>
            </w:pPr>
            <w:r>
              <w:rPr>
                <w:rFonts w:ascii="Times New Roman" w:hAnsi="Times New Roman" w:eastAsia="宋体"/>
                <w:sz w:val="18"/>
              </w:rPr>
              <w:t>Base Enhancer</w:t>
            </w:r>
          </w:p>
        </w:tc>
        <w:tc>
          <w:tcPr>
            <w:tcW w:w="1814" w:type="dxa"/>
            <w:tcMar>
              <w:top w:w="70" w:type="dxa"/>
              <w:left w:w="70" w:type="dxa"/>
              <w:bottom w:w="70" w:type="dxa"/>
              <w:right w:w="70" w:type="dxa"/>
            </w:tcMar>
            <w:vAlign w:val="center"/>
          </w:tcPr>
          <w:p w14:paraId="7EB7D070">
            <w:pPr>
              <w:ind w:firstLine="0"/>
              <w:jc w:val="center"/>
            </w:pPr>
            <w:r>
              <w:rPr>
                <w:rFonts w:ascii="Times New Roman" w:hAnsi="Times New Roman" w:eastAsia="宋体"/>
                <w:sz w:val="18"/>
              </w:rPr>
              <w:t>17.5035</w:t>
            </w:r>
          </w:p>
        </w:tc>
        <w:tc>
          <w:tcPr>
            <w:tcW w:w="1814" w:type="dxa"/>
            <w:tcMar>
              <w:top w:w="70" w:type="dxa"/>
              <w:left w:w="70" w:type="dxa"/>
              <w:bottom w:w="70" w:type="dxa"/>
              <w:right w:w="70" w:type="dxa"/>
            </w:tcMar>
            <w:vAlign w:val="center"/>
          </w:tcPr>
          <w:p w14:paraId="61F7119F">
            <w:pPr>
              <w:ind w:firstLine="0"/>
              <w:jc w:val="center"/>
            </w:pPr>
            <w:r>
              <w:rPr>
                <w:rFonts w:ascii="Times New Roman" w:hAnsi="Times New Roman" w:eastAsia="宋体"/>
                <w:sz w:val="18"/>
              </w:rPr>
              <w:t>13.0566</w:t>
            </w:r>
          </w:p>
        </w:tc>
        <w:tc>
          <w:tcPr>
            <w:tcW w:w="1814" w:type="dxa"/>
            <w:tcMar>
              <w:top w:w="70" w:type="dxa"/>
              <w:left w:w="70" w:type="dxa"/>
              <w:bottom w:w="70" w:type="dxa"/>
              <w:right w:w="70" w:type="dxa"/>
            </w:tcMar>
            <w:vAlign w:val="center"/>
          </w:tcPr>
          <w:p w14:paraId="7A9AA556">
            <w:pPr>
              <w:ind w:firstLine="0"/>
              <w:jc w:val="center"/>
            </w:pPr>
            <w:r>
              <w:rPr>
                <w:rFonts w:ascii="Times New Roman" w:hAnsi="Times New Roman" w:eastAsia="宋体"/>
                <w:sz w:val="18"/>
              </w:rPr>
              <w:t>13.8771</w:t>
            </w:r>
          </w:p>
        </w:tc>
      </w:tr>
      <w:tr w14:paraId="2947A1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551" w:type="dxa"/>
            <w:tcMar>
              <w:top w:w="70" w:type="dxa"/>
              <w:left w:w="70" w:type="dxa"/>
              <w:bottom w:w="70" w:type="dxa"/>
              <w:right w:w="70" w:type="dxa"/>
            </w:tcMar>
            <w:vAlign w:val="center"/>
          </w:tcPr>
          <w:p w14:paraId="6FF096BC">
            <w:pPr>
              <w:ind w:firstLine="0"/>
              <w:jc w:val="center"/>
            </w:pPr>
            <w:r>
              <w:rPr>
                <w:rFonts w:ascii="Times New Roman" w:hAnsi="Times New Roman" w:eastAsia="宋体"/>
                <w:sz w:val="18"/>
              </w:rPr>
              <w:t>EDCR-V1</w:t>
            </w:r>
          </w:p>
        </w:tc>
        <w:tc>
          <w:tcPr>
            <w:tcW w:w="1814" w:type="dxa"/>
            <w:tcMar>
              <w:top w:w="70" w:type="dxa"/>
              <w:left w:w="70" w:type="dxa"/>
              <w:bottom w:w="70" w:type="dxa"/>
              <w:right w:w="70" w:type="dxa"/>
            </w:tcMar>
            <w:vAlign w:val="center"/>
          </w:tcPr>
          <w:p w14:paraId="135FBB42">
            <w:pPr>
              <w:ind w:firstLine="0"/>
              <w:jc w:val="center"/>
            </w:pPr>
            <w:r>
              <w:rPr>
                <w:rFonts w:ascii="Times New Roman" w:hAnsi="Times New Roman" w:eastAsia="宋体"/>
                <w:sz w:val="18"/>
              </w:rPr>
              <w:t>17.4545</w:t>
            </w:r>
          </w:p>
        </w:tc>
        <w:tc>
          <w:tcPr>
            <w:tcW w:w="1814" w:type="dxa"/>
            <w:tcMar>
              <w:top w:w="70" w:type="dxa"/>
              <w:left w:w="70" w:type="dxa"/>
              <w:bottom w:w="70" w:type="dxa"/>
              <w:right w:w="70" w:type="dxa"/>
            </w:tcMar>
            <w:vAlign w:val="center"/>
          </w:tcPr>
          <w:p w14:paraId="67E0485F">
            <w:pPr>
              <w:ind w:firstLine="0"/>
              <w:jc w:val="center"/>
            </w:pPr>
            <w:r>
              <w:rPr>
                <w:rFonts w:ascii="Times New Roman" w:hAnsi="Times New Roman" w:eastAsia="宋体"/>
                <w:sz w:val="18"/>
              </w:rPr>
              <w:t>11.2007</w:t>
            </w:r>
          </w:p>
        </w:tc>
        <w:tc>
          <w:tcPr>
            <w:tcW w:w="1814" w:type="dxa"/>
            <w:tcMar>
              <w:top w:w="70" w:type="dxa"/>
              <w:left w:w="70" w:type="dxa"/>
              <w:bottom w:w="70" w:type="dxa"/>
              <w:right w:w="70" w:type="dxa"/>
            </w:tcMar>
            <w:vAlign w:val="center"/>
          </w:tcPr>
          <w:p w14:paraId="02BAAB4D">
            <w:pPr>
              <w:ind w:firstLine="0"/>
              <w:jc w:val="center"/>
            </w:pPr>
            <w:r>
              <w:rPr>
                <w:rFonts w:ascii="Times New Roman" w:hAnsi="Times New Roman" w:eastAsia="宋体"/>
                <w:sz w:val="18"/>
              </w:rPr>
              <w:t>11.4372</w:t>
            </w:r>
          </w:p>
        </w:tc>
      </w:tr>
      <w:tr w14:paraId="74BE60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551" w:type="dxa"/>
            <w:tcMar>
              <w:top w:w="70" w:type="dxa"/>
              <w:left w:w="70" w:type="dxa"/>
              <w:bottom w:w="70" w:type="dxa"/>
              <w:right w:w="70" w:type="dxa"/>
            </w:tcMar>
            <w:vAlign w:val="center"/>
          </w:tcPr>
          <w:p w14:paraId="5F6D0A1B">
            <w:pPr>
              <w:ind w:firstLine="0"/>
              <w:jc w:val="center"/>
            </w:pPr>
            <w:r>
              <w:rPr>
                <w:rFonts w:ascii="Times New Roman" w:hAnsi="Times New Roman" w:eastAsia="宋体"/>
                <w:sz w:val="18"/>
              </w:rPr>
              <w:t>EDCR-V2-Initial</w:t>
            </w:r>
          </w:p>
        </w:tc>
        <w:tc>
          <w:tcPr>
            <w:tcW w:w="1814" w:type="dxa"/>
            <w:tcMar>
              <w:top w:w="70" w:type="dxa"/>
              <w:left w:w="70" w:type="dxa"/>
              <w:bottom w:w="70" w:type="dxa"/>
              <w:right w:w="70" w:type="dxa"/>
            </w:tcMar>
            <w:vAlign w:val="center"/>
          </w:tcPr>
          <w:p w14:paraId="705558F8">
            <w:pPr>
              <w:ind w:firstLine="0"/>
              <w:jc w:val="center"/>
            </w:pPr>
            <w:r>
              <w:rPr>
                <w:rFonts w:ascii="Times New Roman" w:hAnsi="Times New Roman" w:eastAsia="宋体"/>
                <w:sz w:val="18"/>
              </w:rPr>
              <w:t>17.2194</w:t>
            </w:r>
          </w:p>
        </w:tc>
        <w:tc>
          <w:tcPr>
            <w:tcW w:w="1814" w:type="dxa"/>
            <w:tcMar>
              <w:top w:w="70" w:type="dxa"/>
              <w:left w:w="70" w:type="dxa"/>
              <w:bottom w:w="70" w:type="dxa"/>
              <w:right w:w="70" w:type="dxa"/>
            </w:tcMar>
            <w:vAlign w:val="center"/>
          </w:tcPr>
          <w:p w14:paraId="7D81A3A8">
            <w:pPr>
              <w:ind w:firstLine="0"/>
              <w:jc w:val="center"/>
            </w:pPr>
            <w:r>
              <w:rPr>
                <w:rFonts w:ascii="Times New Roman" w:hAnsi="Times New Roman" w:eastAsia="宋体"/>
                <w:sz w:val="18"/>
              </w:rPr>
              <w:t>11.6136</w:t>
            </w:r>
          </w:p>
        </w:tc>
        <w:tc>
          <w:tcPr>
            <w:tcW w:w="1814" w:type="dxa"/>
            <w:tcMar>
              <w:top w:w="70" w:type="dxa"/>
              <w:left w:w="70" w:type="dxa"/>
              <w:bottom w:w="70" w:type="dxa"/>
              <w:right w:w="70" w:type="dxa"/>
            </w:tcMar>
            <w:vAlign w:val="center"/>
          </w:tcPr>
          <w:p w14:paraId="062977CB">
            <w:pPr>
              <w:ind w:firstLine="0"/>
              <w:jc w:val="center"/>
            </w:pPr>
            <w:r>
              <w:rPr>
                <w:rFonts w:ascii="Times New Roman" w:hAnsi="Times New Roman" w:eastAsia="宋体"/>
                <w:sz w:val="18"/>
              </w:rPr>
              <w:t>12.5142</w:t>
            </w:r>
          </w:p>
        </w:tc>
      </w:tr>
    </w:tbl>
    <w:p w14:paraId="096FEFFD">
      <w:pPr>
        <w:spacing w:before="60" w:after="60"/>
        <w:ind w:left="283" w:right="283" w:firstLine="0"/>
      </w:pPr>
      <w:r>
        <w:rPr>
          <w:rFonts w:ascii="Times New Roman" w:hAnsi="Times New Roman" w:eastAsia="宋体"/>
          <w:i/>
          <w:color w:val="595959"/>
          <w:sz w:val="19"/>
        </w:rPr>
        <w:t>说明：† Degraded overall SI-SDR受clean组近乎恒等输入影响，不作为系统增强优劣的主结论。</w:t>
      </w:r>
    </w:p>
    <w:p w14:paraId="58518A69">
      <w:pPr>
        <w:spacing w:after="0" w:line="360" w:lineRule="auto"/>
        <w:ind w:firstLine="420"/>
      </w:pPr>
      <w:r>
        <w:rPr>
          <w:rFonts w:ascii="Times New Roman" w:hAnsi="Times New Roman" w:eastAsia="宋体"/>
          <w:i w:val="0"/>
          <w:sz w:val="21"/>
        </w:rPr>
        <w:t>相对于Base，V1将总体LSD由13.0566降至11.2007，下降14.21%；HF-LSD由13.8771降至11.4372，下降17.58%，而SI-SDR仅变化-0.049 dB。V2-Initial同样降低LSD和HF-LSD，降幅分别为11.05%和9.82%，但其总体SI-SDR下降0.284 dB，且频谱指标均弱于V1。由此可以确认条件残差模块具有降低频谱误差的能力，但当前V2尚未形成系统级整体优势。</w:t>
      </w:r>
    </w:p>
    <w:p w14:paraId="3D4F7DF2">
      <w:pPr>
        <w:spacing w:before="60" w:after="120"/>
        <w:ind w:firstLine="0"/>
        <w:jc w:val="center"/>
      </w:pPr>
      <w:r>
        <w:rPr>
          <w:rFonts w:ascii="Times New Roman" w:hAnsi="Times New Roman" w:eastAsia="宋体"/>
          <w:sz w:val="21"/>
        </w:rPr>
        <w:t>表 4-5  不同退化强度下的系统级增强结果</w:t>
      </w:r>
    </w:p>
    <w:tbl>
      <w:tblPr>
        <w:tblStyle w:val="3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247"/>
        <w:gridCol w:w="1814"/>
        <w:gridCol w:w="1701"/>
        <w:gridCol w:w="1701"/>
        <w:gridCol w:w="1814"/>
      </w:tblGrid>
      <w:tr w14:paraId="7E730E6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1247" w:type="dxa"/>
            <w:shd w:val="clear" w:color="auto" w:fill="D9EAF7"/>
            <w:tcMar>
              <w:top w:w="70" w:type="dxa"/>
              <w:left w:w="70" w:type="dxa"/>
              <w:bottom w:w="70" w:type="dxa"/>
              <w:right w:w="70" w:type="dxa"/>
            </w:tcMar>
            <w:vAlign w:val="center"/>
          </w:tcPr>
          <w:p w14:paraId="50FCA8C6">
            <w:pPr>
              <w:ind w:firstLine="0"/>
              <w:jc w:val="center"/>
            </w:pPr>
            <w:r>
              <w:rPr>
                <w:rFonts w:ascii="Times New Roman" w:hAnsi="Times New Roman" w:eastAsia="黑体"/>
                <w:b/>
                <w:sz w:val="16"/>
              </w:rPr>
              <w:t>Severity</w:t>
            </w:r>
          </w:p>
        </w:tc>
        <w:tc>
          <w:tcPr>
            <w:tcW w:w="1814" w:type="dxa"/>
            <w:shd w:val="clear" w:color="auto" w:fill="D9EAF7"/>
            <w:tcMar>
              <w:top w:w="70" w:type="dxa"/>
              <w:left w:w="70" w:type="dxa"/>
              <w:bottom w:w="70" w:type="dxa"/>
              <w:right w:w="70" w:type="dxa"/>
            </w:tcMar>
            <w:vAlign w:val="center"/>
          </w:tcPr>
          <w:p w14:paraId="50AA5EFA">
            <w:pPr>
              <w:ind w:firstLine="0"/>
              <w:jc w:val="center"/>
            </w:pPr>
            <w:r>
              <w:rPr>
                <w:rFonts w:ascii="Times New Roman" w:hAnsi="Times New Roman" w:eastAsia="黑体"/>
                <w:b/>
                <w:sz w:val="16"/>
              </w:rPr>
              <w:t>方法</w:t>
            </w:r>
          </w:p>
        </w:tc>
        <w:tc>
          <w:tcPr>
            <w:tcW w:w="1701" w:type="dxa"/>
            <w:shd w:val="clear" w:color="auto" w:fill="D9EAF7"/>
            <w:tcMar>
              <w:top w:w="70" w:type="dxa"/>
              <w:left w:w="70" w:type="dxa"/>
              <w:bottom w:w="70" w:type="dxa"/>
              <w:right w:w="70" w:type="dxa"/>
            </w:tcMar>
            <w:vAlign w:val="center"/>
          </w:tcPr>
          <w:p w14:paraId="154F81BD">
            <w:pPr>
              <w:ind w:firstLine="0"/>
              <w:jc w:val="center"/>
            </w:pPr>
            <w:r>
              <w:rPr>
                <w:rFonts w:ascii="Times New Roman" w:hAnsi="Times New Roman" w:eastAsia="黑体"/>
                <w:b/>
                <w:sz w:val="16"/>
              </w:rPr>
              <w:t>SI-SDR↑</w:t>
            </w:r>
          </w:p>
        </w:tc>
        <w:tc>
          <w:tcPr>
            <w:tcW w:w="1701" w:type="dxa"/>
            <w:shd w:val="clear" w:color="auto" w:fill="D9EAF7"/>
            <w:tcMar>
              <w:top w:w="70" w:type="dxa"/>
              <w:left w:w="70" w:type="dxa"/>
              <w:bottom w:w="70" w:type="dxa"/>
              <w:right w:w="70" w:type="dxa"/>
            </w:tcMar>
            <w:vAlign w:val="center"/>
          </w:tcPr>
          <w:p w14:paraId="0B53F257">
            <w:pPr>
              <w:ind w:firstLine="0"/>
              <w:jc w:val="center"/>
            </w:pPr>
            <w:r>
              <w:rPr>
                <w:rFonts w:ascii="Times New Roman" w:hAnsi="Times New Roman" w:eastAsia="黑体"/>
                <w:b/>
                <w:sz w:val="16"/>
              </w:rPr>
              <w:t>LSD↓</w:t>
            </w:r>
          </w:p>
        </w:tc>
        <w:tc>
          <w:tcPr>
            <w:tcW w:w="1814" w:type="dxa"/>
            <w:shd w:val="clear" w:color="auto" w:fill="D9EAF7"/>
            <w:tcMar>
              <w:top w:w="70" w:type="dxa"/>
              <w:left w:w="70" w:type="dxa"/>
              <w:bottom w:w="70" w:type="dxa"/>
              <w:right w:w="70" w:type="dxa"/>
            </w:tcMar>
            <w:vAlign w:val="center"/>
          </w:tcPr>
          <w:p w14:paraId="33FE4A8B">
            <w:pPr>
              <w:ind w:firstLine="0"/>
              <w:jc w:val="center"/>
            </w:pPr>
            <w:r>
              <w:rPr>
                <w:rFonts w:ascii="Times New Roman" w:hAnsi="Times New Roman" w:eastAsia="黑体"/>
                <w:b/>
                <w:sz w:val="16"/>
              </w:rPr>
              <w:t>HF-LSD↓</w:t>
            </w:r>
          </w:p>
        </w:tc>
      </w:tr>
      <w:tr w14:paraId="71A1ED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tcMar>
              <w:top w:w="70" w:type="dxa"/>
              <w:left w:w="70" w:type="dxa"/>
              <w:bottom w:w="70" w:type="dxa"/>
              <w:right w:w="70" w:type="dxa"/>
            </w:tcMar>
            <w:vAlign w:val="center"/>
          </w:tcPr>
          <w:p w14:paraId="58BEA69D">
            <w:pPr>
              <w:ind w:firstLine="0"/>
              <w:jc w:val="center"/>
            </w:pPr>
            <w:r>
              <w:rPr>
                <w:rFonts w:ascii="Times New Roman" w:hAnsi="Times New Roman" w:eastAsia="宋体"/>
                <w:sz w:val="16"/>
              </w:rPr>
              <w:t>clean</w:t>
            </w:r>
          </w:p>
        </w:tc>
        <w:tc>
          <w:tcPr>
            <w:tcW w:w="1814" w:type="dxa"/>
            <w:tcMar>
              <w:top w:w="70" w:type="dxa"/>
              <w:left w:w="70" w:type="dxa"/>
              <w:bottom w:w="70" w:type="dxa"/>
              <w:right w:w="70" w:type="dxa"/>
            </w:tcMar>
            <w:vAlign w:val="center"/>
          </w:tcPr>
          <w:p w14:paraId="7C4CF450">
            <w:pPr>
              <w:ind w:firstLine="0"/>
              <w:jc w:val="center"/>
            </w:pPr>
            <w:r>
              <w:rPr>
                <w:rFonts w:ascii="Times New Roman" w:hAnsi="Times New Roman" w:eastAsia="宋体"/>
                <w:sz w:val="16"/>
              </w:rPr>
              <w:t>Degraded</w:t>
            </w:r>
          </w:p>
        </w:tc>
        <w:tc>
          <w:tcPr>
            <w:tcW w:w="1701" w:type="dxa"/>
            <w:tcMar>
              <w:top w:w="70" w:type="dxa"/>
              <w:left w:w="70" w:type="dxa"/>
              <w:bottom w:w="70" w:type="dxa"/>
              <w:right w:w="70" w:type="dxa"/>
            </w:tcMar>
            <w:vAlign w:val="center"/>
          </w:tcPr>
          <w:p w14:paraId="470DC90A">
            <w:pPr>
              <w:ind w:firstLine="0"/>
              <w:jc w:val="center"/>
            </w:pPr>
            <w:r>
              <w:rPr>
                <w:rFonts w:ascii="Times New Roman" w:hAnsi="Times New Roman" w:eastAsia="宋体"/>
                <w:sz w:val="16"/>
              </w:rPr>
              <w:t>104.1635</w:t>
            </w:r>
          </w:p>
        </w:tc>
        <w:tc>
          <w:tcPr>
            <w:tcW w:w="1701" w:type="dxa"/>
            <w:tcMar>
              <w:top w:w="70" w:type="dxa"/>
              <w:left w:w="70" w:type="dxa"/>
              <w:bottom w:w="70" w:type="dxa"/>
              <w:right w:w="70" w:type="dxa"/>
            </w:tcMar>
            <w:vAlign w:val="center"/>
          </w:tcPr>
          <w:p w14:paraId="2A21E577">
            <w:pPr>
              <w:ind w:firstLine="0"/>
              <w:jc w:val="center"/>
            </w:pPr>
            <w:r>
              <w:rPr>
                <w:rFonts w:ascii="Times New Roman" w:hAnsi="Times New Roman" w:eastAsia="宋体"/>
                <w:sz w:val="16"/>
              </w:rPr>
              <w:t>8.3942</w:t>
            </w:r>
          </w:p>
        </w:tc>
        <w:tc>
          <w:tcPr>
            <w:tcW w:w="1814" w:type="dxa"/>
            <w:tcMar>
              <w:top w:w="70" w:type="dxa"/>
              <w:left w:w="70" w:type="dxa"/>
              <w:bottom w:w="70" w:type="dxa"/>
              <w:right w:w="70" w:type="dxa"/>
            </w:tcMar>
            <w:vAlign w:val="center"/>
          </w:tcPr>
          <w:p w14:paraId="24A00FAB">
            <w:pPr>
              <w:ind w:firstLine="0"/>
              <w:jc w:val="center"/>
            </w:pPr>
            <w:r>
              <w:rPr>
                <w:rFonts w:ascii="Times New Roman" w:hAnsi="Times New Roman" w:eastAsia="宋体"/>
                <w:sz w:val="16"/>
              </w:rPr>
              <w:t>8.3941</w:t>
            </w:r>
          </w:p>
        </w:tc>
      </w:tr>
      <w:tr w14:paraId="2CE7CA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tcMar>
              <w:top w:w="70" w:type="dxa"/>
              <w:left w:w="70" w:type="dxa"/>
              <w:bottom w:w="70" w:type="dxa"/>
              <w:right w:w="70" w:type="dxa"/>
            </w:tcMar>
            <w:vAlign w:val="center"/>
          </w:tcPr>
          <w:p w14:paraId="7594FCA9">
            <w:pPr>
              <w:ind w:firstLine="0"/>
              <w:jc w:val="center"/>
            </w:pPr>
            <w:r>
              <w:rPr>
                <w:rFonts w:ascii="Times New Roman" w:hAnsi="Times New Roman" w:eastAsia="宋体"/>
                <w:sz w:val="16"/>
              </w:rPr>
              <w:t>clean</w:t>
            </w:r>
          </w:p>
        </w:tc>
        <w:tc>
          <w:tcPr>
            <w:tcW w:w="1814" w:type="dxa"/>
            <w:tcMar>
              <w:top w:w="70" w:type="dxa"/>
              <w:left w:w="70" w:type="dxa"/>
              <w:bottom w:w="70" w:type="dxa"/>
              <w:right w:w="70" w:type="dxa"/>
            </w:tcMar>
            <w:vAlign w:val="center"/>
          </w:tcPr>
          <w:p w14:paraId="1AE2ECF8">
            <w:pPr>
              <w:ind w:firstLine="0"/>
              <w:jc w:val="center"/>
            </w:pPr>
            <w:r>
              <w:rPr>
                <w:rFonts w:ascii="Times New Roman" w:hAnsi="Times New Roman" w:eastAsia="宋体"/>
                <w:sz w:val="16"/>
              </w:rPr>
              <w:t>Base</w:t>
            </w:r>
          </w:p>
        </w:tc>
        <w:tc>
          <w:tcPr>
            <w:tcW w:w="1701" w:type="dxa"/>
            <w:tcMar>
              <w:top w:w="70" w:type="dxa"/>
              <w:left w:w="70" w:type="dxa"/>
              <w:bottom w:w="70" w:type="dxa"/>
              <w:right w:w="70" w:type="dxa"/>
            </w:tcMar>
            <w:vAlign w:val="center"/>
          </w:tcPr>
          <w:p w14:paraId="7F8EFCC7">
            <w:pPr>
              <w:ind w:firstLine="0"/>
              <w:jc w:val="center"/>
            </w:pPr>
            <w:r>
              <w:rPr>
                <w:rFonts w:ascii="Times New Roman" w:hAnsi="Times New Roman" w:eastAsia="宋体"/>
                <w:sz w:val="16"/>
              </w:rPr>
              <w:t>20.3463</w:t>
            </w:r>
          </w:p>
        </w:tc>
        <w:tc>
          <w:tcPr>
            <w:tcW w:w="1701" w:type="dxa"/>
            <w:tcMar>
              <w:top w:w="70" w:type="dxa"/>
              <w:left w:w="70" w:type="dxa"/>
              <w:bottom w:w="70" w:type="dxa"/>
              <w:right w:w="70" w:type="dxa"/>
            </w:tcMar>
            <w:vAlign w:val="center"/>
          </w:tcPr>
          <w:p w14:paraId="7587BB3E">
            <w:pPr>
              <w:ind w:firstLine="0"/>
              <w:jc w:val="center"/>
            </w:pPr>
            <w:r>
              <w:rPr>
                <w:rFonts w:ascii="Times New Roman" w:hAnsi="Times New Roman" w:eastAsia="宋体"/>
                <w:sz w:val="16"/>
              </w:rPr>
              <w:t>11.3605</w:t>
            </w:r>
          </w:p>
        </w:tc>
        <w:tc>
          <w:tcPr>
            <w:tcW w:w="1814" w:type="dxa"/>
            <w:tcMar>
              <w:top w:w="70" w:type="dxa"/>
              <w:left w:w="70" w:type="dxa"/>
              <w:bottom w:w="70" w:type="dxa"/>
              <w:right w:w="70" w:type="dxa"/>
            </w:tcMar>
            <w:vAlign w:val="center"/>
          </w:tcPr>
          <w:p w14:paraId="0E3A61C2">
            <w:pPr>
              <w:ind w:firstLine="0"/>
              <w:jc w:val="center"/>
            </w:pPr>
            <w:r>
              <w:rPr>
                <w:rFonts w:ascii="Times New Roman" w:hAnsi="Times New Roman" w:eastAsia="宋体"/>
                <w:sz w:val="16"/>
              </w:rPr>
              <w:t>11.6528</w:t>
            </w:r>
          </w:p>
        </w:tc>
      </w:tr>
      <w:tr w14:paraId="715DBA0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tcMar>
              <w:top w:w="70" w:type="dxa"/>
              <w:left w:w="70" w:type="dxa"/>
              <w:bottom w:w="70" w:type="dxa"/>
              <w:right w:w="70" w:type="dxa"/>
            </w:tcMar>
            <w:vAlign w:val="center"/>
          </w:tcPr>
          <w:p w14:paraId="40DDC847">
            <w:pPr>
              <w:ind w:firstLine="0"/>
              <w:jc w:val="center"/>
            </w:pPr>
            <w:r>
              <w:rPr>
                <w:rFonts w:ascii="Times New Roman" w:hAnsi="Times New Roman" w:eastAsia="宋体"/>
                <w:sz w:val="16"/>
              </w:rPr>
              <w:t>clean</w:t>
            </w:r>
          </w:p>
        </w:tc>
        <w:tc>
          <w:tcPr>
            <w:tcW w:w="1814" w:type="dxa"/>
            <w:tcMar>
              <w:top w:w="70" w:type="dxa"/>
              <w:left w:w="70" w:type="dxa"/>
              <w:bottom w:w="70" w:type="dxa"/>
              <w:right w:w="70" w:type="dxa"/>
            </w:tcMar>
            <w:vAlign w:val="center"/>
          </w:tcPr>
          <w:p w14:paraId="620C761F">
            <w:pPr>
              <w:ind w:firstLine="0"/>
              <w:jc w:val="center"/>
            </w:pPr>
            <w:r>
              <w:rPr>
                <w:rFonts w:ascii="Times New Roman" w:hAnsi="Times New Roman" w:eastAsia="宋体"/>
                <w:sz w:val="16"/>
              </w:rPr>
              <w:t>V1</w:t>
            </w:r>
          </w:p>
        </w:tc>
        <w:tc>
          <w:tcPr>
            <w:tcW w:w="1701" w:type="dxa"/>
            <w:tcMar>
              <w:top w:w="70" w:type="dxa"/>
              <w:left w:w="70" w:type="dxa"/>
              <w:bottom w:w="70" w:type="dxa"/>
              <w:right w:w="70" w:type="dxa"/>
            </w:tcMar>
            <w:vAlign w:val="center"/>
          </w:tcPr>
          <w:p w14:paraId="20DC69F7">
            <w:pPr>
              <w:ind w:firstLine="0"/>
              <w:jc w:val="center"/>
            </w:pPr>
            <w:r>
              <w:rPr>
                <w:rFonts w:ascii="Times New Roman" w:hAnsi="Times New Roman" w:eastAsia="宋体"/>
                <w:sz w:val="16"/>
              </w:rPr>
              <w:t>20.0131</w:t>
            </w:r>
          </w:p>
        </w:tc>
        <w:tc>
          <w:tcPr>
            <w:tcW w:w="1701" w:type="dxa"/>
            <w:tcMar>
              <w:top w:w="70" w:type="dxa"/>
              <w:left w:w="70" w:type="dxa"/>
              <w:bottom w:w="70" w:type="dxa"/>
              <w:right w:w="70" w:type="dxa"/>
            </w:tcMar>
            <w:vAlign w:val="center"/>
          </w:tcPr>
          <w:p w14:paraId="63537F01">
            <w:pPr>
              <w:ind w:firstLine="0"/>
              <w:jc w:val="center"/>
            </w:pPr>
            <w:r>
              <w:rPr>
                <w:rFonts w:ascii="Times New Roman" w:hAnsi="Times New Roman" w:eastAsia="宋体"/>
                <w:sz w:val="16"/>
              </w:rPr>
              <w:t>7.4350</w:t>
            </w:r>
          </w:p>
        </w:tc>
        <w:tc>
          <w:tcPr>
            <w:tcW w:w="1814" w:type="dxa"/>
            <w:tcMar>
              <w:top w:w="70" w:type="dxa"/>
              <w:left w:w="70" w:type="dxa"/>
              <w:bottom w:w="70" w:type="dxa"/>
              <w:right w:w="70" w:type="dxa"/>
            </w:tcMar>
            <w:vAlign w:val="center"/>
          </w:tcPr>
          <w:p w14:paraId="1C939CF7">
            <w:pPr>
              <w:ind w:firstLine="0"/>
              <w:jc w:val="center"/>
            </w:pPr>
            <w:r>
              <w:rPr>
                <w:rFonts w:ascii="Times New Roman" w:hAnsi="Times New Roman" w:eastAsia="宋体"/>
                <w:sz w:val="16"/>
              </w:rPr>
              <w:t>6.6472</w:t>
            </w:r>
          </w:p>
        </w:tc>
      </w:tr>
      <w:tr w14:paraId="0E5412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tcMar>
              <w:top w:w="70" w:type="dxa"/>
              <w:left w:w="70" w:type="dxa"/>
              <w:bottom w:w="70" w:type="dxa"/>
              <w:right w:w="70" w:type="dxa"/>
            </w:tcMar>
            <w:vAlign w:val="center"/>
          </w:tcPr>
          <w:p w14:paraId="6C9C464F">
            <w:pPr>
              <w:ind w:firstLine="0"/>
              <w:jc w:val="center"/>
            </w:pPr>
            <w:r>
              <w:rPr>
                <w:rFonts w:ascii="Times New Roman" w:hAnsi="Times New Roman" w:eastAsia="宋体"/>
                <w:sz w:val="16"/>
              </w:rPr>
              <w:t>clean</w:t>
            </w:r>
          </w:p>
        </w:tc>
        <w:tc>
          <w:tcPr>
            <w:tcW w:w="1814" w:type="dxa"/>
            <w:tcMar>
              <w:top w:w="70" w:type="dxa"/>
              <w:left w:w="70" w:type="dxa"/>
              <w:bottom w:w="70" w:type="dxa"/>
              <w:right w:w="70" w:type="dxa"/>
            </w:tcMar>
            <w:vAlign w:val="center"/>
          </w:tcPr>
          <w:p w14:paraId="38E84A7D">
            <w:pPr>
              <w:ind w:firstLine="0"/>
              <w:jc w:val="center"/>
            </w:pPr>
            <w:r>
              <w:rPr>
                <w:rFonts w:ascii="Times New Roman" w:hAnsi="Times New Roman" w:eastAsia="宋体"/>
                <w:sz w:val="16"/>
              </w:rPr>
              <w:t>V2-Initial</w:t>
            </w:r>
          </w:p>
        </w:tc>
        <w:tc>
          <w:tcPr>
            <w:tcW w:w="1701" w:type="dxa"/>
            <w:tcMar>
              <w:top w:w="70" w:type="dxa"/>
              <w:left w:w="70" w:type="dxa"/>
              <w:bottom w:w="70" w:type="dxa"/>
              <w:right w:w="70" w:type="dxa"/>
            </w:tcMar>
            <w:vAlign w:val="center"/>
          </w:tcPr>
          <w:p w14:paraId="040B4541">
            <w:pPr>
              <w:ind w:firstLine="0"/>
              <w:jc w:val="center"/>
            </w:pPr>
            <w:r>
              <w:rPr>
                <w:rFonts w:ascii="Times New Roman" w:hAnsi="Times New Roman" w:eastAsia="宋体"/>
                <w:sz w:val="16"/>
              </w:rPr>
              <w:t>19.7602</w:t>
            </w:r>
          </w:p>
        </w:tc>
        <w:tc>
          <w:tcPr>
            <w:tcW w:w="1701" w:type="dxa"/>
            <w:tcMar>
              <w:top w:w="70" w:type="dxa"/>
              <w:left w:w="70" w:type="dxa"/>
              <w:bottom w:w="70" w:type="dxa"/>
              <w:right w:w="70" w:type="dxa"/>
            </w:tcMar>
            <w:vAlign w:val="center"/>
          </w:tcPr>
          <w:p w14:paraId="682570CF">
            <w:pPr>
              <w:ind w:firstLine="0"/>
              <w:jc w:val="center"/>
            </w:pPr>
            <w:r>
              <w:rPr>
                <w:rFonts w:ascii="Times New Roman" w:hAnsi="Times New Roman" w:eastAsia="宋体"/>
                <w:sz w:val="16"/>
              </w:rPr>
              <w:t>7.8858</w:t>
            </w:r>
          </w:p>
        </w:tc>
        <w:tc>
          <w:tcPr>
            <w:tcW w:w="1814" w:type="dxa"/>
            <w:tcMar>
              <w:top w:w="70" w:type="dxa"/>
              <w:left w:w="70" w:type="dxa"/>
              <w:bottom w:w="70" w:type="dxa"/>
              <w:right w:w="70" w:type="dxa"/>
            </w:tcMar>
            <w:vAlign w:val="center"/>
          </w:tcPr>
          <w:p w14:paraId="680F01B5">
            <w:pPr>
              <w:ind w:firstLine="0"/>
              <w:jc w:val="center"/>
            </w:pPr>
            <w:r>
              <w:rPr>
                <w:rFonts w:ascii="Times New Roman" w:hAnsi="Times New Roman" w:eastAsia="宋体"/>
                <w:sz w:val="16"/>
              </w:rPr>
              <w:t>7.5574</w:t>
            </w:r>
          </w:p>
        </w:tc>
      </w:tr>
      <w:tr w14:paraId="028A95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tcMar>
              <w:top w:w="70" w:type="dxa"/>
              <w:left w:w="70" w:type="dxa"/>
              <w:bottom w:w="70" w:type="dxa"/>
              <w:right w:w="70" w:type="dxa"/>
            </w:tcMar>
            <w:vAlign w:val="center"/>
          </w:tcPr>
          <w:p w14:paraId="5ACB90A6">
            <w:pPr>
              <w:ind w:firstLine="0"/>
              <w:jc w:val="center"/>
            </w:pPr>
            <w:r>
              <w:rPr>
                <w:rFonts w:ascii="Times New Roman" w:hAnsi="Times New Roman" w:eastAsia="宋体"/>
                <w:sz w:val="16"/>
              </w:rPr>
              <w:t>light</w:t>
            </w:r>
          </w:p>
        </w:tc>
        <w:tc>
          <w:tcPr>
            <w:tcW w:w="1814" w:type="dxa"/>
            <w:tcMar>
              <w:top w:w="70" w:type="dxa"/>
              <w:left w:w="70" w:type="dxa"/>
              <w:bottom w:w="70" w:type="dxa"/>
              <w:right w:w="70" w:type="dxa"/>
            </w:tcMar>
            <w:vAlign w:val="center"/>
          </w:tcPr>
          <w:p w14:paraId="3CB95C06">
            <w:pPr>
              <w:ind w:firstLine="0"/>
              <w:jc w:val="center"/>
            </w:pPr>
            <w:r>
              <w:rPr>
                <w:rFonts w:ascii="Times New Roman" w:hAnsi="Times New Roman" w:eastAsia="宋体"/>
                <w:sz w:val="16"/>
              </w:rPr>
              <w:t>Degraded</w:t>
            </w:r>
          </w:p>
        </w:tc>
        <w:tc>
          <w:tcPr>
            <w:tcW w:w="1701" w:type="dxa"/>
            <w:tcMar>
              <w:top w:w="70" w:type="dxa"/>
              <w:left w:w="70" w:type="dxa"/>
              <w:bottom w:w="70" w:type="dxa"/>
              <w:right w:w="70" w:type="dxa"/>
            </w:tcMar>
            <w:vAlign w:val="center"/>
          </w:tcPr>
          <w:p w14:paraId="29CAA9CD">
            <w:pPr>
              <w:ind w:firstLine="0"/>
              <w:jc w:val="center"/>
            </w:pPr>
            <w:r>
              <w:rPr>
                <w:rFonts w:ascii="Times New Roman" w:hAnsi="Times New Roman" w:eastAsia="宋体"/>
                <w:sz w:val="16"/>
              </w:rPr>
              <w:t>27.2667</w:t>
            </w:r>
          </w:p>
        </w:tc>
        <w:tc>
          <w:tcPr>
            <w:tcW w:w="1701" w:type="dxa"/>
            <w:tcMar>
              <w:top w:w="70" w:type="dxa"/>
              <w:left w:w="70" w:type="dxa"/>
              <w:bottom w:w="70" w:type="dxa"/>
              <w:right w:w="70" w:type="dxa"/>
            </w:tcMar>
            <w:vAlign w:val="center"/>
          </w:tcPr>
          <w:p w14:paraId="3C374E12">
            <w:pPr>
              <w:ind w:firstLine="0"/>
              <w:jc w:val="center"/>
            </w:pPr>
            <w:r>
              <w:rPr>
                <w:rFonts w:ascii="Times New Roman" w:hAnsi="Times New Roman" w:eastAsia="宋体"/>
                <w:sz w:val="16"/>
              </w:rPr>
              <w:t>16.3285</w:t>
            </w:r>
          </w:p>
        </w:tc>
        <w:tc>
          <w:tcPr>
            <w:tcW w:w="1814" w:type="dxa"/>
            <w:tcMar>
              <w:top w:w="70" w:type="dxa"/>
              <w:left w:w="70" w:type="dxa"/>
              <w:bottom w:w="70" w:type="dxa"/>
              <w:right w:w="70" w:type="dxa"/>
            </w:tcMar>
            <w:vAlign w:val="center"/>
          </w:tcPr>
          <w:p w14:paraId="30627F9B">
            <w:pPr>
              <w:ind w:firstLine="0"/>
              <w:jc w:val="center"/>
            </w:pPr>
            <w:r>
              <w:rPr>
                <w:rFonts w:ascii="Times New Roman" w:hAnsi="Times New Roman" w:eastAsia="宋体"/>
                <w:sz w:val="16"/>
              </w:rPr>
              <w:t>17.8798</w:t>
            </w:r>
          </w:p>
        </w:tc>
      </w:tr>
      <w:tr w14:paraId="56FDBD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tcMar>
              <w:top w:w="70" w:type="dxa"/>
              <w:left w:w="70" w:type="dxa"/>
              <w:bottom w:w="70" w:type="dxa"/>
              <w:right w:w="70" w:type="dxa"/>
            </w:tcMar>
            <w:vAlign w:val="center"/>
          </w:tcPr>
          <w:p w14:paraId="23EAC280">
            <w:pPr>
              <w:ind w:firstLine="0"/>
              <w:jc w:val="center"/>
            </w:pPr>
            <w:r>
              <w:rPr>
                <w:rFonts w:ascii="Times New Roman" w:hAnsi="Times New Roman" w:eastAsia="宋体"/>
                <w:sz w:val="16"/>
              </w:rPr>
              <w:t>light</w:t>
            </w:r>
          </w:p>
        </w:tc>
        <w:tc>
          <w:tcPr>
            <w:tcW w:w="1814" w:type="dxa"/>
            <w:tcMar>
              <w:top w:w="70" w:type="dxa"/>
              <w:left w:w="70" w:type="dxa"/>
              <w:bottom w:w="70" w:type="dxa"/>
              <w:right w:w="70" w:type="dxa"/>
            </w:tcMar>
            <w:vAlign w:val="center"/>
          </w:tcPr>
          <w:p w14:paraId="08CF4595">
            <w:pPr>
              <w:ind w:firstLine="0"/>
              <w:jc w:val="center"/>
            </w:pPr>
            <w:r>
              <w:rPr>
                <w:rFonts w:ascii="Times New Roman" w:hAnsi="Times New Roman" w:eastAsia="宋体"/>
                <w:sz w:val="16"/>
              </w:rPr>
              <w:t>Base</w:t>
            </w:r>
          </w:p>
        </w:tc>
        <w:tc>
          <w:tcPr>
            <w:tcW w:w="1701" w:type="dxa"/>
            <w:tcMar>
              <w:top w:w="70" w:type="dxa"/>
              <w:left w:w="70" w:type="dxa"/>
              <w:bottom w:w="70" w:type="dxa"/>
              <w:right w:w="70" w:type="dxa"/>
            </w:tcMar>
            <w:vAlign w:val="center"/>
          </w:tcPr>
          <w:p w14:paraId="2582E48B">
            <w:pPr>
              <w:ind w:firstLine="0"/>
              <w:jc w:val="center"/>
            </w:pPr>
            <w:r>
              <w:rPr>
                <w:rFonts w:ascii="Times New Roman" w:hAnsi="Times New Roman" w:eastAsia="宋体"/>
                <w:sz w:val="16"/>
              </w:rPr>
              <w:t>18.7508</w:t>
            </w:r>
          </w:p>
        </w:tc>
        <w:tc>
          <w:tcPr>
            <w:tcW w:w="1701" w:type="dxa"/>
            <w:tcMar>
              <w:top w:w="70" w:type="dxa"/>
              <w:left w:w="70" w:type="dxa"/>
              <w:bottom w:w="70" w:type="dxa"/>
              <w:right w:w="70" w:type="dxa"/>
            </w:tcMar>
            <w:vAlign w:val="center"/>
          </w:tcPr>
          <w:p w14:paraId="073FEBB7">
            <w:pPr>
              <w:ind w:firstLine="0"/>
              <w:jc w:val="center"/>
            </w:pPr>
            <w:r>
              <w:rPr>
                <w:rFonts w:ascii="Times New Roman" w:hAnsi="Times New Roman" w:eastAsia="宋体"/>
                <w:sz w:val="16"/>
              </w:rPr>
              <w:t>14.0370</w:t>
            </w:r>
          </w:p>
        </w:tc>
        <w:tc>
          <w:tcPr>
            <w:tcW w:w="1814" w:type="dxa"/>
            <w:tcMar>
              <w:top w:w="70" w:type="dxa"/>
              <w:left w:w="70" w:type="dxa"/>
              <w:bottom w:w="70" w:type="dxa"/>
              <w:right w:w="70" w:type="dxa"/>
            </w:tcMar>
            <w:vAlign w:val="center"/>
          </w:tcPr>
          <w:p w14:paraId="374531BC">
            <w:pPr>
              <w:ind w:firstLine="0"/>
              <w:jc w:val="center"/>
            </w:pPr>
            <w:r>
              <w:rPr>
                <w:rFonts w:ascii="Times New Roman" w:hAnsi="Times New Roman" w:eastAsia="宋体"/>
                <w:sz w:val="16"/>
              </w:rPr>
              <w:t>16.0199</w:t>
            </w:r>
          </w:p>
        </w:tc>
      </w:tr>
      <w:tr w14:paraId="6F19112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tcMar>
              <w:top w:w="70" w:type="dxa"/>
              <w:left w:w="70" w:type="dxa"/>
              <w:bottom w:w="70" w:type="dxa"/>
              <w:right w:w="70" w:type="dxa"/>
            </w:tcMar>
            <w:vAlign w:val="center"/>
          </w:tcPr>
          <w:p w14:paraId="0E1D7567">
            <w:pPr>
              <w:ind w:firstLine="0"/>
              <w:jc w:val="center"/>
            </w:pPr>
            <w:r>
              <w:rPr>
                <w:rFonts w:ascii="Times New Roman" w:hAnsi="Times New Roman" w:eastAsia="宋体"/>
                <w:sz w:val="16"/>
              </w:rPr>
              <w:t>light</w:t>
            </w:r>
          </w:p>
        </w:tc>
        <w:tc>
          <w:tcPr>
            <w:tcW w:w="1814" w:type="dxa"/>
            <w:tcMar>
              <w:top w:w="70" w:type="dxa"/>
              <w:left w:w="70" w:type="dxa"/>
              <w:bottom w:w="70" w:type="dxa"/>
              <w:right w:w="70" w:type="dxa"/>
            </w:tcMar>
            <w:vAlign w:val="center"/>
          </w:tcPr>
          <w:p w14:paraId="6FE390A4">
            <w:pPr>
              <w:ind w:firstLine="0"/>
              <w:jc w:val="center"/>
            </w:pPr>
            <w:r>
              <w:rPr>
                <w:rFonts w:ascii="Times New Roman" w:hAnsi="Times New Roman" w:eastAsia="宋体"/>
                <w:sz w:val="16"/>
              </w:rPr>
              <w:t>V1</w:t>
            </w:r>
          </w:p>
        </w:tc>
        <w:tc>
          <w:tcPr>
            <w:tcW w:w="1701" w:type="dxa"/>
            <w:tcMar>
              <w:top w:w="70" w:type="dxa"/>
              <w:left w:w="70" w:type="dxa"/>
              <w:bottom w:w="70" w:type="dxa"/>
              <w:right w:w="70" w:type="dxa"/>
            </w:tcMar>
            <w:vAlign w:val="center"/>
          </w:tcPr>
          <w:p w14:paraId="6EBE92C0">
            <w:pPr>
              <w:ind w:firstLine="0"/>
              <w:jc w:val="center"/>
            </w:pPr>
            <w:r>
              <w:rPr>
                <w:rFonts w:ascii="Times New Roman" w:hAnsi="Times New Roman" w:eastAsia="宋体"/>
                <w:sz w:val="16"/>
              </w:rPr>
              <w:t>18.6647</w:t>
            </w:r>
          </w:p>
        </w:tc>
        <w:tc>
          <w:tcPr>
            <w:tcW w:w="1701" w:type="dxa"/>
            <w:tcMar>
              <w:top w:w="70" w:type="dxa"/>
              <w:left w:w="70" w:type="dxa"/>
              <w:bottom w:w="70" w:type="dxa"/>
              <w:right w:w="70" w:type="dxa"/>
            </w:tcMar>
            <w:vAlign w:val="center"/>
          </w:tcPr>
          <w:p w14:paraId="7486FEDF">
            <w:pPr>
              <w:ind w:firstLine="0"/>
              <w:jc w:val="center"/>
            </w:pPr>
            <w:r>
              <w:rPr>
                <w:rFonts w:ascii="Times New Roman" w:hAnsi="Times New Roman" w:eastAsia="宋体"/>
                <w:sz w:val="16"/>
              </w:rPr>
              <w:t>10.8097</w:t>
            </w:r>
          </w:p>
        </w:tc>
        <w:tc>
          <w:tcPr>
            <w:tcW w:w="1814" w:type="dxa"/>
            <w:tcMar>
              <w:top w:w="70" w:type="dxa"/>
              <w:left w:w="70" w:type="dxa"/>
              <w:bottom w:w="70" w:type="dxa"/>
              <w:right w:w="70" w:type="dxa"/>
            </w:tcMar>
            <w:vAlign w:val="center"/>
          </w:tcPr>
          <w:p w14:paraId="71C4BF8A">
            <w:pPr>
              <w:ind w:firstLine="0"/>
              <w:jc w:val="center"/>
            </w:pPr>
            <w:r>
              <w:rPr>
                <w:rFonts w:ascii="Times New Roman" w:hAnsi="Times New Roman" w:eastAsia="宋体"/>
                <w:sz w:val="16"/>
              </w:rPr>
              <w:t>11.6666</w:t>
            </w:r>
          </w:p>
        </w:tc>
      </w:tr>
      <w:tr w14:paraId="3EB5A1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tcMar>
              <w:top w:w="70" w:type="dxa"/>
              <w:left w:w="70" w:type="dxa"/>
              <w:bottom w:w="70" w:type="dxa"/>
              <w:right w:w="70" w:type="dxa"/>
            </w:tcMar>
            <w:vAlign w:val="center"/>
          </w:tcPr>
          <w:p w14:paraId="06DDD06B">
            <w:pPr>
              <w:ind w:firstLine="0"/>
              <w:jc w:val="center"/>
            </w:pPr>
            <w:r>
              <w:rPr>
                <w:rFonts w:ascii="Times New Roman" w:hAnsi="Times New Roman" w:eastAsia="宋体"/>
                <w:sz w:val="16"/>
              </w:rPr>
              <w:t>light</w:t>
            </w:r>
          </w:p>
        </w:tc>
        <w:tc>
          <w:tcPr>
            <w:tcW w:w="1814" w:type="dxa"/>
            <w:tcMar>
              <w:top w:w="70" w:type="dxa"/>
              <w:left w:w="70" w:type="dxa"/>
              <w:bottom w:w="70" w:type="dxa"/>
              <w:right w:w="70" w:type="dxa"/>
            </w:tcMar>
            <w:vAlign w:val="center"/>
          </w:tcPr>
          <w:p w14:paraId="78155933">
            <w:pPr>
              <w:ind w:firstLine="0"/>
              <w:jc w:val="center"/>
            </w:pPr>
            <w:r>
              <w:rPr>
                <w:rFonts w:ascii="Times New Roman" w:hAnsi="Times New Roman" w:eastAsia="宋体"/>
                <w:sz w:val="16"/>
              </w:rPr>
              <w:t>V2-Initial</w:t>
            </w:r>
          </w:p>
        </w:tc>
        <w:tc>
          <w:tcPr>
            <w:tcW w:w="1701" w:type="dxa"/>
            <w:tcMar>
              <w:top w:w="70" w:type="dxa"/>
              <w:left w:w="70" w:type="dxa"/>
              <w:bottom w:w="70" w:type="dxa"/>
              <w:right w:w="70" w:type="dxa"/>
            </w:tcMar>
            <w:vAlign w:val="center"/>
          </w:tcPr>
          <w:p w14:paraId="08612B15">
            <w:pPr>
              <w:ind w:firstLine="0"/>
              <w:jc w:val="center"/>
            </w:pPr>
            <w:r>
              <w:rPr>
                <w:rFonts w:ascii="Times New Roman" w:hAnsi="Times New Roman" w:eastAsia="宋体"/>
                <w:sz w:val="16"/>
              </w:rPr>
              <w:t>18.4468</w:t>
            </w:r>
          </w:p>
        </w:tc>
        <w:tc>
          <w:tcPr>
            <w:tcW w:w="1701" w:type="dxa"/>
            <w:tcMar>
              <w:top w:w="70" w:type="dxa"/>
              <w:left w:w="70" w:type="dxa"/>
              <w:bottom w:w="70" w:type="dxa"/>
              <w:right w:w="70" w:type="dxa"/>
            </w:tcMar>
            <w:vAlign w:val="center"/>
          </w:tcPr>
          <w:p w14:paraId="72355B5C">
            <w:pPr>
              <w:ind w:firstLine="0"/>
              <w:jc w:val="center"/>
            </w:pPr>
            <w:r>
              <w:rPr>
                <w:rFonts w:ascii="Times New Roman" w:hAnsi="Times New Roman" w:eastAsia="宋体"/>
                <w:sz w:val="16"/>
              </w:rPr>
              <w:t>12.2218</w:t>
            </w:r>
          </w:p>
        </w:tc>
        <w:tc>
          <w:tcPr>
            <w:tcW w:w="1814" w:type="dxa"/>
            <w:tcMar>
              <w:top w:w="70" w:type="dxa"/>
              <w:left w:w="70" w:type="dxa"/>
              <w:bottom w:w="70" w:type="dxa"/>
              <w:right w:w="70" w:type="dxa"/>
            </w:tcMar>
            <w:vAlign w:val="center"/>
          </w:tcPr>
          <w:p w14:paraId="57360010">
            <w:pPr>
              <w:ind w:firstLine="0"/>
              <w:jc w:val="center"/>
            </w:pPr>
            <w:r>
              <w:rPr>
                <w:rFonts w:ascii="Times New Roman" w:hAnsi="Times New Roman" w:eastAsia="宋体"/>
                <w:sz w:val="16"/>
              </w:rPr>
              <w:t>15.0029</w:t>
            </w:r>
          </w:p>
        </w:tc>
      </w:tr>
      <w:tr w14:paraId="450317F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tcMar>
              <w:top w:w="70" w:type="dxa"/>
              <w:left w:w="70" w:type="dxa"/>
              <w:bottom w:w="70" w:type="dxa"/>
              <w:right w:w="70" w:type="dxa"/>
            </w:tcMar>
            <w:vAlign w:val="center"/>
          </w:tcPr>
          <w:p w14:paraId="70A3190B">
            <w:pPr>
              <w:ind w:firstLine="0"/>
              <w:jc w:val="center"/>
            </w:pPr>
            <w:r>
              <w:rPr>
                <w:rFonts w:ascii="Times New Roman" w:hAnsi="Times New Roman" w:eastAsia="宋体"/>
                <w:sz w:val="16"/>
              </w:rPr>
              <w:t>medium</w:t>
            </w:r>
          </w:p>
        </w:tc>
        <w:tc>
          <w:tcPr>
            <w:tcW w:w="1814" w:type="dxa"/>
            <w:tcMar>
              <w:top w:w="70" w:type="dxa"/>
              <w:left w:w="70" w:type="dxa"/>
              <w:bottom w:w="70" w:type="dxa"/>
              <w:right w:w="70" w:type="dxa"/>
            </w:tcMar>
            <w:vAlign w:val="center"/>
          </w:tcPr>
          <w:p w14:paraId="6BE6EE28">
            <w:pPr>
              <w:ind w:firstLine="0"/>
              <w:jc w:val="center"/>
            </w:pPr>
            <w:r>
              <w:rPr>
                <w:rFonts w:ascii="Times New Roman" w:hAnsi="Times New Roman" w:eastAsia="宋体"/>
                <w:sz w:val="16"/>
              </w:rPr>
              <w:t>Degraded</w:t>
            </w:r>
          </w:p>
        </w:tc>
        <w:tc>
          <w:tcPr>
            <w:tcW w:w="1701" w:type="dxa"/>
            <w:tcMar>
              <w:top w:w="70" w:type="dxa"/>
              <w:left w:w="70" w:type="dxa"/>
              <w:bottom w:w="70" w:type="dxa"/>
              <w:right w:w="70" w:type="dxa"/>
            </w:tcMar>
            <w:vAlign w:val="center"/>
          </w:tcPr>
          <w:p w14:paraId="3D41B352">
            <w:pPr>
              <w:ind w:firstLine="0"/>
              <w:jc w:val="center"/>
            </w:pPr>
            <w:r>
              <w:rPr>
                <w:rFonts w:ascii="Times New Roman" w:hAnsi="Times New Roman" w:eastAsia="宋体"/>
                <w:sz w:val="16"/>
              </w:rPr>
              <w:t>16.9664</w:t>
            </w:r>
          </w:p>
        </w:tc>
        <w:tc>
          <w:tcPr>
            <w:tcW w:w="1701" w:type="dxa"/>
            <w:tcMar>
              <w:top w:w="70" w:type="dxa"/>
              <w:left w:w="70" w:type="dxa"/>
              <w:bottom w:w="70" w:type="dxa"/>
              <w:right w:w="70" w:type="dxa"/>
            </w:tcMar>
            <w:vAlign w:val="center"/>
          </w:tcPr>
          <w:p w14:paraId="0F34616E">
            <w:pPr>
              <w:ind w:firstLine="0"/>
              <w:jc w:val="center"/>
            </w:pPr>
            <w:r>
              <w:rPr>
                <w:rFonts w:ascii="Times New Roman" w:hAnsi="Times New Roman" w:eastAsia="宋体"/>
                <w:sz w:val="16"/>
              </w:rPr>
              <w:t>32.8020</w:t>
            </w:r>
          </w:p>
        </w:tc>
        <w:tc>
          <w:tcPr>
            <w:tcW w:w="1814" w:type="dxa"/>
            <w:tcMar>
              <w:top w:w="70" w:type="dxa"/>
              <w:left w:w="70" w:type="dxa"/>
              <w:bottom w:w="70" w:type="dxa"/>
              <w:right w:w="70" w:type="dxa"/>
            </w:tcMar>
            <w:vAlign w:val="center"/>
          </w:tcPr>
          <w:p w14:paraId="5F283279">
            <w:pPr>
              <w:ind w:firstLine="0"/>
              <w:jc w:val="center"/>
            </w:pPr>
            <w:r>
              <w:rPr>
                <w:rFonts w:ascii="Times New Roman" w:hAnsi="Times New Roman" w:eastAsia="宋体"/>
                <w:sz w:val="16"/>
              </w:rPr>
              <w:t>37.1257</w:t>
            </w:r>
          </w:p>
        </w:tc>
      </w:tr>
      <w:tr w14:paraId="1A0C14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tcMar>
              <w:top w:w="70" w:type="dxa"/>
              <w:left w:w="70" w:type="dxa"/>
              <w:bottom w:w="70" w:type="dxa"/>
              <w:right w:w="70" w:type="dxa"/>
            </w:tcMar>
            <w:vAlign w:val="center"/>
          </w:tcPr>
          <w:p w14:paraId="270283D2">
            <w:pPr>
              <w:ind w:firstLine="0"/>
              <w:jc w:val="center"/>
            </w:pPr>
            <w:r>
              <w:rPr>
                <w:rFonts w:ascii="Times New Roman" w:hAnsi="Times New Roman" w:eastAsia="宋体"/>
                <w:sz w:val="16"/>
              </w:rPr>
              <w:t>medium</w:t>
            </w:r>
          </w:p>
        </w:tc>
        <w:tc>
          <w:tcPr>
            <w:tcW w:w="1814" w:type="dxa"/>
            <w:tcMar>
              <w:top w:w="70" w:type="dxa"/>
              <w:left w:w="70" w:type="dxa"/>
              <w:bottom w:w="70" w:type="dxa"/>
              <w:right w:w="70" w:type="dxa"/>
            </w:tcMar>
            <w:vAlign w:val="center"/>
          </w:tcPr>
          <w:p w14:paraId="74F007D1">
            <w:pPr>
              <w:ind w:firstLine="0"/>
              <w:jc w:val="center"/>
            </w:pPr>
            <w:r>
              <w:rPr>
                <w:rFonts w:ascii="Times New Roman" w:hAnsi="Times New Roman" w:eastAsia="宋体"/>
                <w:sz w:val="16"/>
              </w:rPr>
              <w:t>Base</w:t>
            </w:r>
          </w:p>
        </w:tc>
        <w:tc>
          <w:tcPr>
            <w:tcW w:w="1701" w:type="dxa"/>
            <w:tcMar>
              <w:top w:w="70" w:type="dxa"/>
              <w:left w:w="70" w:type="dxa"/>
              <w:bottom w:w="70" w:type="dxa"/>
              <w:right w:w="70" w:type="dxa"/>
            </w:tcMar>
            <w:vAlign w:val="center"/>
          </w:tcPr>
          <w:p w14:paraId="493E7C6D">
            <w:pPr>
              <w:ind w:firstLine="0"/>
              <w:jc w:val="center"/>
            </w:pPr>
            <w:r>
              <w:rPr>
                <w:rFonts w:ascii="Times New Roman" w:hAnsi="Times New Roman" w:eastAsia="宋体"/>
                <w:sz w:val="16"/>
              </w:rPr>
              <w:t>16.7872</w:t>
            </w:r>
          </w:p>
        </w:tc>
        <w:tc>
          <w:tcPr>
            <w:tcW w:w="1701" w:type="dxa"/>
            <w:tcMar>
              <w:top w:w="70" w:type="dxa"/>
              <w:left w:w="70" w:type="dxa"/>
              <w:bottom w:w="70" w:type="dxa"/>
              <w:right w:w="70" w:type="dxa"/>
            </w:tcMar>
            <w:vAlign w:val="center"/>
          </w:tcPr>
          <w:p w14:paraId="3BAA5382">
            <w:pPr>
              <w:ind w:firstLine="0"/>
              <w:jc w:val="center"/>
            </w:pPr>
            <w:r>
              <w:rPr>
                <w:rFonts w:ascii="Times New Roman" w:hAnsi="Times New Roman" w:eastAsia="宋体"/>
                <w:sz w:val="16"/>
              </w:rPr>
              <w:t>12.9849</w:t>
            </w:r>
          </w:p>
        </w:tc>
        <w:tc>
          <w:tcPr>
            <w:tcW w:w="1814" w:type="dxa"/>
            <w:tcMar>
              <w:top w:w="70" w:type="dxa"/>
              <w:left w:w="70" w:type="dxa"/>
              <w:bottom w:w="70" w:type="dxa"/>
              <w:right w:w="70" w:type="dxa"/>
            </w:tcMar>
            <w:vAlign w:val="center"/>
          </w:tcPr>
          <w:p w14:paraId="24C03A2F">
            <w:pPr>
              <w:ind w:firstLine="0"/>
              <w:jc w:val="center"/>
            </w:pPr>
            <w:r>
              <w:rPr>
                <w:rFonts w:ascii="Times New Roman" w:hAnsi="Times New Roman" w:eastAsia="宋体"/>
                <w:sz w:val="16"/>
              </w:rPr>
              <w:t>13.6632</w:t>
            </w:r>
          </w:p>
        </w:tc>
      </w:tr>
      <w:tr w14:paraId="36CCCF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tcMar>
              <w:top w:w="70" w:type="dxa"/>
              <w:left w:w="70" w:type="dxa"/>
              <w:bottom w:w="70" w:type="dxa"/>
              <w:right w:w="70" w:type="dxa"/>
            </w:tcMar>
            <w:vAlign w:val="center"/>
          </w:tcPr>
          <w:p w14:paraId="77181C44">
            <w:pPr>
              <w:ind w:firstLine="0"/>
              <w:jc w:val="center"/>
            </w:pPr>
            <w:r>
              <w:rPr>
                <w:rFonts w:ascii="Times New Roman" w:hAnsi="Times New Roman" w:eastAsia="宋体"/>
                <w:sz w:val="16"/>
              </w:rPr>
              <w:t>medium</w:t>
            </w:r>
          </w:p>
        </w:tc>
        <w:tc>
          <w:tcPr>
            <w:tcW w:w="1814" w:type="dxa"/>
            <w:tcMar>
              <w:top w:w="70" w:type="dxa"/>
              <w:left w:w="70" w:type="dxa"/>
              <w:bottom w:w="70" w:type="dxa"/>
              <w:right w:w="70" w:type="dxa"/>
            </w:tcMar>
            <w:vAlign w:val="center"/>
          </w:tcPr>
          <w:p w14:paraId="07EA3AA7">
            <w:pPr>
              <w:ind w:firstLine="0"/>
              <w:jc w:val="center"/>
            </w:pPr>
            <w:r>
              <w:rPr>
                <w:rFonts w:ascii="Times New Roman" w:hAnsi="Times New Roman" w:eastAsia="宋体"/>
                <w:sz w:val="16"/>
              </w:rPr>
              <w:t>V1</w:t>
            </w:r>
          </w:p>
        </w:tc>
        <w:tc>
          <w:tcPr>
            <w:tcW w:w="1701" w:type="dxa"/>
            <w:tcMar>
              <w:top w:w="70" w:type="dxa"/>
              <w:left w:w="70" w:type="dxa"/>
              <w:bottom w:w="70" w:type="dxa"/>
              <w:right w:w="70" w:type="dxa"/>
            </w:tcMar>
            <w:vAlign w:val="center"/>
          </w:tcPr>
          <w:p w14:paraId="33E3646F">
            <w:pPr>
              <w:ind w:firstLine="0"/>
              <w:jc w:val="center"/>
            </w:pPr>
            <w:r>
              <w:rPr>
                <w:rFonts w:ascii="Times New Roman" w:hAnsi="Times New Roman" w:eastAsia="宋体"/>
                <w:sz w:val="16"/>
              </w:rPr>
              <w:t>16.9422</w:t>
            </w:r>
          </w:p>
        </w:tc>
        <w:tc>
          <w:tcPr>
            <w:tcW w:w="1701" w:type="dxa"/>
            <w:tcMar>
              <w:top w:w="70" w:type="dxa"/>
              <w:left w:w="70" w:type="dxa"/>
              <w:bottom w:w="70" w:type="dxa"/>
              <w:right w:w="70" w:type="dxa"/>
            </w:tcMar>
            <w:vAlign w:val="center"/>
          </w:tcPr>
          <w:p w14:paraId="475BE164">
            <w:pPr>
              <w:ind w:firstLine="0"/>
              <w:jc w:val="center"/>
            </w:pPr>
            <w:r>
              <w:rPr>
                <w:rFonts w:ascii="Times New Roman" w:hAnsi="Times New Roman" w:eastAsia="宋体"/>
                <w:sz w:val="16"/>
              </w:rPr>
              <w:t>13.0293</w:t>
            </w:r>
          </w:p>
        </w:tc>
        <w:tc>
          <w:tcPr>
            <w:tcW w:w="1814" w:type="dxa"/>
            <w:tcMar>
              <w:top w:w="70" w:type="dxa"/>
              <w:left w:w="70" w:type="dxa"/>
              <w:bottom w:w="70" w:type="dxa"/>
              <w:right w:w="70" w:type="dxa"/>
            </w:tcMar>
            <w:vAlign w:val="center"/>
          </w:tcPr>
          <w:p w14:paraId="616B926C">
            <w:pPr>
              <w:ind w:firstLine="0"/>
              <w:jc w:val="center"/>
            </w:pPr>
            <w:r>
              <w:rPr>
                <w:rFonts w:ascii="Times New Roman" w:hAnsi="Times New Roman" w:eastAsia="宋体"/>
                <w:sz w:val="16"/>
              </w:rPr>
              <w:t>13.6617</w:t>
            </w:r>
          </w:p>
        </w:tc>
      </w:tr>
      <w:tr w14:paraId="62AE12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tcMar>
              <w:top w:w="70" w:type="dxa"/>
              <w:left w:w="70" w:type="dxa"/>
              <w:bottom w:w="70" w:type="dxa"/>
              <w:right w:w="70" w:type="dxa"/>
            </w:tcMar>
            <w:vAlign w:val="center"/>
          </w:tcPr>
          <w:p w14:paraId="718E6375">
            <w:pPr>
              <w:ind w:firstLine="0"/>
              <w:jc w:val="center"/>
            </w:pPr>
            <w:r>
              <w:rPr>
                <w:rFonts w:ascii="Times New Roman" w:hAnsi="Times New Roman" w:eastAsia="宋体"/>
                <w:sz w:val="16"/>
              </w:rPr>
              <w:t>medium</w:t>
            </w:r>
          </w:p>
        </w:tc>
        <w:tc>
          <w:tcPr>
            <w:tcW w:w="1814" w:type="dxa"/>
            <w:tcMar>
              <w:top w:w="70" w:type="dxa"/>
              <w:left w:w="70" w:type="dxa"/>
              <w:bottom w:w="70" w:type="dxa"/>
              <w:right w:w="70" w:type="dxa"/>
            </w:tcMar>
            <w:vAlign w:val="center"/>
          </w:tcPr>
          <w:p w14:paraId="1E048743">
            <w:pPr>
              <w:ind w:firstLine="0"/>
              <w:jc w:val="center"/>
            </w:pPr>
            <w:r>
              <w:rPr>
                <w:rFonts w:ascii="Times New Roman" w:hAnsi="Times New Roman" w:eastAsia="宋体"/>
                <w:sz w:val="16"/>
              </w:rPr>
              <w:t>V2-Initial</w:t>
            </w:r>
          </w:p>
        </w:tc>
        <w:tc>
          <w:tcPr>
            <w:tcW w:w="1701" w:type="dxa"/>
            <w:tcMar>
              <w:top w:w="70" w:type="dxa"/>
              <w:left w:w="70" w:type="dxa"/>
              <w:bottom w:w="70" w:type="dxa"/>
              <w:right w:w="70" w:type="dxa"/>
            </w:tcMar>
            <w:vAlign w:val="center"/>
          </w:tcPr>
          <w:p w14:paraId="33DFC70C">
            <w:pPr>
              <w:ind w:firstLine="0"/>
              <w:jc w:val="center"/>
            </w:pPr>
            <w:r>
              <w:rPr>
                <w:rFonts w:ascii="Times New Roman" w:hAnsi="Times New Roman" w:eastAsia="宋体"/>
                <w:sz w:val="16"/>
              </w:rPr>
              <w:t>16.6410</w:t>
            </w:r>
          </w:p>
        </w:tc>
        <w:tc>
          <w:tcPr>
            <w:tcW w:w="1701" w:type="dxa"/>
            <w:tcMar>
              <w:top w:w="70" w:type="dxa"/>
              <w:left w:w="70" w:type="dxa"/>
              <w:bottom w:w="70" w:type="dxa"/>
              <w:right w:w="70" w:type="dxa"/>
            </w:tcMar>
            <w:vAlign w:val="center"/>
          </w:tcPr>
          <w:p w14:paraId="22703ED0">
            <w:pPr>
              <w:ind w:firstLine="0"/>
              <w:jc w:val="center"/>
            </w:pPr>
            <w:r>
              <w:rPr>
                <w:rFonts w:ascii="Times New Roman" w:hAnsi="Times New Roman" w:eastAsia="宋体"/>
                <w:sz w:val="16"/>
              </w:rPr>
              <w:t>12.8159</w:t>
            </w:r>
          </w:p>
        </w:tc>
        <w:tc>
          <w:tcPr>
            <w:tcW w:w="1814" w:type="dxa"/>
            <w:tcMar>
              <w:top w:w="70" w:type="dxa"/>
              <w:left w:w="70" w:type="dxa"/>
              <w:bottom w:w="70" w:type="dxa"/>
              <w:right w:w="70" w:type="dxa"/>
            </w:tcMar>
            <w:vAlign w:val="center"/>
          </w:tcPr>
          <w:p w14:paraId="2EA3FF4D">
            <w:pPr>
              <w:ind w:firstLine="0"/>
              <w:jc w:val="center"/>
            </w:pPr>
            <w:r>
              <w:rPr>
                <w:rFonts w:ascii="Times New Roman" w:hAnsi="Times New Roman" w:eastAsia="宋体"/>
                <w:sz w:val="16"/>
              </w:rPr>
              <w:t>13.7528</w:t>
            </w:r>
          </w:p>
        </w:tc>
      </w:tr>
      <w:tr w14:paraId="5274967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tcMar>
              <w:top w:w="70" w:type="dxa"/>
              <w:left w:w="70" w:type="dxa"/>
              <w:bottom w:w="70" w:type="dxa"/>
              <w:right w:w="70" w:type="dxa"/>
            </w:tcMar>
            <w:vAlign w:val="center"/>
          </w:tcPr>
          <w:p w14:paraId="476E329A">
            <w:pPr>
              <w:ind w:firstLine="0"/>
              <w:jc w:val="center"/>
            </w:pPr>
            <w:r>
              <w:rPr>
                <w:rFonts w:ascii="Times New Roman" w:hAnsi="Times New Roman" w:eastAsia="宋体"/>
                <w:sz w:val="16"/>
              </w:rPr>
              <w:t>heavy</w:t>
            </w:r>
          </w:p>
        </w:tc>
        <w:tc>
          <w:tcPr>
            <w:tcW w:w="1814" w:type="dxa"/>
            <w:tcMar>
              <w:top w:w="70" w:type="dxa"/>
              <w:left w:w="70" w:type="dxa"/>
              <w:bottom w:w="70" w:type="dxa"/>
              <w:right w:w="70" w:type="dxa"/>
            </w:tcMar>
            <w:vAlign w:val="center"/>
          </w:tcPr>
          <w:p w14:paraId="5255D8E2">
            <w:pPr>
              <w:ind w:firstLine="0"/>
              <w:jc w:val="center"/>
            </w:pPr>
            <w:r>
              <w:rPr>
                <w:rFonts w:ascii="Times New Roman" w:hAnsi="Times New Roman" w:eastAsia="宋体"/>
                <w:sz w:val="16"/>
              </w:rPr>
              <w:t>Degraded</w:t>
            </w:r>
          </w:p>
        </w:tc>
        <w:tc>
          <w:tcPr>
            <w:tcW w:w="1701" w:type="dxa"/>
            <w:tcMar>
              <w:top w:w="70" w:type="dxa"/>
              <w:left w:w="70" w:type="dxa"/>
              <w:bottom w:w="70" w:type="dxa"/>
              <w:right w:w="70" w:type="dxa"/>
            </w:tcMar>
            <w:vAlign w:val="center"/>
          </w:tcPr>
          <w:p w14:paraId="54D850F5">
            <w:pPr>
              <w:ind w:firstLine="0"/>
              <w:jc w:val="center"/>
            </w:pPr>
            <w:r>
              <w:rPr>
                <w:rFonts w:ascii="Times New Roman" w:hAnsi="Times New Roman" w:eastAsia="宋体"/>
                <w:sz w:val="16"/>
              </w:rPr>
              <w:t>6.9079</w:t>
            </w:r>
          </w:p>
        </w:tc>
        <w:tc>
          <w:tcPr>
            <w:tcW w:w="1701" w:type="dxa"/>
            <w:tcMar>
              <w:top w:w="70" w:type="dxa"/>
              <w:left w:w="70" w:type="dxa"/>
              <w:bottom w:w="70" w:type="dxa"/>
              <w:right w:w="70" w:type="dxa"/>
            </w:tcMar>
            <w:vAlign w:val="center"/>
          </w:tcPr>
          <w:p w14:paraId="7842504C">
            <w:pPr>
              <w:ind w:firstLine="0"/>
              <w:jc w:val="center"/>
            </w:pPr>
            <w:r>
              <w:rPr>
                <w:rFonts w:ascii="Times New Roman" w:hAnsi="Times New Roman" w:eastAsia="宋体"/>
                <w:sz w:val="16"/>
              </w:rPr>
              <w:t>43.2177</w:t>
            </w:r>
          </w:p>
        </w:tc>
        <w:tc>
          <w:tcPr>
            <w:tcW w:w="1814" w:type="dxa"/>
            <w:tcMar>
              <w:top w:w="70" w:type="dxa"/>
              <w:left w:w="70" w:type="dxa"/>
              <w:bottom w:w="70" w:type="dxa"/>
              <w:right w:w="70" w:type="dxa"/>
            </w:tcMar>
            <w:vAlign w:val="center"/>
          </w:tcPr>
          <w:p w14:paraId="07127DFC">
            <w:pPr>
              <w:ind w:firstLine="0"/>
              <w:jc w:val="center"/>
            </w:pPr>
            <w:r>
              <w:rPr>
                <w:rFonts w:ascii="Times New Roman" w:hAnsi="Times New Roman" w:eastAsia="宋体"/>
                <w:sz w:val="16"/>
              </w:rPr>
              <w:t>48.2911</w:t>
            </w:r>
          </w:p>
        </w:tc>
      </w:tr>
      <w:tr w14:paraId="4F6239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tcMar>
              <w:top w:w="70" w:type="dxa"/>
              <w:left w:w="70" w:type="dxa"/>
              <w:bottom w:w="70" w:type="dxa"/>
              <w:right w:w="70" w:type="dxa"/>
            </w:tcMar>
            <w:vAlign w:val="center"/>
          </w:tcPr>
          <w:p w14:paraId="4794DEC2">
            <w:pPr>
              <w:ind w:firstLine="0"/>
              <w:jc w:val="center"/>
            </w:pPr>
            <w:r>
              <w:rPr>
                <w:rFonts w:ascii="Times New Roman" w:hAnsi="Times New Roman" w:eastAsia="宋体"/>
                <w:sz w:val="16"/>
              </w:rPr>
              <w:t>heavy</w:t>
            </w:r>
          </w:p>
        </w:tc>
        <w:tc>
          <w:tcPr>
            <w:tcW w:w="1814" w:type="dxa"/>
            <w:tcMar>
              <w:top w:w="70" w:type="dxa"/>
              <w:left w:w="70" w:type="dxa"/>
              <w:bottom w:w="70" w:type="dxa"/>
              <w:right w:w="70" w:type="dxa"/>
            </w:tcMar>
            <w:vAlign w:val="center"/>
          </w:tcPr>
          <w:p w14:paraId="7E88E04E">
            <w:pPr>
              <w:ind w:firstLine="0"/>
              <w:jc w:val="center"/>
            </w:pPr>
            <w:r>
              <w:rPr>
                <w:rFonts w:ascii="Times New Roman" w:hAnsi="Times New Roman" w:eastAsia="宋体"/>
                <w:sz w:val="16"/>
              </w:rPr>
              <w:t>Base</w:t>
            </w:r>
          </w:p>
        </w:tc>
        <w:tc>
          <w:tcPr>
            <w:tcW w:w="1701" w:type="dxa"/>
            <w:tcMar>
              <w:top w:w="70" w:type="dxa"/>
              <w:left w:w="70" w:type="dxa"/>
              <w:bottom w:w="70" w:type="dxa"/>
              <w:right w:w="70" w:type="dxa"/>
            </w:tcMar>
            <w:vAlign w:val="center"/>
          </w:tcPr>
          <w:p w14:paraId="3E8E6079">
            <w:pPr>
              <w:ind w:firstLine="0"/>
              <w:jc w:val="center"/>
            </w:pPr>
            <w:r>
              <w:rPr>
                <w:rFonts w:ascii="Times New Roman" w:hAnsi="Times New Roman" w:eastAsia="宋体"/>
                <w:sz w:val="16"/>
              </w:rPr>
              <w:t>14.1295</w:t>
            </w:r>
          </w:p>
        </w:tc>
        <w:tc>
          <w:tcPr>
            <w:tcW w:w="1701" w:type="dxa"/>
            <w:tcMar>
              <w:top w:w="70" w:type="dxa"/>
              <w:left w:w="70" w:type="dxa"/>
              <w:bottom w:w="70" w:type="dxa"/>
              <w:right w:w="70" w:type="dxa"/>
            </w:tcMar>
            <w:vAlign w:val="center"/>
          </w:tcPr>
          <w:p w14:paraId="53CDE4F0">
            <w:pPr>
              <w:ind w:firstLine="0"/>
              <w:jc w:val="center"/>
            </w:pPr>
            <w:r>
              <w:rPr>
                <w:rFonts w:ascii="Times New Roman" w:hAnsi="Times New Roman" w:eastAsia="宋体"/>
                <w:sz w:val="16"/>
              </w:rPr>
              <w:t>13.8440</w:t>
            </w:r>
          </w:p>
        </w:tc>
        <w:tc>
          <w:tcPr>
            <w:tcW w:w="1814" w:type="dxa"/>
            <w:tcMar>
              <w:top w:w="70" w:type="dxa"/>
              <w:left w:w="70" w:type="dxa"/>
              <w:bottom w:w="70" w:type="dxa"/>
              <w:right w:w="70" w:type="dxa"/>
            </w:tcMar>
            <w:vAlign w:val="center"/>
          </w:tcPr>
          <w:p w14:paraId="198B76E9">
            <w:pPr>
              <w:ind w:firstLine="0"/>
              <w:jc w:val="center"/>
            </w:pPr>
            <w:r>
              <w:rPr>
                <w:rFonts w:ascii="Times New Roman" w:hAnsi="Times New Roman" w:eastAsia="宋体"/>
                <w:sz w:val="16"/>
              </w:rPr>
              <w:t>14.1726</w:t>
            </w:r>
          </w:p>
        </w:tc>
      </w:tr>
      <w:tr w14:paraId="7CD24A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tcMar>
              <w:top w:w="70" w:type="dxa"/>
              <w:left w:w="70" w:type="dxa"/>
              <w:bottom w:w="70" w:type="dxa"/>
              <w:right w:w="70" w:type="dxa"/>
            </w:tcMar>
            <w:vAlign w:val="center"/>
          </w:tcPr>
          <w:p w14:paraId="493ACDAC">
            <w:pPr>
              <w:ind w:firstLine="0"/>
              <w:jc w:val="center"/>
            </w:pPr>
            <w:r>
              <w:rPr>
                <w:rFonts w:ascii="Times New Roman" w:hAnsi="Times New Roman" w:eastAsia="宋体"/>
                <w:sz w:val="16"/>
              </w:rPr>
              <w:t>heavy</w:t>
            </w:r>
          </w:p>
        </w:tc>
        <w:tc>
          <w:tcPr>
            <w:tcW w:w="1814" w:type="dxa"/>
            <w:tcMar>
              <w:top w:w="70" w:type="dxa"/>
              <w:left w:w="70" w:type="dxa"/>
              <w:bottom w:w="70" w:type="dxa"/>
              <w:right w:w="70" w:type="dxa"/>
            </w:tcMar>
            <w:vAlign w:val="center"/>
          </w:tcPr>
          <w:p w14:paraId="3C7CD353">
            <w:pPr>
              <w:ind w:firstLine="0"/>
              <w:jc w:val="center"/>
            </w:pPr>
            <w:r>
              <w:rPr>
                <w:rFonts w:ascii="Times New Roman" w:hAnsi="Times New Roman" w:eastAsia="宋体"/>
                <w:sz w:val="16"/>
              </w:rPr>
              <w:t>V1</w:t>
            </w:r>
          </w:p>
        </w:tc>
        <w:tc>
          <w:tcPr>
            <w:tcW w:w="1701" w:type="dxa"/>
            <w:tcMar>
              <w:top w:w="70" w:type="dxa"/>
              <w:left w:w="70" w:type="dxa"/>
              <w:bottom w:w="70" w:type="dxa"/>
              <w:right w:w="70" w:type="dxa"/>
            </w:tcMar>
            <w:vAlign w:val="center"/>
          </w:tcPr>
          <w:p w14:paraId="47210039">
            <w:pPr>
              <w:ind w:firstLine="0"/>
              <w:jc w:val="center"/>
            </w:pPr>
            <w:r>
              <w:rPr>
                <w:rFonts w:ascii="Times New Roman" w:hAnsi="Times New Roman" w:eastAsia="宋体"/>
                <w:sz w:val="16"/>
              </w:rPr>
              <w:t>14.1980</w:t>
            </w:r>
          </w:p>
        </w:tc>
        <w:tc>
          <w:tcPr>
            <w:tcW w:w="1701" w:type="dxa"/>
            <w:tcMar>
              <w:top w:w="70" w:type="dxa"/>
              <w:left w:w="70" w:type="dxa"/>
              <w:bottom w:w="70" w:type="dxa"/>
              <w:right w:w="70" w:type="dxa"/>
            </w:tcMar>
            <w:vAlign w:val="center"/>
          </w:tcPr>
          <w:p w14:paraId="21F89222">
            <w:pPr>
              <w:ind w:firstLine="0"/>
              <w:jc w:val="center"/>
            </w:pPr>
            <w:r>
              <w:rPr>
                <w:rFonts w:ascii="Times New Roman" w:hAnsi="Times New Roman" w:eastAsia="宋体"/>
                <w:sz w:val="16"/>
              </w:rPr>
              <w:t>13.5287</w:t>
            </w:r>
          </w:p>
        </w:tc>
        <w:tc>
          <w:tcPr>
            <w:tcW w:w="1814" w:type="dxa"/>
            <w:tcMar>
              <w:top w:w="70" w:type="dxa"/>
              <w:left w:w="70" w:type="dxa"/>
              <w:bottom w:w="70" w:type="dxa"/>
              <w:right w:w="70" w:type="dxa"/>
            </w:tcMar>
            <w:vAlign w:val="center"/>
          </w:tcPr>
          <w:p w14:paraId="1BF1FCB4">
            <w:pPr>
              <w:ind w:firstLine="0"/>
              <w:jc w:val="center"/>
            </w:pPr>
            <w:r>
              <w:rPr>
                <w:rFonts w:ascii="Times New Roman" w:hAnsi="Times New Roman" w:eastAsia="宋体"/>
                <w:sz w:val="16"/>
              </w:rPr>
              <w:t>13.7732</w:t>
            </w:r>
          </w:p>
        </w:tc>
      </w:tr>
      <w:tr w14:paraId="209477B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tcMar>
              <w:top w:w="70" w:type="dxa"/>
              <w:left w:w="70" w:type="dxa"/>
              <w:bottom w:w="70" w:type="dxa"/>
              <w:right w:w="70" w:type="dxa"/>
            </w:tcMar>
            <w:vAlign w:val="center"/>
          </w:tcPr>
          <w:p w14:paraId="077B0FC1">
            <w:pPr>
              <w:ind w:firstLine="0"/>
              <w:jc w:val="center"/>
            </w:pPr>
            <w:r>
              <w:rPr>
                <w:rFonts w:ascii="Times New Roman" w:hAnsi="Times New Roman" w:eastAsia="宋体"/>
                <w:sz w:val="16"/>
              </w:rPr>
              <w:t>heavy</w:t>
            </w:r>
          </w:p>
        </w:tc>
        <w:tc>
          <w:tcPr>
            <w:tcW w:w="1814" w:type="dxa"/>
            <w:tcMar>
              <w:top w:w="70" w:type="dxa"/>
              <w:left w:w="70" w:type="dxa"/>
              <w:bottom w:w="70" w:type="dxa"/>
              <w:right w:w="70" w:type="dxa"/>
            </w:tcMar>
            <w:vAlign w:val="center"/>
          </w:tcPr>
          <w:p w14:paraId="2C5E2BC0">
            <w:pPr>
              <w:ind w:firstLine="0"/>
              <w:jc w:val="center"/>
            </w:pPr>
            <w:r>
              <w:rPr>
                <w:rFonts w:ascii="Times New Roman" w:hAnsi="Times New Roman" w:eastAsia="宋体"/>
                <w:sz w:val="16"/>
              </w:rPr>
              <w:t>V2-Initial</w:t>
            </w:r>
          </w:p>
        </w:tc>
        <w:tc>
          <w:tcPr>
            <w:tcW w:w="1701" w:type="dxa"/>
            <w:tcMar>
              <w:top w:w="70" w:type="dxa"/>
              <w:left w:w="70" w:type="dxa"/>
              <w:bottom w:w="70" w:type="dxa"/>
              <w:right w:w="70" w:type="dxa"/>
            </w:tcMar>
            <w:vAlign w:val="center"/>
          </w:tcPr>
          <w:p w14:paraId="3A8642A3">
            <w:pPr>
              <w:ind w:firstLine="0"/>
              <w:jc w:val="center"/>
            </w:pPr>
            <w:r>
              <w:rPr>
                <w:rFonts w:ascii="Times New Roman" w:hAnsi="Times New Roman" w:eastAsia="宋体"/>
                <w:sz w:val="16"/>
              </w:rPr>
              <w:t>14.0296</w:t>
            </w:r>
          </w:p>
        </w:tc>
        <w:tc>
          <w:tcPr>
            <w:tcW w:w="1701" w:type="dxa"/>
            <w:tcMar>
              <w:top w:w="70" w:type="dxa"/>
              <w:left w:w="70" w:type="dxa"/>
              <w:bottom w:w="70" w:type="dxa"/>
              <w:right w:w="70" w:type="dxa"/>
            </w:tcMar>
            <w:vAlign w:val="center"/>
          </w:tcPr>
          <w:p w14:paraId="1AEBA19F">
            <w:pPr>
              <w:ind w:firstLine="0"/>
              <w:jc w:val="center"/>
            </w:pPr>
            <w:r>
              <w:rPr>
                <w:rFonts w:ascii="Times New Roman" w:hAnsi="Times New Roman" w:eastAsia="宋体"/>
                <w:sz w:val="16"/>
              </w:rPr>
              <w:t>13.5310</w:t>
            </w:r>
          </w:p>
        </w:tc>
        <w:tc>
          <w:tcPr>
            <w:tcW w:w="1814" w:type="dxa"/>
            <w:tcMar>
              <w:top w:w="70" w:type="dxa"/>
              <w:left w:w="70" w:type="dxa"/>
              <w:bottom w:w="70" w:type="dxa"/>
              <w:right w:w="70" w:type="dxa"/>
            </w:tcMar>
            <w:vAlign w:val="center"/>
          </w:tcPr>
          <w:p w14:paraId="72C900F6">
            <w:pPr>
              <w:ind w:firstLine="0"/>
              <w:jc w:val="center"/>
            </w:pPr>
            <w:r>
              <w:rPr>
                <w:rFonts w:ascii="Times New Roman" w:hAnsi="Times New Roman" w:eastAsia="宋体"/>
                <w:sz w:val="16"/>
              </w:rPr>
              <w:t>13.7439</w:t>
            </w:r>
          </w:p>
        </w:tc>
      </w:tr>
    </w:tbl>
    <w:p w14:paraId="6714365B">
      <w:pPr>
        <w:spacing w:after="0" w:line="360" w:lineRule="auto"/>
        <w:ind w:firstLine="420"/>
      </w:pPr>
      <w:r>
        <w:rPr>
          <w:rFonts w:ascii="Times New Roman" w:hAnsi="Times New Roman" w:eastAsia="宋体"/>
          <w:i w:val="0"/>
          <w:sz w:val="21"/>
        </w:rPr>
        <w:t>分组结果进一步限定了结论边界。clean组中，V1和V2虽明显降低LSD/HF-LSD，但SI-SDR分别较Base下降0.333 dB和0.586 dB，提示存在过修复风险；light组中V1保持较强频谱收益，V2收益较弱；medium组仅V2在LSD上出现小幅改善，但HF-LSD未优于Base；heavy组中V1和V2均降低LSD/HF-LSD，V2的HF-LSD仅比V1低0.0292。该差值尚无置信区间与显著性检验支撑，因此只能表述为“局部趋势”，不能写成V2在重度退化上已显著优于V1。</w:t>
      </w:r>
    </w:p>
    <w:p w14:paraId="1C6286B3">
      <w:pPr>
        <w:ind w:firstLine="0"/>
        <w:jc w:val="center"/>
      </w:pPr>
      <w:r>
        <w:drawing>
          <wp:inline distT="0" distB="0" distL="114300" distR="114300">
            <wp:extent cx="5399405" cy="3056890"/>
            <wp:effectExtent l="0" t="0" r="1079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00000" cy="3057097"/>
                    </a:xfrm>
                    <a:prstGeom prst="rect">
                      <a:avLst/>
                    </a:prstGeom>
                  </pic:spPr>
                </pic:pic>
              </a:graphicData>
            </a:graphic>
          </wp:inline>
        </w:drawing>
      </w:r>
    </w:p>
    <w:p w14:paraId="0C57C7A7">
      <w:pPr>
        <w:spacing w:before="60" w:after="120"/>
        <w:ind w:firstLine="0"/>
        <w:jc w:val="center"/>
      </w:pPr>
      <w:r>
        <w:rPr>
          <w:rFonts w:ascii="Times New Roman" w:hAnsi="Times New Roman" w:eastAsia="宋体"/>
          <w:sz w:val="21"/>
        </w:rPr>
        <w:t>图 4-6  Base、V1与V2在不同退化强度下的SI-SDR</w:t>
      </w:r>
    </w:p>
    <w:p w14:paraId="5AD6B7AA">
      <w:pPr>
        <w:ind w:firstLine="0"/>
        <w:jc w:val="center"/>
      </w:pPr>
      <w:r>
        <w:drawing>
          <wp:inline distT="0" distB="0" distL="114300" distR="114300">
            <wp:extent cx="5399405" cy="3056890"/>
            <wp:effectExtent l="0" t="0" r="1079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00000" cy="3057097"/>
                    </a:xfrm>
                    <a:prstGeom prst="rect">
                      <a:avLst/>
                    </a:prstGeom>
                  </pic:spPr>
                </pic:pic>
              </a:graphicData>
            </a:graphic>
          </wp:inline>
        </w:drawing>
      </w:r>
    </w:p>
    <w:p w14:paraId="114A511D">
      <w:pPr>
        <w:spacing w:before="60" w:after="120"/>
        <w:ind w:firstLine="0"/>
        <w:jc w:val="center"/>
      </w:pPr>
      <w:r>
        <w:rPr>
          <w:rFonts w:ascii="Times New Roman" w:hAnsi="Times New Roman" w:eastAsia="宋体"/>
          <w:sz w:val="21"/>
        </w:rPr>
        <w:t>图 4-7  Base、V1与V2在不同退化强度下的HF-LSD</w:t>
      </w:r>
    </w:p>
    <w:p w14:paraId="065AD35A">
      <w:pPr>
        <w:ind w:left="283" w:firstLine="0"/>
      </w:pPr>
      <w:r>
        <w:rPr>
          <w:rFonts w:ascii="Times New Roman" w:hAnsi="Times New Roman" w:eastAsia="宋体"/>
          <w:i/>
          <w:color w:val="C00000"/>
          <w:sz w:val="20"/>
        </w:rPr>
        <w:t>【待补充】完成PESQ、STOI、ESTOI全量评估；输出non-clean SI-SDR；保存句级CSV并报告95%置信区间、提升样本比例及配对Wilcoxon检验。</w:t>
      </w:r>
    </w:p>
    <w:p w14:paraId="37076771">
      <w:pPr>
        <w:ind w:left="283" w:firstLine="0"/>
      </w:pPr>
      <w:r>
        <w:rPr>
          <w:rFonts w:ascii="Times New Roman" w:hAnsi="Times New Roman" w:eastAsia="宋体"/>
          <w:i/>
          <w:color w:val="C00000"/>
          <w:sz w:val="20"/>
        </w:rPr>
        <w:t>【待补充】以同一测试集、同一best checkpoint和同一评价脚本补入V2-Refined-A结果，并将V2-Initial保留为结构优化前对照。</w:t>
      </w:r>
    </w:p>
    <w:p w14:paraId="3178F4A7">
      <w:pPr>
        <w:pStyle w:val="4"/>
        <w:ind w:firstLine="0"/>
      </w:pPr>
      <w:r>
        <w:rPr>
          <w:rFonts w:ascii="Times New Roman" w:hAnsi="Times New Roman" w:eastAsia="黑体"/>
          <w:b/>
          <w:sz w:val="28"/>
        </w:rPr>
        <w:t>4.4 条件有效性与机制诊断</w:t>
      </w:r>
    </w:p>
    <w:p w14:paraId="10117F0B">
      <w:pPr>
        <w:spacing w:after="0" w:line="360" w:lineRule="auto"/>
        <w:ind w:firstLine="420"/>
      </w:pPr>
      <w:r>
        <w:rPr>
          <w:rFonts w:ascii="Times New Roman" w:hAnsi="Times New Roman" w:eastAsia="宋体"/>
          <w:i w:val="0"/>
          <w:sz w:val="21"/>
        </w:rPr>
        <w:t>条件有效性是EDCR方法是否成立的核心机制实验。理论上，Predicted或Oracle条件应优于Zero与Shuffled；若四种条件下结果几乎一致，则说明残差模块主要依据基础频谱工作，显式条件尚未真正参与决策。</w:t>
      </w:r>
    </w:p>
    <w:p w14:paraId="11FD3224">
      <w:pPr>
        <w:spacing w:before="60" w:after="120"/>
        <w:ind w:firstLine="0"/>
        <w:jc w:val="center"/>
      </w:pPr>
      <w:r>
        <w:rPr>
          <w:rFonts w:ascii="Times New Roman" w:hAnsi="Times New Roman" w:eastAsia="宋体"/>
          <w:sz w:val="21"/>
        </w:rPr>
        <w:t>表 4-6  EDCR-V1不同条件来源的初步诊断结果</w:t>
      </w:r>
    </w:p>
    <w:tbl>
      <w:tblPr>
        <w:tblStyle w:val="3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268"/>
        <w:gridCol w:w="1814"/>
        <w:gridCol w:w="1814"/>
        <w:gridCol w:w="1814"/>
      </w:tblGrid>
      <w:tr w14:paraId="6063CD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2268" w:type="dxa"/>
            <w:shd w:val="clear" w:color="auto" w:fill="D9EAF7"/>
            <w:tcMar>
              <w:top w:w="70" w:type="dxa"/>
              <w:left w:w="70" w:type="dxa"/>
              <w:bottom w:w="70" w:type="dxa"/>
              <w:right w:w="70" w:type="dxa"/>
            </w:tcMar>
            <w:vAlign w:val="center"/>
          </w:tcPr>
          <w:p w14:paraId="73B9A4AA">
            <w:pPr>
              <w:ind w:firstLine="0"/>
              <w:jc w:val="center"/>
            </w:pPr>
            <w:r>
              <w:rPr>
                <w:rFonts w:ascii="Times New Roman" w:hAnsi="Times New Roman" w:eastAsia="黑体"/>
                <w:b/>
                <w:sz w:val="18"/>
              </w:rPr>
              <w:t>条件来源</w:t>
            </w:r>
          </w:p>
        </w:tc>
        <w:tc>
          <w:tcPr>
            <w:tcW w:w="1814" w:type="dxa"/>
            <w:shd w:val="clear" w:color="auto" w:fill="D9EAF7"/>
            <w:tcMar>
              <w:top w:w="70" w:type="dxa"/>
              <w:left w:w="70" w:type="dxa"/>
              <w:bottom w:w="70" w:type="dxa"/>
              <w:right w:w="70" w:type="dxa"/>
            </w:tcMar>
            <w:vAlign w:val="center"/>
          </w:tcPr>
          <w:p w14:paraId="43FD4584">
            <w:pPr>
              <w:ind w:firstLine="0"/>
              <w:jc w:val="center"/>
            </w:pPr>
            <w:r>
              <w:rPr>
                <w:rFonts w:ascii="Times New Roman" w:hAnsi="Times New Roman" w:eastAsia="黑体"/>
                <w:b/>
                <w:sz w:val="18"/>
              </w:rPr>
              <w:t>SI-SDR↑</w:t>
            </w:r>
          </w:p>
        </w:tc>
        <w:tc>
          <w:tcPr>
            <w:tcW w:w="1814" w:type="dxa"/>
            <w:shd w:val="clear" w:color="auto" w:fill="D9EAF7"/>
            <w:tcMar>
              <w:top w:w="70" w:type="dxa"/>
              <w:left w:w="70" w:type="dxa"/>
              <w:bottom w:w="70" w:type="dxa"/>
              <w:right w:w="70" w:type="dxa"/>
            </w:tcMar>
            <w:vAlign w:val="center"/>
          </w:tcPr>
          <w:p w14:paraId="3FD0E400">
            <w:pPr>
              <w:ind w:firstLine="0"/>
              <w:jc w:val="center"/>
            </w:pPr>
            <w:r>
              <w:rPr>
                <w:rFonts w:ascii="Times New Roman" w:hAnsi="Times New Roman" w:eastAsia="黑体"/>
                <w:b/>
                <w:sz w:val="18"/>
              </w:rPr>
              <w:t>LSD↓</w:t>
            </w:r>
          </w:p>
        </w:tc>
        <w:tc>
          <w:tcPr>
            <w:tcW w:w="1814" w:type="dxa"/>
            <w:shd w:val="clear" w:color="auto" w:fill="D9EAF7"/>
            <w:tcMar>
              <w:top w:w="70" w:type="dxa"/>
              <w:left w:w="70" w:type="dxa"/>
              <w:bottom w:w="70" w:type="dxa"/>
              <w:right w:w="70" w:type="dxa"/>
            </w:tcMar>
            <w:vAlign w:val="center"/>
          </w:tcPr>
          <w:p w14:paraId="66660DFC">
            <w:pPr>
              <w:ind w:firstLine="0"/>
              <w:jc w:val="center"/>
            </w:pPr>
            <w:r>
              <w:rPr>
                <w:rFonts w:ascii="Times New Roman" w:hAnsi="Times New Roman" w:eastAsia="黑体"/>
                <w:b/>
                <w:sz w:val="18"/>
              </w:rPr>
              <w:t>HF-LSD↓</w:t>
            </w:r>
          </w:p>
        </w:tc>
      </w:tr>
      <w:tr w14:paraId="5EE3CB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268" w:type="dxa"/>
            <w:tcMar>
              <w:top w:w="70" w:type="dxa"/>
              <w:left w:w="70" w:type="dxa"/>
              <w:bottom w:w="70" w:type="dxa"/>
              <w:right w:w="70" w:type="dxa"/>
            </w:tcMar>
            <w:vAlign w:val="center"/>
          </w:tcPr>
          <w:p w14:paraId="49F6E51B">
            <w:pPr>
              <w:ind w:firstLine="0"/>
              <w:jc w:val="center"/>
            </w:pPr>
            <w:r>
              <w:rPr>
                <w:rFonts w:ascii="Times New Roman" w:hAnsi="Times New Roman" w:eastAsia="宋体"/>
                <w:sz w:val="18"/>
              </w:rPr>
              <w:t>Zero</w:t>
            </w:r>
          </w:p>
        </w:tc>
        <w:tc>
          <w:tcPr>
            <w:tcW w:w="1814" w:type="dxa"/>
            <w:tcMar>
              <w:top w:w="70" w:type="dxa"/>
              <w:left w:w="70" w:type="dxa"/>
              <w:bottom w:w="70" w:type="dxa"/>
              <w:right w:w="70" w:type="dxa"/>
            </w:tcMar>
            <w:vAlign w:val="center"/>
          </w:tcPr>
          <w:p w14:paraId="432BFDAB">
            <w:pPr>
              <w:ind w:firstLine="0"/>
              <w:jc w:val="center"/>
            </w:pPr>
            <w:r>
              <w:rPr>
                <w:rFonts w:ascii="Times New Roman" w:hAnsi="Times New Roman" w:eastAsia="宋体"/>
                <w:sz w:val="18"/>
              </w:rPr>
              <w:t>17.4430</w:t>
            </w:r>
          </w:p>
        </w:tc>
        <w:tc>
          <w:tcPr>
            <w:tcW w:w="1814" w:type="dxa"/>
            <w:tcMar>
              <w:top w:w="70" w:type="dxa"/>
              <w:left w:w="70" w:type="dxa"/>
              <w:bottom w:w="70" w:type="dxa"/>
              <w:right w:w="70" w:type="dxa"/>
            </w:tcMar>
            <w:vAlign w:val="center"/>
          </w:tcPr>
          <w:p w14:paraId="6F75C2B6">
            <w:pPr>
              <w:ind w:firstLine="0"/>
              <w:jc w:val="center"/>
            </w:pPr>
            <w:r>
              <w:rPr>
                <w:rFonts w:ascii="Times New Roman" w:hAnsi="Times New Roman" w:eastAsia="宋体"/>
                <w:sz w:val="18"/>
              </w:rPr>
              <w:t>11.2049</w:t>
            </w:r>
          </w:p>
        </w:tc>
        <w:tc>
          <w:tcPr>
            <w:tcW w:w="1814" w:type="dxa"/>
            <w:tcMar>
              <w:top w:w="70" w:type="dxa"/>
              <w:left w:w="70" w:type="dxa"/>
              <w:bottom w:w="70" w:type="dxa"/>
              <w:right w:w="70" w:type="dxa"/>
            </w:tcMar>
            <w:vAlign w:val="center"/>
          </w:tcPr>
          <w:p w14:paraId="5FC315D2">
            <w:pPr>
              <w:ind w:firstLine="0"/>
              <w:jc w:val="center"/>
            </w:pPr>
            <w:r>
              <w:rPr>
                <w:rFonts w:ascii="Times New Roman" w:hAnsi="Times New Roman" w:eastAsia="宋体"/>
                <w:sz w:val="18"/>
              </w:rPr>
              <w:t>11.4418</w:t>
            </w:r>
          </w:p>
        </w:tc>
      </w:tr>
      <w:tr w14:paraId="6EBF292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268" w:type="dxa"/>
            <w:tcMar>
              <w:top w:w="70" w:type="dxa"/>
              <w:left w:w="70" w:type="dxa"/>
              <w:bottom w:w="70" w:type="dxa"/>
              <w:right w:w="70" w:type="dxa"/>
            </w:tcMar>
            <w:vAlign w:val="center"/>
          </w:tcPr>
          <w:p w14:paraId="5CE04492">
            <w:pPr>
              <w:ind w:firstLine="0"/>
              <w:jc w:val="center"/>
            </w:pPr>
            <w:r>
              <w:rPr>
                <w:rFonts w:ascii="Times New Roman" w:hAnsi="Times New Roman" w:eastAsia="宋体"/>
                <w:sz w:val="18"/>
              </w:rPr>
              <w:t>Shuffled</w:t>
            </w:r>
          </w:p>
        </w:tc>
        <w:tc>
          <w:tcPr>
            <w:tcW w:w="1814" w:type="dxa"/>
            <w:tcMar>
              <w:top w:w="70" w:type="dxa"/>
              <w:left w:w="70" w:type="dxa"/>
              <w:bottom w:w="70" w:type="dxa"/>
              <w:right w:w="70" w:type="dxa"/>
            </w:tcMar>
            <w:vAlign w:val="center"/>
          </w:tcPr>
          <w:p w14:paraId="4D3C043F">
            <w:pPr>
              <w:ind w:firstLine="0"/>
              <w:jc w:val="center"/>
            </w:pPr>
            <w:r>
              <w:rPr>
                <w:rFonts w:ascii="Times New Roman" w:hAnsi="Times New Roman" w:eastAsia="宋体"/>
                <w:sz w:val="18"/>
              </w:rPr>
              <w:t>17.4637</w:t>
            </w:r>
          </w:p>
        </w:tc>
        <w:tc>
          <w:tcPr>
            <w:tcW w:w="1814" w:type="dxa"/>
            <w:tcMar>
              <w:top w:w="70" w:type="dxa"/>
              <w:left w:w="70" w:type="dxa"/>
              <w:bottom w:w="70" w:type="dxa"/>
              <w:right w:w="70" w:type="dxa"/>
            </w:tcMar>
            <w:vAlign w:val="center"/>
          </w:tcPr>
          <w:p w14:paraId="3279DD13">
            <w:pPr>
              <w:ind w:firstLine="0"/>
              <w:jc w:val="center"/>
            </w:pPr>
            <w:r>
              <w:rPr>
                <w:rFonts w:ascii="Times New Roman" w:hAnsi="Times New Roman" w:eastAsia="宋体"/>
                <w:sz w:val="18"/>
              </w:rPr>
              <w:t>11.2023</w:t>
            </w:r>
          </w:p>
        </w:tc>
        <w:tc>
          <w:tcPr>
            <w:tcW w:w="1814" w:type="dxa"/>
            <w:tcMar>
              <w:top w:w="70" w:type="dxa"/>
              <w:left w:w="70" w:type="dxa"/>
              <w:bottom w:w="70" w:type="dxa"/>
              <w:right w:w="70" w:type="dxa"/>
            </w:tcMar>
            <w:vAlign w:val="center"/>
          </w:tcPr>
          <w:p w14:paraId="6AD85893">
            <w:pPr>
              <w:ind w:firstLine="0"/>
              <w:jc w:val="center"/>
            </w:pPr>
            <w:r>
              <w:rPr>
                <w:rFonts w:ascii="Times New Roman" w:hAnsi="Times New Roman" w:eastAsia="宋体"/>
                <w:sz w:val="18"/>
              </w:rPr>
              <w:t>11.4360</w:t>
            </w:r>
          </w:p>
        </w:tc>
      </w:tr>
      <w:tr w14:paraId="7CA1A6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268" w:type="dxa"/>
            <w:tcMar>
              <w:top w:w="70" w:type="dxa"/>
              <w:left w:w="70" w:type="dxa"/>
              <w:bottom w:w="70" w:type="dxa"/>
              <w:right w:w="70" w:type="dxa"/>
            </w:tcMar>
            <w:vAlign w:val="center"/>
          </w:tcPr>
          <w:p w14:paraId="1ED77702">
            <w:pPr>
              <w:ind w:firstLine="0"/>
              <w:jc w:val="center"/>
            </w:pPr>
            <w:r>
              <w:rPr>
                <w:rFonts w:ascii="Times New Roman" w:hAnsi="Times New Roman" w:eastAsia="宋体"/>
                <w:sz w:val="18"/>
              </w:rPr>
              <w:t>Predicted</w:t>
            </w:r>
          </w:p>
        </w:tc>
        <w:tc>
          <w:tcPr>
            <w:tcW w:w="1814" w:type="dxa"/>
            <w:tcMar>
              <w:top w:w="70" w:type="dxa"/>
              <w:left w:w="70" w:type="dxa"/>
              <w:bottom w:w="70" w:type="dxa"/>
              <w:right w:w="70" w:type="dxa"/>
            </w:tcMar>
            <w:vAlign w:val="center"/>
          </w:tcPr>
          <w:p w14:paraId="55BA51F5">
            <w:pPr>
              <w:ind w:firstLine="0"/>
              <w:jc w:val="center"/>
            </w:pPr>
            <w:r>
              <w:rPr>
                <w:rFonts w:ascii="Times New Roman" w:hAnsi="Times New Roman" w:eastAsia="宋体"/>
                <w:sz w:val="18"/>
              </w:rPr>
              <w:t>17.4530</w:t>
            </w:r>
          </w:p>
        </w:tc>
        <w:tc>
          <w:tcPr>
            <w:tcW w:w="1814" w:type="dxa"/>
            <w:tcMar>
              <w:top w:w="70" w:type="dxa"/>
              <w:left w:w="70" w:type="dxa"/>
              <w:bottom w:w="70" w:type="dxa"/>
              <w:right w:w="70" w:type="dxa"/>
            </w:tcMar>
            <w:vAlign w:val="center"/>
          </w:tcPr>
          <w:p w14:paraId="26C6D3E6">
            <w:pPr>
              <w:ind w:firstLine="0"/>
              <w:jc w:val="center"/>
            </w:pPr>
            <w:r>
              <w:rPr>
                <w:rFonts w:ascii="Times New Roman" w:hAnsi="Times New Roman" w:eastAsia="宋体"/>
                <w:sz w:val="18"/>
              </w:rPr>
              <w:t>11.2008</w:t>
            </w:r>
          </w:p>
        </w:tc>
        <w:tc>
          <w:tcPr>
            <w:tcW w:w="1814" w:type="dxa"/>
            <w:tcMar>
              <w:top w:w="70" w:type="dxa"/>
              <w:left w:w="70" w:type="dxa"/>
              <w:bottom w:w="70" w:type="dxa"/>
              <w:right w:w="70" w:type="dxa"/>
            </w:tcMar>
            <w:vAlign w:val="center"/>
          </w:tcPr>
          <w:p w14:paraId="2F2AC26E">
            <w:pPr>
              <w:ind w:firstLine="0"/>
              <w:jc w:val="center"/>
            </w:pPr>
            <w:r>
              <w:rPr>
                <w:rFonts w:ascii="Times New Roman" w:hAnsi="Times New Roman" w:eastAsia="宋体"/>
                <w:sz w:val="18"/>
              </w:rPr>
              <w:t>11.4394</w:t>
            </w:r>
          </w:p>
        </w:tc>
      </w:tr>
      <w:tr w14:paraId="1BC972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268" w:type="dxa"/>
            <w:tcMar>
              <w:top w:w="70" w:type="dxa"/>
              <w:left w:w="70" w:type="dxa"/>
              <w:bottom w:w="70" w:type="dxa"/>
              <w:right w:w="70" w:type="dxa"/>
            </w:tcMar>
            <w:vAlign w:val="center"/>
          </w:tcPr>
          <w:p w14:paraId="0FD12810">
            <w:pPr>
              <w:ind w:firstLine="0"/>
              <w:jc w:val="center"/>
            </w:pPr>
            <w:r>
              <w:rPr>
                <w:rFonts w:ascii="Times New Roman" w:hAnsi="Times New Roman" w:eastAsia="宋体"/>
                <w:sz w:val="18"/>
              </w:rPr>
              <w:t>Oracle</w:t>
            </w:r>
          </w:p>
        </w:tc>
        <w:tc>
          <w:tcPr>
            <w:tcW w:w="1814" w:type="dxa"/>
            <w:tcMar>
              <w:top w:w="70" w:type="dxa"/>
              <w:left w:w="70" w:type="dxa"/>
              <w:bottom w:w="70" w:type="dxa"/>
              <w:right w:w="70" w:type="dxa"/>
            </w:tcMar>
            <w:vAlign w:val="center"/>
          </w:tcPr>
          <w:p w14:paraId="7FAF965D">
            <w:pPr>
              <w:ind w:firstLine="0"/>
              <w:jc w:val="center"/>
            </w:pPr>
            <w:r>
              <w:rPr>
                <w:rFonts w:ascii="Times New Roman" w:hAnsi="Times New Roman" w:eastAsia="宋体"/>
                <w:sz w:val="18"/>
              </w:rPr>
              <w:t>17.4545</w:t>
            </w:r>
          </w:p>
        </w:tc>
        <w:tc>
          <w:tcPr>
            <w:tcW w:w="1814" w:type="dxa"/>
            <w:tcMar>
              <w:top w:w="70" w:type="dxa"/>
              <w:left w:w="70" w:type="dxa"/>
              <w:bottom w:w="70" w:type="dxa"/>
              <w:right w:w="70" w:type="dxa"/>
            </w:tcMar>
            <w:vAlign w:val="center"/>
          </w:tcPr>
          <w:p w14:paraId="0D3D4B66">
            <w:pPr>
              <w:ind w:firstLine="0"/>
              <w:jc w:val="center"/>
            </w:pPr>
            <w:r>
              <w:rPr>
                <w:rFonts w:ascii="Times New Roman" w:hAnsi="Times New Roman" w:eastAsia="宋体"/>
                <w:sz w:val="18"/>
              </w:rPr>
              <w:t>11.2007</w:t>
            </w:r>
          </w:p>
        </w:tc>
        <w:tc>
          <w:tcPr>
            <w:tcW w:w="1814" w:type="dxa"/>
            <w:tcMar>
              <w:top w:w="70" w:type="dxa"/>
              <w:left w:w="70" w:type="dxa"/>
              <w:bottom w:w="70" w:type="dxa"/>
              <w:right w:w="70" w:type="dxa"/>
            </w:tcMar>
            <w:vAlign w:val="center"/>
          </w:tcPr>
          <w:p w14:paraId="113A5EE4">
            <w:pPr>
              <w:ind w:firstLine="0"/>
              <w:jc w:val="center"/>
            </w:pPr>
            <w:r>
              <w:rPr>
                <w:rFonts w:ascii="Times New Roman" w:hAnsi="Times New Roman" w:eastAsia="宋体"/>
                <w:sz w:val="18"/>
              </w:rPr>
              <w:t>11.4408</w:t>
            </w:r>
          </w:p>
        </w:tc>
      </w:tr>
    </w:tbl>
    <w:p w14:paraId="36FF37D5">
      <w:pPr>
        <w:spacing w:after="0" w:line="360" w:lineRule="auto"/>
        <w:ind w:firstLine="420"/>
      </w:pPr>
      <w:r>
        <w:rPr>
          <w:rFonts w:ascii="Times New Roman" w:hAnsi="Times New Roman" w:eastAsia="宋体"/>
          <w:i w:val="0"/>
          <w:sz w:val="21"/>
        </w:rPr>
        <w:t>V1的Zero、Shuffled、Predicted和Oracle结果差异极小，LSD仅在11.2007至11.2049之间波动，HF-LSD仅在11.4360至11.4418之间波动；箱线图也高度重叠。因此，当前结果不能证明增强收益来自正确的退化条件，只能得出“现有V1门控对条件扰动不敏感”的诊断性结论。这一负结果必须保留，因为它直接决定后续应优先改进条件注入和门控，而不是继续无目的延长训练。</w:t>
      </w:r>
    </w:p>
    <w:p w14:paraId="421EF6BD">
      <w:pPr>
        <w:ind w:firstLine="0"/>
        <w:jc w:val="center"/>
      </w:pPr>
      <w:r>
        <w:drawing>
          <wp:inline distT="0" distB="0" distL="114300" distR="114300">
            <wp:extent cx="5255895" cy="9537065"/>
            <wp:effectExtent l="0" t="0" r="190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256000" cy="9537097"/>
                    </a:xfrm>
                    <a:prstGeom prst="rect">
                      <a:avLst/>
                    </a:prstGeom>
                  </pic:spPr>
                </pic:pic>
              </a:graphicData>
            </a:graphic>
          </wp:inline>
        </w:drawing>
      </w:r>
    </w:p>
    <w:p w14:paraId="70CA7657">
      <w:pPr>
        <w:spacing w:before="60" w:after="120"/>
        <w:ind w:firstLine="0"/>
        <w:jc w:val="center"/>
      </w:pPr>
      <w:r>
        <w:rPr>
          <w:rFonts w:ascii="Times New Roman" w:hAnsi="Times New Roman" w:eastAsia="宋体"/>
          <w:sz w:val="21"/>
        </w:rPr>
        <w:t>图 4-8  EDCR-V1在不同条件来源下的句级分布</w:t>
      </w:r>
    </w:p>
    <w:p w14:paraId="52934436">
      <w:pPr>
        <w:spacing w:after="0" w:line="360" w:lineRule="auto"/>
        <w:ind w:firstLine="420"/>
      </w:pPr>
      <w:r>
        <w:rPr>
          <w:rFonts w:ascii="Times New Roman" w:hAnsi="Times New Roman" w:eastAsia="宋体"/>
          <w:i w:val="0"/>
          <w:sz w:val="21"/>
        </w:rPr>
        <w:t>当前V2条件表暂不纳入正式结论。其Oracle行的LSD/HF-LSD为18.0910/18.7897，与系统级Oracle评估中的11.6136/12.5142明显不一致，说明两组结果可能使用了不同检查点、不同频谱布局或不同评价路径。在评价口径统一前，保留该表反而会削弱论文可信度。</w:t>
      </w:r>
    </w:p>
    <w:p w14:paraId="3E2ECC58">
      <w:pPr>
        <w:ind w:left="283" w:firstLine="0"/>
      </w:pPr>
      <w:r>
        <w:rPr>
          <w:rFonts w:ascii="Times New Roman" w:hAnsi="Times New Roman" w:eastAsia="宋体"/>
          <w:i/>
          <w:color w:val="C00000"/>
          <w:sz w:val="20"/>
        </w:rPr>
        <w:t>【待补充】重新评估V2-Initial与V2-Refined-A的Zero/Shuffled/Predicted/Oracle；同时记录global gate、low/mid/high gate和残差能量比。只有Predicted显著优于Zero/Shuffled并接近Oracle，才能把增强收益归因于显式退化条件。</w:t>
      </w:r>
    </w:p>
    <w:p w14:paraId="730656EC">
      <w:pPr>
        <w:pStyle w:val="4"/>
        <w:ind w:firstLine="0"/>
      </w:pPr>
      <w:r>
        <w:rPr>
          <w:rFonts w:ascii="Times New Roman" w:hAnsi="Times New Roman" w:eastAsia="黑体"/>
          <w:b/>
          <w:sz w:val="28"/>
        </w:rPr>
        <w:t>4.5 典型频谱与误差分析</w:t>
      </w:r>
    </w:p>
    <w:p w14:paraId="43AC3848">
      <w:pPr>
        <w:spacing w:after="0" w:line="360" w:lineRule="auto"/>
        <w:ind w:firstLine="420"/>
      </w:pPr>
      <w:r>
        <w:rPr>
          <w:rFonts w:ascii="Times New Roman" w:hAnsi="Times New Roman" w:eastAsia="宋体"/>
          <w:i w:val="0"/>
          <w:sz w:val="21"/>
        </w:rPr>
        <w:t>典型频谱图用于解释模型修复区域，不能替代定量指标。现有三组案例显示，V1在多个样本中减弱了Base残留的频谱误差；V2-Initial则出现较明显的频带块状边界与整带偏移，尤其在低、中、高频切分位置附近呈现水平不连续。这与其整体HF-LSD弱于V1以及clean/light过修复现象相互印证，也构成引入更小alpha上限、global gate、complex loss和protect loss的直接实验依据。</w:t>
      </w:r>
    </w:p>
    <w:p w14:paraId="1B5C9255">
      <w:pPr>
        <w:ind w:firstLine="0"/>
        <w:jc w:val="center"/>
      </w:pPr>
      <w:r>
        <w:drawing>
          <wp:inline distT="0" distB="0" distL="114300" distR="114300">
            <wp:extent cx="5471795" cy="4553585"/>
            <wp:effectExtent l="0" t="0" r="14605"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72000" cy="4554034"/>
                    </a:xfrm>
                    <a:prstGeom prst="rect">
                      <a:avLst/>
                    </a:prstGeom>
                  </pic:spPr>
                </pic:pic>
              </a:graphicData>
            </a:graphic>
          </wp:inline>
        </w:drawing>
      </w:r>
    </w:p>
    <w:p w14:paraId="4D7A83F2">
      <w:pPr>
        <w:spacing w:before="60" w:after="120"/>
        <w:ind w:firstLine="0"/>
        <w:jc w:val="center"/>
      </w:pPr>
      <w:r>
        <w:rPr>
          <w:rFonts w:ascii="Times New Roman" w:hAnsi="Times New Roman" w:eastAsia="宋体"/>
          <w:sz w:val="21"/>
        </w:rPr>
        <w:t>图 4-9  轻度复合退化样本的频谱与绝对误差对比</w:t>
      </w:r>
    </w:p>
    <w:p w14:paraId="3AAE9904">
      <w:pPr>
        <w:ind w:firstLine="0"/>
        <w:jc w:val="center"/>
      </w:pPr>
      <w:r>
        <w:drawing>
          <wp:inline distT="0" distB="0" distL="114300" distR="114300">
            <wp:extent cx="5471795" cy="4553585"/>
            <wp:effectExtent l="0" t="0" r="14605" b="184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72000" cy="4554034"/>
                    </a:xfrm>
                    <a:prstGeom prst="rect">
                      <a:avLst/>
                    </a:prstGeom>
                  </pic:spPr>
                </pic:pic>
              </a:graphicData>
            </a:graphic>
          </wp:inline>
        </w:drawing>
      </w:r>
    </w:p>
    <w:p w14:paraId="1808CDE0">
      <w:pPr>
        <w:spacing w:before="60" w:after="120"/>
        <w:ind w:firstLine="0"/>
        <w:jc w:val="center"/>
      </w:pPr>
      <w:r>
        <w:rPr>
          <w:rFonts w:ascii="Times New Roman" w:hAnsi="Times New Roman" w:eastAsia="宋体"/>
          <w:sz w:val="21"/>
        </w:rPr>
        <w:t>图 4-10  中度复合退化样本的频谱与绝对误差对比</w:t>
      </w:r>
    </w:p>
    <w:p w14:paraId="4A192561">
      <w:pPr>
        <w:ind w:firstLine="0"/>
        <w:jc w:val="center"/>
      </w:pPr>
      <w:r>
        <w:drawing>
          <wp:inline distT="0" distB="0" distL="114300" distR="114300">
            <wp:extent cx="5471795" cy="4553585"/>
            <wp:effectExtent l="0" t="0" r="14605" b="184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72000" cy="4554034"/>
                    </a:xfrm>
                    <a:prstGeom prst="rect">
                      <a:avLst/>
                    </a:prstGeom>
                  </pic:spPr>
                </pic:pic>
              </a:graphicData>
            </a:graphic>
          </wp:inline>
        </w:drawing>
      </w:r>
    </w:p>
    <w:p w14:paraId="3627DC52">
      <w:pPr>
        <w:spacing w:before="60" w:after="120"/>
        <w:ind w:firstLine="0"/>
        <w:jc w:val="center"/>
      </w:pPr>
      <w:r>
        <w:rPr>
          <w:rFonts w:ascii="Times New Roman" w:hAnsi="Times New Roman" w:eastAsia="宋体"/>
          <w:sz w:val="21"/>
        </w:rPr>
        <w:t>图 4-11  重度复合退化样本的频谱与绝对误差对比</w:t>
      </w:r>
    </w:p>
    <w:p w14:paraId="71490536">
      <w:pPr>
        <w:spacing w:before="60" w:after="60"/>
        <w:ind w:left="283" w:right="283" w:firstLine="0"/>
      </w:pPr>
      <w:r>
        <w:rPr>
          <w:rFonts w:ascii="Times New Roman" w:hAnsi="Times New Roman" w:eastAsia="宋体"/>
          <w:i/>
          <w:color w:val="595959"/>
          <w:sz w:val="19"/>
        </w:rPr>
        <w:t>说明：最终版本应确保三个案例使用统一dB范围、统一色条和统一样本选择规则，并在图注中写明噪声、SNR、带宽和位深标签；建议进一步加入Residual Map，而非仅展示Absolute Error。</w:t>
      </w:r>
    </w:p>
    <w:p w14:paraId="57DECA27">
      <w:pPr>
        <w:pStyle w:val="4"/>
        <w:ind w:firstLine="0"/>
      </w:pPr>
      <w:r>
        <w:rPr>
          <w:rFonts w:ascii="Times New Roman" w:hAnsi="Times New Roman" w:eastAsia="黑体"/>
          <w:b/>
          <w:sz w:val="28"/>
        </w:rPr>
        <w:t>4.6 参数规模与计算成本</w:t>
      </w:r>
    </w:p>
    <w:p w14:paraId="57EA4656">
      <w:pPr>
        <w:spacing w:after="0" w:line="360" w:lineRule="auto"/>
        <w:ind w:firstLine="420"/>
      </w:pPr>
      <w:r>
        <w:rPr>
          <w:rFonts w:ascii="Times New Roman" w:hAnsi="Times New Roman" w:eastAsia="宋体"/>
          <w:i w:val="0"/>
          <w:sz w:val="21"/>
        </w:rPr>
        <w:t>EDCR采用冻结基础增强器与轻量增量模块。参数量可以证明新增训练成本较低，但不能单独证明推理实时性，因为推理阶段仍需执行基础增强器、Estimator和Residual。</w:t>
      </w:r>
    </w:p>
    <w:p w14:paraId="0F1BA679">
      <w:pPr>
        <w:spacing w:before="60" w:after="120"/>
        <w:ind w:firstLine="0"/>
        <w:jc w:val="center"/>
      </w:pPr>
      <w:r>
        <w:rPr>
          <w:rFonts w:ascii="Times New Roman" w:hAnsi="Times New Roman" w:eastAsia="宋体"/>
          <w:sz w:val="21"/>
        </w:rPr>
        <w:t>表 4-7  当前模型参数规模</w:t>
      </w:r>
    </w:p>
    <w:tbl>
      <w:tblPr>
        <w:tblStyle w:val="3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928"/>
        <w:gridCol w:w="1417"/>
        <w:gridCol w:w="1417"/>
        <w:gridCol w:w="1417"/>
        <w:gridCol w:w="1417"/>
        <w:gridCol w:w="1587"/>
      </w:tblGrid>
      <w:tr w14:paraId="5B3847E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1928" w:type="dxa"/>
            <w:shd w:val="clear" w:color="auto" w:fill="D9EAF7"/>
            <w:tcMar>
              <w:top w:w="70" w:type="dxa"/>
              <w:left w:w="70" w:type="dxa"/>
              <w:bottom w:w="70" w:type="dxa"/>
              <w:right w:w="70" w:type="dxa"/>
            </w:tcMar>
            <w:vAlign w:val="center"/>
          </w:tcPr>
          <w:p w14:paraId="082A9B0B">
            <w:pPr>
              <w:ind w:firstLine="0"/>
              <w:jc w:val="center"/>
            </w:pPr>
            <w:r>
              <w:rPr>
                <w:rFonts w:ascii="Times New Roman" w:hAnsi="Times New Roman" w:eastAsia="黑体"/>
                <w:b/>
                <w:sz w:val="17"/>
              </w:rPr>
              <w:t>模型</w:t>
            </w:r>
          </w:p>
        </w:tc>
        <w:tc>
          <w:tcPr>
            <w:tcW w:w="1417" w:type="dxa"/>
            <w:shd w:val="clear" w:color="auto" w:fill="D9EAF7"/>
            <w:tcMar>
              <w:top w:w="70" w:type="dxa"/>
              <w:left w:w="70" w:type="dxa"/>
              <w:bottom w:w="70" w:type="dxa"/>
              <w:right w:w="70" w:type="dxa"/>
            </w:tcMar>
            <w:vAlign w:val="center"/>
          </w:tcPr>
          <w:p w14:paraId="2686C95F">
            <w:pPr>
              <w:ind w:firstLine="0"/>
              <w:jc w:val="center"/>
            </w:pPr>
            <w:r>
              <w:rPr>
                <w:rFonts w:ascii="Times New Roman" w:hAnsi="Times New Roman" w:eastAsia="黑体"/>
                <w:b/>
                <w:sz w:val="17"/>
              </w:rPr>
              <w:t>总参数量</w:t>
            </w:r>
          </w:p>
        </w:tc>
        <w:tc>
          <w:tcPr>
            <w:tcW w:w="1417" w:type="dxa"/>
            <w:shd w:val="clear" w:color="auto" w:fill="D9EAF7"/>
            <w:tcMar>
              <w:top w:w="70" w:type="dxa"/>
              <w:left w:w="70" w:type="dxa"/>
              <w:bottom w:w="70" w:type="dxa"/>
              <w:right w:w="70" w:type="dxa"/>
            </w:tcMar>
            <w:vAlign w:val="center"/>
          </w:tcPr>
          <w:p w14:paraId="129E4482">
            <w:pPr>
              <w:ind w:firstLine="0"/>
              <w:jc w:val="center"/>
            </w:pPr>
            <w:r>
              <w:rPr>
                <w:rFonts w:ascii="Times New Roman" w:hAnsi="Times New Roman" w:eastAsia="黑体"/>
                <w:b/>
                <w:sz w:val="17"/>
              </w:rPr>
              <w:t>新增参数量</w:t>
            </w:r>
          </w:p>
        </w:tc>
        <w:tc>
          <w:tcPr>
            <w:tcW w:w="1417" w:type="dxa"/>
            <w:shd w:val="clear" w:color="auto" w:fill="D9EAF7"/>
            <w:tcMar>
              <w:top w:w="70" w:type="dxa"/>
              <w:left w:w="70" w:type="dxa"/>
              <w:bottom w:w="70" w:type="dxa"/>
              <w:right w:w="70" w:type="dxa"/>
            </w:tcMar>
            <w:vAlign w:val="center"/>
          </w:tcPr>
          <w:p w14:paraId="7DADEC6C">
            <w:pPr>
              <w:ind w:firstLine="0"/>
              <w:jc w:val="center"/>
            </w:pPr>
            <w:r>
              <w:rPr>
                <w:rFonts w:ascii="Times New Roman" w:hAnsi="Times New Roman" w:eastAsia="黑体"/>
                <w:b/>
                <w:sz w:val="17"/>
              </w:rPr>
              <w:t>Estimator参数</w:t>
            </w:r>
          </w:p>
        </w:tc>
        <w:tc>
          <w:tcPr>
            <w:tcW w:w="1417" w:type="dxa"/>
            <w:shd w:val="clear" w:color="auto" w:fill="D9EAF7"/>
            <w:tcMar>
              <w:top w:w="70" w:type="dxa"/>
              <w:left w:w="70" w:type="dxa"/>
              <w:bottom w:w="70" w:type="dxa"/>
              <w:right w:w="70" w:type="dxa"/>
            </w:tcMar>
            <w:vAlign w:val="center"/>
          </w:tcPr>
          <w:p w14:paraId="73642D80">
            <w:pPr>
              <w:ind w:firstLine="0"/>
              <w:jc w:val="center"/>
            </w:pPr>
            <w:r>
              <w:rPr>
                <w:rFonts w:ascii="Times New Roman" w:hAnsi="Times New Roman" w:eastAsia="黑体"/>
                <w:b/>
                <w:sz w:val="17"/>
              </w:rPr>
              <w:t>Residual参数</w:t>
            </w:r>
          </w:p>
        </w:tc>
        <w:tc>
          <w:tcPr>
            <w:tcW w:w="1587" w:type="dxa"/>
            <w:shd w:val="clear" w:color="auto" w:fill="D9EAF7"/>
            <w:tcMar>
              <w:top w:w="70" w:type="dxa"/>
              <w:left w:w="70" w:type="dxa"/>
              <w:bottom w:w="70" w:type="dxa"/>
              <w:right w:w="70" w:type="dxa"/>
            </w:tcMar>
            <w:vAlign w:val="center"/>
          </w:tcPr>
          <w:p w14:paraId="1A858698">
            <w:pPr>
              <w:ind w:firstLine="0"/>
              <w:jc w:val="center"/>
            </w:pPr>
            <w:r>
              <w:rPr>
                <w:rFonts w:ascii="Times New Roman" w:hAnsi="Times New Roman" w:eastAsia="黑体"/>
                <w:b/>
                <w:sz w:val="17"/>
              </w:rPr>
              <w:t>Residual检查点/MB</w:t>
            </w:r>
          </w:p>
        </w:tc>
      </w:tr>
      <w:tr w14:paraId="68BA3FD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928" w:type="dxa"/>
            <w:tcMar>
              <w:top w:w="70" w:type="dxa"/>
              <w:left w:w="70" w:type="dxa"/>
              <w:bottom w:w="70" w:type="dxa"/>
              <w:right w:w="70" w:type="dxa"/>
            </w:tcMar>
            <w:vAlign w:val="center"/>
          </w:tcPr>
          <w:p w14:paraId="5B2B8364">
            <w:pPr>
              <w:ind w:firstLine="0"/>
              <w:jc w:val="center"/>
            </w:pPr>
            <w:r>
              <w:rPr>
                <w:rFonts w:ascii="Times New Roman" w:hAnsi="Times New Roman" w:eastAsia="宋体"/>
                <w:sz w:val="17"/>
              </w:rPr>
              <w:t>Base Enhancer</w:t>
            </w:r>
          </w:p>
        </w:tc>
        <w:tc>
          <w:tcPr>
            <w:tcW w:w="1417" w:type="dxa"/>
            <w:tcMar>
              <w:top w:w="70" w:type="dxa"/>
              <w:left w:w="70" w:type="dxa"/>
              <w:bottom w:w="70" w:type="dxa"/>
              <w:right w:w="70" w:type="dxa"/>
            </w:tcMar>
            <w:vAlign w:val="center"/>
          </w:tcPr>
          <w:p w14:paraId="558B6907">
            <w:pPr>
              <w:ind w:firstLine="0"/>
              <w:jc w:val="center"/>
            </w:pPr>
            <w:r>
              <w:rPr>
                <w:rFonts w:ascii="Times New Roman" w:hAnsi="Times New Roman" w:eastAsia="宋体"/>
                <w:sz w:val="17"/>
              </w:rPr>
              <w:t>48,245</w:t>
            </w:r>
          </w:p>
        </w:tc>
        <w:tc>
          <w:tcPr>
            <w:tcW w:w="1417" w:type="dxa"/>
            <w:tcMar>
              <w:top w:w="70" w:type="dxa"/>
              <w:left w:w="70" w:type="dxa"/>
              <w:bottom w:w="70" w:type="dxa"/>
              <w:right w:w="70" w:type="dxa"/>
            </w:tcMar>
            <w:vAlign w:val="center"/>
          </w:tcPr>
          <w:p w14:paraId="25EC78A0">
            <w:pPr>
              <w:ind w:firstLine="0"/>
              <w:jc w:val="center"/>
            </w:pPr>
            <w:r>
              <w:rPr>
                <w:rFonts w:ascii="Times New Roman" w:hAnsi="Times New Roman" w:eastAsia="宋体"/>
                <w:sz w:val="17"/>
              </w:rPr>
              <w:t>0</w:t>
            </w:r>
          </w:p>
        </w:tc>
        <w:tc>
          <w:tcPr>
            <w:tcW w:w="1417" w:type="dxa"/>
            <w:tcMar>
              <w:top w:w="70" w:type="dxa"/>
              <w:left w:w="70" w:type="dxa"/>
              <w:bottom w:w="70" w:type="dxa"/>
              <w:right w:w="70" w:type="dxa"/>
            </w:tcMar>
            <w:vAlign w:val="center"/>
          </w:tcPr>
          <w:p w14:paraId="03535110">
            <w:pPr>
              <w:ind w:firstLine="0"/>
              <w:jc w:val="center"/>
            </w:pPr>
            <w:r>
              <w:rPr>
                <w:rFonts w:ascii="Times New Roman" w:hAnsi="Times New Roman" w:eastAsia="宋体"/>
                <w:sz w:val="17"/>
              </w:rPr>
              <w:t>0</w:t>
            </w:r>
          </w:p>
        </w:tc>
        <w:tc>
          <w:tcPr>
            <w:tcW w:w="1417" w:type="dxa"/>
            <w:tcMar>
              <w:top w:w="70" w:type="dxa"/>
              <w:left w:w="70" w:type="dxa"/>
              <w:bottom w:w="70" w:type="dxa"/>
              <w:right w:w="70" w:type="dxa"/>
            </w:tcMar>
            <w:vAlign w:val="center"/>
          </w:tcPr>
          <w:p w14:paraId="75590358">
            <w:pPr>
              <w:ind w:firstLine="0"/>
              <w:jc w:val="center"/>
            </w:pPr>
            <w:r>
              <w:rPr>
                <w:rFonts w:ascii="Times New Roman" w:hAnsi="Times New Roman" w:eastAsia="宋体"/>
                <w:sz w:val="17"/>
              </w:rPr>
              <w:t>0</w:t>
            </w:r>
          </w:p>
        </w:tc>
        <w:tc>
          <w:tcPr>
            <w:tcW w:w="1587" w:type="dxa"/>
            <w:tcMar>
              <w:top w:w="70" w:type="dxa"/>
              <w:left w:w="70" w:type="dxa"/>
              <w:bottom w:w="70" w:type="dxa"/>
              <w:right w:w="70" w:type="dxa"/>
            </w:tcMar>
            <w:vAlign w:val="center"/>
          </w:tcPr>
          <w:p w14:paraId="0EF5E7AD">
            <w:pPr>
              <w:ind w:firstLine="0"/>
              <w:jc w:val="center"/>
            </w:pPr>
            <w:r>
              <w:rPr>
                <w:rFonts w:ascii="Times New Roman" w:hAnsi="Times New Roman" w:eastAsia="宋体"/>
                <w:sz w:val="17"/>
              </w:rPr>
              <w:t>—</w:t>
            </w:r>
          </w:p>
        </w:tc>
      </w:tr>
      <w:tr w14:paraId="204C85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928" w:type="dxa"/>
            <w:tcMar>
              <w:top w:w="70" w:type="dxa"/>
              <w:left w:w="70" w:type="dxa"/>
              <w:bottom w:w="70" w:type="dxa"/>
              <w:right w:w="70" w:type="dxa"/>
            </w:tcMar>
            <w:vAlign w:val="center"/>
          </w:tcPr>
          <w:p w14:paraId="7652CCD7">
            <w:pPr>
              <w:ind w:firstLine="0"/>
              <w:jc w:val="center"/>
            </w:pPr>
            <w:r>
              <w:rPr>
                <w:rFonts w:ascii="Times New Roman" w:hAnsi="Times New Roman" w:eastAsia="宋体"/>
                <w:sz w:val="17"/>
              </w:rPr>
              <w:t>EDCR-V1</w:t>
            </w:r>
          </w:p>
        </w:tc>
        <w:tc>
          <w:tcPr>
            <w:tcW w:w="1417" w:type="dxa"/>
            <w:tcMar>
              <w:top w:w="70" w:type="dxa"/>
              <w:left w:w="70" w:type="dxa"/>
              <w:bottom w:w="70" w:type="dxa"/>
              <w:right w:w="70" w:type="dxa"/>
            </w:tcMar>
            <w:vAlign w:val="center"/>
          </w:tcPr>
          <w:p w14:paraId="03670EC0">
            <w:pPr>
              <w:ind w:firstLine="0"/>
              <w:jc w:val="center"/>
            </w:pPr>
            <w:r>
              <w:rPr>
                <w:rFonts w:ascii="Times New Roman" w:hAnsi="Times New Roman" w:eastAsia="宋体"/>
                <w:sz w:val="17"/>
              </w:rPr>
              <w:t>52,232</w:t>
            </w:r>
          </w:p>
        </w:tc>
        <w:tc>
          <w:tcPr>
            <w:tcW w:w="1417" w:type="dxa"/>
            <w:tcMar>
              <w:top w:w="70" w:type="dxa"/>
              <w:left w:w="70" w:type="dxa"/>
              <w:bottom w:w="70" w:type="dxa"/>
              <w:right w:w="70" w:type="dxa"/>
            </w:tcMar>
            <w:vAlign w:val="center"/>
          </w:tcPr>
          <w:p w14:paraId="03740EFA">
            <w:pPr>
              <w:ind w:firstLine="0"/>
              <w:jc w:val="center"/>
            </w:pPr>
            <w:r>
              <w:rPr>
                <w:rFonts w:ascii="Times New Roman" w:hAnsi="Times New Roman" w:eastAsia="宋体"/>
                <w:sz w:val="17"/>
              </w:rPr>
              <w:t>3,987</w:t>
            </w:r>
          </w:p>
        </w:tc>
        <w:tc>
          <w:tcPr>
            <w:tcW w:w="1417" w:type="dxa"/>
            <w:tcMar>
              <w:top w:w="70" w:type="dxa"/>
              <w:left w:w="70" w:type="dxa"/>
              <w:bottom w:w="70" w:type="dxa"/>
              <w:right w:w="70" w:type="dxa"/>
            </w:tcMar>
            <w:vAlign w:val="center"/>
          </w:tcPr>
          <w:p w14:paraId="7D2B816A">
            <w:pPr>
              <w:ind w:firstLine="0"/>
              <w:jc w:val="center"/>
            </w:pPr>
            <w:r>
              <w:rPr>
                <w:rFonts w:ascii="Times New Roman" w:hAnsi="Times New Roman" w:eastAsia="宋体"/>
                <w:sz w:val="17"/>
              </w:rPr>
              <w:t>1,803</w:t>
            </w:r>
          </w:p>
        </w:tc>
        <w:tc>
          <w:tcPr>
            <w:tcW w:w="1417" w:type="dxa"/>
            <w:tcMar>
              <w:top w:w="70" w:type="dxa"/>
              <w:left w:w="70" w:type="dxa"/>
              <w:bottom w:w="70" w:type="dxa"/>
              <w:right w:w="70" w:type="dxa"/>
            </w:tcMar>
            <w:vAlign w:val="center"/>
          </w:tcPr>
          <w:p w14:paraId="685B39F3">
            <w:pPr>
              <w:ind w:firstLine="0"/>
              <w:jc w:val="center"/>
            </w:pPr>
            <w:r>
              <w:rPr>
                <w:rFonts w:ascii="Times New Roman" w:hAnsi="Times New Roman" w:eastAsia="宋体"/>
                <w:sz w:val="17"/>
              </w:rPr>
              <w:t>2,184</w:t>
            </w:r>
          </w:p>
        </w:tc>
        <w:tc>
          <w:tcPr>
            <w:tcW w:w="1587" w:type="dxa"/>
            <w:tcMar>
              <w:top w:w="70" w:type="dxa"/>
              <w:left w:w="70" w:type="dxa"/>
              <w:bottom w:w="70" w:type="dxa"/>
              <w:right w:w="70" w:type="dxa"/>
            </w:tcMar>
            <w:vAlign w:val="center"/>
          </w:tcPr>
          <w:p w14:paraId="1C742126">
            <w:pPr>
              <w:ind w:firstLine="0"/>
              <w:jc w:val="center"/>
            </w:pPr>
            <w:r>
              <w:rPr>
                <w:rFonts w:ascii="Times New Roman" w:hAnsi="Times New Roman" w:eastAsia="宋体"/>
                <w:sz w:val="17"/>
              </w:rPr>
              <w:t>0.0148</w:t>
            </w:r>
          </w:p>
        </w:tc>
      </w:tr>
      <w:tr w14:paraId="33D659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928" w:type="dxa"/>
            <w:tcMar>
              <w:top w:w="70" w:type="dxa"/>
              <w:left w:w="70" w:type="dxa"/>
              <w:bottom w:w="70" w:type="dxa"/>
              <w:right w:w="70" w:type="dxa"/>
            </w:tcMar>
            <w:vAlign w:val="center"/>
          </w:tcPr>
          <w:p w14:paraId="7272F01D">
            <w:pPr>
              <w:ind w:firstLine="0"/>
              <w:jc w:val="center"/>
            </w:pPr>
            <w:r>
              <w:rPr>
                <w:rFonts w:ascii="Times New Roman" w:hAnsi="Times New Roman" w:eastAsia="宋体"/>
                <w:sz w:val="17"/>
              </w:rPr>
              <w:t>EDCR-V2-Initial</w:t>
            </w:r>
          </w:p>
        </w:tc>
        <w:tc>
          <w:tcPr>
            <w:tcW w:w="1417" w:type="dxa"/>
            <w:tcMar>
              <w:top w:w="70" w:type="dxa"/>
              <w:left w:w="70" w:type="dxa"/>
              <w:bottom w:w="70" w:type="dxa"/>
              <w:right w:w="70" w:type="dxa"/>
            </w:tcMar>
            <w:vAlign w:val="center"/>
          </w:tcPr>
          <w:p w14:paraId="28933460">
            <w:pPr>
              <w:ind w:firstLine="0"/>
              <w:jc w:val="center"/>
            </w:pPr>
            <w:r>
              <w:rPr>
                <w:rFonts w:ascii="Times New Roman" w:hAnsi="Times New Roman" w:eastAsia="宋体"/>
                <w:sz w:val="17"/>
              </w:rPr>
              <w:t>52,343</w:t>
            </w:r>
          </w:p>
        </w:tc>
        <w:tc>
          <w:tcPr>
            <w:tcW w:w="1417" w:type="dxa"/>
            <w:tcMar>
              <w:top w:w="70" w:type="dxa"/>
              <w:left w:w="70" w:type="dxa"/>
              <w:bottom w:w="70" w:type="dxa"/>
              <w:right w:w="70" w:type="dxa"/>
            </w:tcMar>
            <w:vAlign w:val="center"/>
          </w:tcPr>
          <w:p w14:paraId="7FD65535">
            <w:pPr>
              <w:ind w:firstLine="0"/>
              <w:jc w:val="center"/>
            </w:pPr>
            <w:r>
              <w:rPr>
                <w:rFonts w:ascii="Times New Roman" w:hAnsi="Times New Roman" w:eastAsia="宋体"/>
                <w:sz w:val="17"/>
              </w:rPr>
              <w:t>4,098</w:t>
            </w:r>
          </w:p>
        </w:tc>
        <w:tc>
          <w:tcPr>
            <w:tcW w:w="1417" w:type="dxa"/>
            <w:tcMar>
              <w:top w:w="70" w:type="dxa"/>
              <w:left w:w="70" w:type="dxa"/>
              <w:bottom w:w="70" w:type="dxa"/>
              <w:right w:w="70" w:type="dxa"/>
            </w:tcMar>
            <w:vAlign w:val="center"/>
          </w:tcPr>
          <w:p w14:paraId="68853663">
            <w:pPr>
              <w:ind w:firstLine="0"/>
              <w:jc w:val="center"/>
            </w:pPr>
            <w:r>
              <w:rPr>
                <w:rFonts w:ascii="Times New Roman" w:hAnsi="Times New Roman" w:eastAsia="宋体"/>
                <w:sz w:val="17"/>
              </w:rPr>
              <w:t>1,803</w:t>
            </w:r>
          </w:p>
        </w:tc>
        <w:tc>
          <w:tcPr>
            <w:tcW w:w="1417" w:type="dxa"/>
            <w:tcMar>
              <w:top w:w="70" w:type="dxa"/>
              <w:left w:w="70" w:type="dxa"/>
              <w:bottom w:w="70" w:type="dxa"/>
              <w:right w:w="70" w:type="dxa"/>
            </w:tcMar>
            <w:vAlign w:val="center"/>
          </w:tcPr>
          <w:p w14:paraId="0F0FEB17">
            <w:pPr>
              <w:ind w:firstLine="0"/>
              <w:jc w:val="center"/>
            </w:pPr>
            <w:r>
              <w:rPr>
                <w:rFonts w:ascii="Times New Roman" w:hAnsi="Times New Roman" w:eastAsia="宋体"/>
                <w:sz w:val="17"/>
              </w:rPr>
              <w:t>2,295</w:t>
            </w:r>
          </w:p>
        </w:tc>
        <w:tc>
          <w:tcPr>
            <w:tcW w:w="1587" w:type="dxa"/>
            <w:tcMar>
              <w:top w:w="70" w:type="dxa"/>
              <w:left w:w="70" w:type="dxa"/>
              <w:bottom w:w="70" w:type="dxa"/>
              <w:right w:w="70" w:type="dxa"/>
            </w:tcMar>
            <w:vAlign w:val="center"/>
          </w:tcPr>
          <w:p w14:paraId="12760C2D">
            <w:pPr>
              <w:ind w:firstLine="0"/>
              <w:jc w:val="center"/>
            </w:pPr>
            <w:r>
              <w:rPr>
                <w:rFonts w:ascii="Times New Roman" w:hAnsi="Times New Roman" w:eastAsia="宋体"/>
                <w:sz w:val="17"/>
              </w:rPr>
              <w:t>0.0179</w:t>
            </w:r>
          </w:p>
        </w:tc>
      </w:tr>
    </w:tbl>
    <w:p w14:paraId="605F969A">
      <w:pPr>
        <w:spacing w:after="0" w:line="360" w:lineRule="auto"/>
        <w:ind w:firstLine="420"/>
      </w:pPr>
      <w:r>
        <w:rPr>
          <w:rFonts w:ascii="Times New Roman" w:hAnsi="Times New Roman" w:eastAsia="宋体"/>
          <w:i w:val="0"/>
          <w:sz w:val="21"/>
        </w:rPr>
        <w:t>V1和V2-Initial相对Base分别新增3,987和4,098个参数，约占Base参数量的8.26%和8.49%，说明增量模块在参数规模上较为轻量。但当前检查点大小仅对应Residual文件，不能等同于完整部署模型大小。</w:t>
      </w:r>
    </w:p>
    <w:p w14:paraId="3875C329">
      <w:pPr>
        <w:ind w:left="283" w:firstLine="0"/>
      </w:pPr>
      <w:r>
        <w:rPr>
          <w:rFonts w:ascii="Times New Roman" w:hAnsi="Times New Roman" w:eastAsia="宋体"/>
          <w:i/>
          <w:color w:val="C00000"/>
          <w:sz w:val="20"/>
        </w:rPr>
        <w:t>【待补充】在同一硬件上补充单条2 s语音的CPU/GPU平均推理时间、RTF、峰值内存和MACs；记录Estimator与完整EDCR检查点大小。</w:t>
      </w:r>
    </w:p>
    <w:p w14:paraId="435052B7">
      <w:pPr>
        <w:pStyle w:val="4"/>
        <w:ind w:firstLine="0"/>
      </w:pPr>
      <w:r>
        <w:rPr>
          <w:rFonts w:ascii="Times New Roman" w:hAnsi="Times New Roman" w:eastAsia="黑体"/>
          <w:b/>
          <w:sz w:val="28"/>
        </w:rPr>
        <w:t>4.7 当前可成立结论与待补实验</w:t>
      </w:r>
    </w:p>
    <w:p w14:paraId="4F0C040A">
      <w:pPr>
        <w:spacing w:after="0" w:line="360" w:lineRule="auto"/>
        <w:ind w:firstLine="420"/>
      </w:pPr>
      <w:r>
        <w:rPr>
          <w:rFonts w:ascii="Times New Roman" w:hAnsi="Times New Roman" w:eastAsia="宋体"/>
          <w:i w:val="0"/>
          <w:sz w:val="21"/>
        </w:rPr>
        <w:t>基于当前可复核结果，第四章可保留的必要结论如下：第一，基础增强器深层统计能够较准确地表征噪声存在性、SNR和有效带宽，对位深具有总体可用但类别不均衡的判别能力；第二，V1和V2-Initial均能降低LSD与HF-LSD，说明轻量残差细化具有频谱修复价值，其中V1当前总体更稳定；第三，V2-Initial尚未超过V1，其在heavy组HF-LSD上的0.0292局部优势未经过统计验证，同时典型频谱显示频带块状不连续和过修复风险；第四，现有V1对条件扰动不敏感，显式条件尚未被证明有效参与残差决策。</w:t>
      </w:r>
    </w:p>
    <w:p w14:paraId="5709065B">
      <w:pPr>
        <w:spacing w:before="60" w:after="120"/>
        <w:ind w:firstLine="0"/>
        <w:jc w:val="center"/>
      </w:pPr>
      <w:r>
        <w:rPr>
          <w:rFonts w:ascii="Times New Roman" w:hAnsi="Times New Roman" w:eastAsia="宋体"/>
          <w:sz w:val="21"/>
        </w:rPr>
        <w:t>表 4-8  结论状态与后续补充优先级</w:t>
      </w:r>
    </w:p>
    <w:tbl>
      <w:tblPr>
        <w:tblStyle w:val="3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907"/>
        <w:gridCol w:w="2268"/>
        <w:gridCol w:w="4082"/>
        <w:gridCol w:w="1247"/>
      </w:tblGrid>
      <w:tr w14:paraId="79CED2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907" w:type="dxa"/>
            <w:shd w:val="clear" w:color="auto" w:fill="D9EAF7"/>
            <w:tcMar>
              <w:top w:w="70" w:type="dxa"/>
              <w:left w:w="70" w:type="dxa"/>
              <w:bottom w:w="70" w:type="dxa"/>
              <w:right w:w="70" w:type="dxa"/>
            </w:tcMar>
            <w:vAlign w:val="center"/>
          </w:tcPr>
          <w:p w14:paraId="59B2AC8D">
            <w:pPr>
              <w:ind w:firstLine="0"/>
              <w:jc w:val="center"/>
            </w:pPr>
            <w:r>
              <w:rPr>
                <w:rFonts w:ascii="Times New Roman" w:hAnsi="Times New Roman" w:eastAsia="黑体"/>
                <w:b/>
                <w:sz w:val="16"/>
              </w:rPr>
              <w:t>优先级</w:t>
            </w:r>
          </w:p>
        </w:tc>
        <w:tc>
          <w:tcPr>
            <w:tcW w:w="2268" w:type="dxa"/>
            <w:shd w:val="clear" w:color="auto" w:fill="D9EAF7"/>
            <w:tcMar>
              <w:top w:w="70" w:type="dxa"/>
              <w:left w:w="70" w:type="dxa"/>
              <w:bottom w:w="70" w:type="dxa"/>
              <w:right w:w="70" w:type="dxa"/>
            </w:tcMar>
            <w:vAlign w:val="center"/>
          </w:tcPr>
          <w:p w14:paraId="55402B10">
            <w:pPr>
              <w:ind w:firstLine="0"/>
              <w:jc w:val="center"/>
            </w:pPr>
            <w:r>
              <w:rPr>
                <w:rFonts w:ascii="Times New Roman" w:hAnsi="Times New Roman" w:eastAsia="黑体"/>
                <w:b/>
                <w:sz w:val="16"/>
              </w:rPr>
              <w:t>补充项目</w:t>
            </w:r>
          </w:p>
        </w:tc>
        <w:tc>
          <w:tcPr>
            <w:tcW w:w="4082" w:type="dxa"/>
            <w:shd w:val="clear" w:color="auto" w:fill="D9EAF7"/>
            <w:tcMar>
              <w:top w:w="70" w:type="dxa"/>
              <w:left w:w="70" w:type="dxa"/>
              <w:bottom w:w="70" w:type="dxa"/>
              <w:right w:w="70" w:type="dxa"/>
            </w:tcMar>
            <w:vAlign w:val="center"/>
          </w:tcPr>
          <w:p w14:paraId="4A4A3194">
            <w:pPr>
              <w:ind w:firstLine="0"/>
              <w:jc w:val="center"/>
            </w:pPr>
            <w:r>
              <w:rPr>
                <w:rFonts w:ascii="Times New Roman" w:hAnsi="Times New Roman" w:eastAsia="黑体"/>
                <w:b/>
                <w:sz w:val="16"/>
              </w:rPr>
              <w:t>作用</w:t>
            </w:r>
          </w:p>
        </w:tc>
        <w:tc>
          <w:tcPr>
            <w:tcW w:w="1247" w:type="dxa"/>
            <w:shd w:val="clear" w:color="auto" w:fill="D9EAF7"/>
            <w:tcMar>
              <w:top w:w="70" w:type="dxa"/>
              <w:left w:w="70" w:type="dxa"/>
              <w:bottom w:w="70" w:type="dxa"/>
              <w:right w:w="70" w:type="dxa"/>
            </w:tcMar>
            <w:vAlign w:val="center"/>
          </w:tcPr>
          <w:p w14:paraId="5413C39F">
            <w:pPr>
              <w:ind w:firstLine="0"/>
              <w:jc w:val="center"/>
            </w:pPr>
            <w:r>
              <w:rPr>
                <w:rFonts w:ascii="Times New Roman" w:hAnsi="Times New Roman" w:eastAsia="黑体"/>
                <w:b/>
                <w:sz w:val="16"/>
              </w:rPr>
              <w:t>状态</w:t>
            </w:r>
          </w:p>
        </w:tc>
      </w:tr>
      <w:tr w14:paraId="381122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tcMar>
              <w:top w:w="70" w:type="dxa"/>
              <w:left w:w="70" w:type="dxa"/>
              <w:bottom w:w="70" w:type="dxa"/>
              <w:right w:w="70" w:type="dxa"/>
            </w:tcMar>
            <w:vAlign w:val="center"/>
          </w:tcPr>
          <w:p w14:paraId="272A85BB">
            <w:pPr>
              <w:ind w:firstLine="0"/>
              <w:jc w:val="center"/>
            </w:pPr>
            <w:r>
              <w:rPr>
                <w:rFonts w:ascii="Times New Roman" w:hAnsi="Times New Roman" w:eastAsia="宋体"/>
                <w:sz w:val="16"/>
              </w:rPr>
              <w:t>P0</w:t>
            </w:r>
          </w:p>
        </w:tc>
        <w:tc>
          <w:tcPr>
            <w:tcW w:w="2268" w:type="dxa"/>
            <w:tcMar>
              <w:top w:w="70" w:type="dxa"/>
              <w:left w:w="70" w:type="dxa"/>
              <w:bottom w:w="70" w:type="dxa"/>
              <w:right w:w="70" w:type="dxa"/>
            </w:tcMar>
            <w:vAlign w:val="center"/>
          </w:tcPr>
          <w:p w14:paraId="6FC547CC">
            <w:pPr>
              <w:ind w:firstLine="0"/>
              <w:jc w:val="center"/>
            </w:pPr>
            <w:r>
              <w:rPr>
                <w:rFonts w:ascii="Times New Roman" w:hAnsi="Times New Roman" w:eastAsia="宋体"/>
                <w:sz w:val="16"/>
              </w:rPr>
              <w:t>V2-Refined-A统一评估</w:t>
            </w:r>
          </w:p>
        </w:tc>
        <w:tc>
          <w:tcPr>
            <w:tcW w:w="4082" w:type="dxa"/>
            <w:tcMar>
              <w:top w:w="70" w:type="dxa"/>
              <w:left w:w="70" w:type="dxa"/>
              <w:bottom w:w="70" w:type="dxa"/>
              <w:right w:w="70" w:type="dxa"/>
            </w:tcMar>
            <w:vAlign w:val="center"/>
          </w:tcPr>
          <w:p w14:paraId="01FF9DE5">
            <w:pPr>
              <w:ind w:firstLine="0"/>
              <w:jc w:val="center"/>
            </w:pPr>
            <w:r>
              <w:rPr>
                <w:rFonts w:ascii="Times New Roman" w:hAnsi="Times New Roman" w:eastAsia="宋体"/>
                <w:sz w:val="16"/>
              </w:rPr>
              <w:t>决定V2结构修正是否有效，并替换V2-Initial主结果</w:t>
            </w:r>
          </w:p>
        </w:tc>
        <w:tc>
          <w:tcPr>
            <w:tcW w:w="1247" w:type="dxa"/>
            <w:tcMar>
              <w:top w:w="70" w:type="dxa"/>
              <w:left w:w="70" w:type="dxa"/>
              <w:bottom w:w="70" w:type="dxa"/>
              <w:right w:w="70" w:type="dxa"/>
            </w:tcMar>
            <w:vAlign w:val="center"/>
          </w:tcPr>
          <w:p w14:paraId="35453553">
            <w:pPr>
              <w:ind w:firstLine="0"/>
              <w:jc w:val="center"/>
            </w:pPr>
            <w:r>
              <w:rPr>
                <w:rFonts w:ascii="Times New Roman" w:hAnsi="Times New Roman" w:eastAsia="宋体"/>
                <w:sz w:val="16"/>
              </w:rPr>
              <w:t>未完成</w:t>
            </w:r>
          </w:p>
        </w:tc>
      </w:tr>
      <w:tr w14:paraId="2769D3F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tcMar>
              <w:top w:w="70" w:type="dxa"/>
              <w:left w:w="70" w:type="dxa"/>
              <w:bottom w:w="70" w:type="dxa"/>
              <w:right w:w="70" w:type="dxa"/>
            </w:tcMar>
            <w:vAlign w:val="center"/>
          </w:tcPr>
          <w:p w14:paraId="7634D2E1">
            <w:pPr>
              <w:ind w:firstLine="0"/>
              <w:jc w:val="center"/>
            </w:pPr>
            <w:r>
              <w:rPr>
                <w:rFonts w:ascii="Times New Roman" w:hAnsi="Times New Roman" w:eastAsia="宋体"/>
                <w:sz w:val="16"/>
              </w:rPr>
              <w:t>P0</w:t>
            </w:r>
          </w:p>
        </w:tc>
        <w:tc>
          <w:tcPr>
            <w:tcW w:w="2268" w:type="dxa"/>
            <w:tcMar>
              <w:top w:w="70" w:type="dxa"/>
              <w:left w:w="70" w:type="dxa"/>
              <w:bottom w:w="70" w:type="dxa"/>
              <w:right w:w="70" w:type="dxa"/>
            </w:tcMar>
            <w:vAlign w:val="center"/>
          </w:tcPr>
          <w:p w14:paraId="3882677D">
            <w:pPr>
              <w:ind w:firstLine="0"/>
              <w:jc w:val="center"/>
            </w:pPr>
            <w:r>
              <w:rPr>
                <w:rFonts w:ascii="Times New Roman" w:hAnsi="Times New Roman" w:eastAsia="宋体"/>
                <w:sz w:val="16"/>
              </w:rPr>
              <w:t>PESQ/STOI/ESTOI</w:t>
            </w:r>
          </w:p>
        </w:tc>
        <w:tc>
          <w:tcPr>
            <w:tcW w:w="4082" w:type="dxa"/>
            <w:tcMar>
              <w:top w:w="70" w:type="dxa"/>
              <w:left w:w="70" w:type="dxa"/>
              <w:bottom w:w="70" w:type="dxa"/>
              <w:right w:w="70" w:type="dxa"/>
            </w:tcMar>
            <w:vAlign w:val="center"/>
          </w:tcPr>
          <w:p w14:paraId="52CF69C2">
            <w:pPr>
              <w:ind w:firstLine="0"/>
              <w:jc w:val="center"/>
            </w:pPr>
            <w:r>
              <w:rPr>
                <w:rFonts w:ascii="Times New Roman" w:hAnsi="Times New Roman" w:eastAsia="宋体"/>
                <w:sz w:val="16"/>
              </w:rPr>
              <w:t>补齐质量与可懂度维度，避免只依赖频谱指标</w:t>
            </w:r>
          </w:p>
        </w:tc>
        <w:tc>
          <w:tcPr>
            <w:tcW w:w="1247" w:type="dxa"/>
            <w:tcMar>
              <w:top w:w="70" w:type="dxa"/>
              <w:left w:w="70" w:type="dxa"/>
              <w:bottom w:w="70" w:type="dxa"/>
              <w:right w:w="70" w:type="dxa"/>
            </w:tcMar>
            <w:vAlign w:val="center"/>
          </w:tcPr>
          <w:p w14:paraId="2716B290">
            <w:pPr>
              <w:ind w:firstLine="0"/>
              <w:jc w:val="center"/>
            </w:pPr>
            <w:r>
              <w:rPr>
                <w:rFonts w:ascii="Times New Roman" w:hAnsi="Times New Roman" w:eastAsia="宋体"/>
                <w:sz w:val="16"/>
              </w:rPr>
              <w:t>未完成</w:t>
            </w:r>
          </w:p>
        </w:tc>
      </w:tr>
      <w:tr w14:paraId="475DBB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tcMar>
              <w:top w:w="70" w:type="dxa"/>
              <w:left w:w="70" w:type="dxa"/>
              <w:bottom w:w="70" w:type="dxa"/>
              <w:right w:w="70" w:type="dxa"/>
            </w:tcMar>
            <w:vAlign w:val="center"/>
          </w:tcPr>
          <w:p w14:paraId="63937879">
            <w:pPr>
              <w:ind w:firstLine="0"/>
              <w:jc w:val="center"/>
            </w:pPr>
            <w:r>
              <w:rPr>
                <w:rFonts w:ascii="Times New Roman" w:hAnsi="Times New Roman" w:eastAsia="宋体"/>
                <w:sz w:val="16"/>
              </w:rPr>
              <w:t>P0</w:t>
            </w:r>
          </w:p>
        </w:tc>
        <w:tc>
          <w:tcPr>
            <w:tcW w:w="2268" w:type="dxa"/>
            <w:tcMar>
              <w:top w:w="70" w:type="dxa"/>
              <w:left w:w="70" w:type="dxa"/>
              <w:bottom w:w="70" w:type="dxa"/>
              <w:right w:w="70" w:type="dxa"/>
            </w:tcMar>
            <w:vAlign w:val="center"/>
          </w:tcPr>
          <w:p w14:paraId="39482B96">
            <w:pPr>
              <w:ind w:firstLine="0"/>
              <w:jc w:val="center"/>
            </w:pPr>
            <w:r>
              <w:rPr>
                <w:rFonts w:ascii="Times New Roman" w:hAnsi="Times New Roman" w:eastAsia="宋体"/>
                <w:sz w:val="16"/>
              </w:rPr>
              <w:t>句级统计与显著性</w:t>
            </w:r>
          </w:p>
        </w:tc>
        <w:tc>
          <w:tcPr>
            <w:tcW w:w="4082" w:type="dxa"/>
            <w:tcMar>
              <w:top w:w="70" w:type="dxa"/>
              <w:left w:w="70" w:type="dxa"/>
              <w:bottom w:w="70" w:type="dxa"/>
              <w:right w:w="70" w:type="dxa"/>
            </w:tcMar>
            <w:vAlign w:val="center"/>
          </w:tcPr>
          <w:p w14:paraId="31CC7041">
            <w:pPr>
              <w:ind w:firstLine="0"/>
              <w:jc w:val="center"/>
            </w:pPr>
            <w:r>
              <w:rPr>
                <w:rFonts w:ascii="Times New Roman" w:hAnsi="Times New Roman" w:eastAsia="宋体"/>
                <w:sz w:val="16"/>
              </w:rPr>
              <w:t>95% CI、提升比例、Wilcoxon/多重比较校正</w:t>
            </w:r>
          </w:p>
        </w:tc>
        <w:tc>
          <w:tcPr>
            <w:tcW w:w="1247" w:type="dxa"/>
            <w:tcMar>
              <w:top w:w="70" w:type="dxa"/>
              <w:left w:w="70" w:type="dxa"/>
              <w:bottom w:w="70" w:type="dxa"/>
              <w:right w:w="70" w:type="dxa"/>
            </w:tcMar>
            <w:vAlign w:val="center"/>
          </w:tcPr>
          <w:p w14:paraId="014DE1CC">
            <w:pPr>
              <w:ind w:firstLine="0"/>
              <w:jc w:val="center"/>
            </w:pPr>
            <w:r>
              <w:rPr>
                <w:rFonts w:ascii="Times New Roman" w:hAnsi="Times New Roman" w:eastAsia="宋体"/>
                <w:sz w:val="16"/>
              </w:rPr>
              <w:t>未完成</w:t>
            </w:r>
          </w:p>
        </w:tc>
      </w:tr>
      <w:tr w14:paraId="79BF7D6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tcMar>
              <w:top w:w="70" w:type="dxa"/>
              <w:left w:w="70" w:type="dxa"/>
              <w:bottom w:w="70" w:type="dxa"/>
              <w:right w:w="70" w:type="dxa"/>
            </w:tcMar>
            <w:vAlign w:val="center"/>
          </w:tcPr>
          <w:p w14:paraId="3DEE93E6">
            <w:pPr>
              <w:ind w:firstLine="0"/>
              <w:jc w:val="center"/>
            </w:pPr>
            <w:r>
              <w:rPr>
                <w:rFonts w:ascii="Times New Roman" w:hAnsi="Times New Roman" w:eastAsia="宋体"/>
                <w:sz w:val="16"/>
              </w:rPr>
              <w:t>P0</w:t>
            </w:r>
          </w:p>
        </w:tc>
        <w:tc>
          <w:tcPr>
            <w:tcW w:w="2268" w:type="dxa"/>
            <w:tcMar>
              <w:top w:w="70" w:type="dxa"/>
              <w:left w:w="70" w:type="dxa"/>
              <w:bottom w:w="70" w:type="dxa"/>
              <w:right w:w="70" w:type="dxa"/>
            </w:tcMar>
            <w:vAlign w:val="center"/>
          </w:tcPr>
          <w:p w14:paraId="011D1743">
            <w:pPr>
              <w:ind w:firstLine="0"/>
              <w:jc w:val="center"/>
            </w:pPr>
            <w:r>
              <w:rPr>
                <w:rFonts w:ascii="Times New Roman" w:hAnsi="Times New Roman" w:eastAsia="宋体"/>
                <w:sz w:val="16"/>
              </w:rPr>
              <w:t>条件有效性复核</w:t>
            </w:r>
          </w:p>
        </w:tc>
        <w:tc>
          <w:tcPr>
            <w:tcW w:w="4082" w:type="dxa"/>
            <w:tcMar>
              <w:top w:w="70" w:type="dxa"/>
              <w:left w:w="70" w:type="dxa"/>
              <w:bottom w:w="70" w:type="dxa"/>
              <w:right w:w="70" w:type="dxa"/>
            </w:tcMar>
            <w:vAlign w:val="center"/>
          </w:tcPr>
          <w:p w14:paraId="02012080">
            <w:pPr>
              <w:ind w:firstLine="0"/>
              <w:jc w:val="center"/>
            </w:pPr>
            <w:r>
              <w:rPr>
                <w:rFonts w:ascii="Times New Roman" w:hAnsi="Times New Roman" w:eastAsia="宋体"/>
                <w:sz w:val="16"/>
              </w:rPr>
              <w:t>统一checkpoint/evaluator；Zero/Shuffled/Predicted/Oracle；门控与残差比</w:t>
            </w:r>
          </w:p>
        </w:tc>
        <w:tc>
          <w:tcPr>
            <w:tcW w:w="1247" w:type="dxa"/>
            <w:tcMar>
              <w:top w:w="70" w:type="dxa"/>
              <w:left w:w="70" w:type="dxa"/>
              <w:bottom w:w="70" w:type="dxa"/>
              <w:right w:w="70" w:type="dxa"/>
            </w:tcMar>
            <w:vAlign w:val="center"/>
          </w:tcPr>
          <w:p w14:paraId="0DD6392C">
            <w:pPr>
              <w:ind w:firstLine="0"/>
              <w:jc w:val="center"/>
            </w:pPr>
            <w:r>
              <w:rPr>
                <w:rFonts w:ascii="Times New Roman" w:hAnsi="Times New Roman" w:eastAsia="宋体"/>
                <w:sz w:val="16"/>
              </w:rPr>
              <w:t>需重跑</w:t>
            </w:r>
          </w:p>
        </w:tc>
      </w:tr>
      <w:tr w14:paraId="301788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tcMar>
              <w:top w:w="70" w:type="dxa"/>
              <w:left w:w="70" w:type="dxa"/>
              <w:bottom w:w="70" w:type="dxa"/>
              <w:right w:w="70" w:type="dxa"/>
            </w:tcMar>
            <w:vAlign w:val="center"/>
          </w:tcPr>
          <w:p w14:paraId="6D7A8923">
            <w:pPr>
              <w:ind w:firstLine="0"/>
              <w:jc w:val="center"/>
            </w:pPr>
            <w:r>
              <w:rPr>
                <w:rFonts w:ascii="Times New Roman" w:hAnsi="Times New Roman" w:eastAsia="宋体"/>
                <w:sz w:val="16"/>
              </w:rPr>
              <w:t>P0</w:t>
            </w:r>
          </w:p>
        </w:tc>
        <w:tc>
          <w:tcPr>
            <w:tcW w:w="2268" w:type="dxa"/>
            <w:tcMar>
              <w:top w:w="70" w:type="dxa"/>
              <w:left w:w="70" w:type="dxa"/>
              <w:bottom w:w="70" w:type="dxa"/>
              <w:right w:w="70" w:type="dxa"/>
            </w:tcMar>
            <w:vAlign w:val="center"/>
          </w:tcPr>
          <w:p w14:paraId="3FD271ED">
            <w:pPr>
              <w:ind w:firstLine="0"/>
              <w:jc w:val="center"/>
            </w:pPr>
            <w:r>
              <w:rPr>
                <w:rFonts w:ascii="Times New Roman" w:hAnsi="Times New Roman" w:eastAsia="宋体"/>
                <w:sz w:val="16"/>
              </w:rPr>
              <w:t>non-clean SI-SDR</w:t>
            </w:r>
          </w:p>
        </w:tc>
        <w:tc>
          <w:tcPr>
            <w:tcW w:w="4082" w:type="dxa"/>
            <w:tcMar>
              <w:top w:w="70" w:type="dxa"/>
              <w:left w:w="70" w:type="dxa"/>
              <w:bottom w:w="70" w:type="dxa"/>
              <w:right w:w="70" w:type="dxa"/>
            </w:tcMar>
            <w:vAlign w:val="center"/>
          </w:tcPr>
          <w:p w14:paraId="705A211E">
            <w:pPr>
              <w:ind w:firstLine="0"/>
              <w:jc w:val="center"/>
            </w:pPr>
            <w:r>
              <w:rPr>
                <w:rFonts w:ascii="Times New Roman" w:hAnsi="Times New Roman" w:eastAsia="宋体"/>
                <w:sz w:val="16"/>
              </w:rPr>
              <w:t>消除clean近乎恒等样本对overall的抬升</w:t>
            </w:r>
          </w:p>
        </w:tc>
        <w:tc>
          <w:tcPr>
            <w:tcW w:w="1247" w:type="dxa"/>
            <w:tcMar>
              <w:top w:w="70" w:type="dxa"/>
              <w:left w:w="70" w:type="dxa"/>
              <w:bottom w:w="70" w:type="dxa"/>
              <w:right w:w="70" w:type="dxa"/>
            </w:tcMar>
            <w:vAlign w:val="center"/>
          </w:tcPr>
          <w:p w14:paraId="51ABBF69">
            <w:pPr>
              <w:ind w:firstLine="0"/>
              <w:jc w:val="center"/>
            </w:pPr>
            <w:r>
              <w:rPr>
                <w:rFonts w:ascii="Times New Roman" w:hAnsi="Times New Roman" w:eastAsia="宋体"/>
                <w:sz w:val="16"/>
              </w:rPr>
              <w:t>未完成</w:t>
            </w:r>
          </w:p>
        </w:tc>
      </w:tr>
      <w:tr w14:paraId="13125C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tcMar>
              <w:top w:w="70" w:type="dxa"/>
              <w:left w:w="70" w:type="dxa"/>
              <w:bottom w:w="70" w:type="dxa"/>
              <w:right w:w="70" w:type="dxa"/>
            </w:tcMar>
            <w:vAlign w:val="center"/>
          </w:tcPr>
          <w:p w14:paraId="0BC940C0">
            <w:pPr>
              <w:ind w:firstLine="0"/>
              <w:jc w:val="center"/>
            </w:pPr>
            <w:r>
              <w:rPr>
                <w:rFonts w:ascii="Times New Roman" w:hAnsi="Times New Roman" w:eastAsia="宋体"/>
                <w:sz w:val="16"/>
              </w:rPr>
              <w:t>P1</w:t>
            </w:r>
          </w:p>
        </w:tc>
        <w:tc>
          <w:tcPr>
            <w:tcW w:w="2268" w:type="dxa"/>
            <w:tcMar>
              <w:top w:w="70" w:type="dxa"/>
              <w:left w:w="70" w:type="dxa"/>
              <w:bottom w:w="70" w:type="dxa"/>
              <w:right w:w="70" w:type="dxa"/>
            </w:tcMar>
            <w:vAlign w:val="center"/>
          </w:tcPr>
          <w:p w14:paraId="5C939361">
            <w:pPr>
              <w:ind w:firstLine="0"/>
              <w:jc w:val="center"/>
            </w:pPr>
            <w:r>
              <w:rPr>
                <w:rFonts w:ascii="Times New Roman" w:hAnsi="Times New Roman" w:eastAsia="宋体"/>
                <w:sz w:val="16"/>
              </w:rPr>
              <w:t>Plain/Unconditional Residual消融</w:t>
            </w:r>
          </w:p>
        </w:tc>
        <w:tc>
          <w:tcPr>
            <w:tcW w:w="4082" w:type="dxa"/>
            <w:tcMar>
              <w:top w:w="70" w:type="dxa"/>
              <w:left w:w="70" w:type="dxa"/>
              <w:bottom w:w="70" w:type="dxa"/>
              <w:right w:w="70" w:type="dxa"/>
            </w:tcMar>
            <w:vAlign w:val="center"/>
          </w:tcPr>
          <w:p w14:paraId="7E9B155C">
            <w:pPr>
              <w:ind w:firstLine="0"/>
              <w:jc w:val="center"/>
            </w:pPr>
            <w:r>
              <w:rPr>
                <w:rFonts w:ascii="Times New Roman" w:hAnsi="Times New Roman" w:eastAsia="宋体"/>
                <w:sz w:val="16"/>
              </w:rPr>
              <w:t>区分收益来自残差容量还是显式条件</w:t>
            </w:r>
          </w:p>
        </w:tc>
        <w:tc>
          <w:tcPr>
            <w:tcW w:w="1247" w:type="dxa"/>
            <w:tcMar>
              <w:top w:w="70" w:type="dxa"/>
              <w:left w:w="70" w:type="dxa"/>
              <w:bottom w:w="70" w:type="dxa"/>
              <w:right w:w="70" w:type="dxa"/>
            </w:tcMar>
            <w:vAlign w:val="center"/>
          </w:tcPr>
          <w:p w14:paraId="2185A688">
            <w:pPr>
              <w:ind w:firstLine="0"/>
              <w:jc w:val="center"/>
            </w:pPr>
            <w:r>
              <w:rPr>
                <w:rFonts w:ascii="Times New Roman" w:hAnsi="Times New Roman" w:eastAsia="宋体"/>
                <w:sz w:val="16"/>
              </w:rPr>
              <w:t>未完成</w:t>
            </w:r>
          </w:p>
        </w:tc>
      </w:tr>
      <w:tr w14:paraId="460EDA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tcMar>
              <w:top w:w="70" w:type="dxa"/>
              <w:left w:w="70" w:type="dxa"/>
              <w:bottom w:w="70" w:type="dxa"/>
              <w:right w:w="70" w:type="dxa"/>
            </w:tcMar>
            <w:vAlign w:val="center"/>
          </w:tcPr>
          <w:p w14:paraId="0CD98021">
            <w:pPr>
              <w:ind w:firstLine="0"/>
              <w:jc w:val="center"/>
            </w:pPr>
            <w:r>
              <w:rPr>
                <w:rFonts w:ascii="Times New Roman" w:hAnsi="Times New Roman" w:eastAsia="宋体"/>
                <w:sz w:val="16"/>
              </w:rPr>
              <w:t>P1</w:t>
            </w:r>
          </w:p>
        </w:tc>
        <w:tc>
          <w:tcPr>
            <w:tcW w:w="2268" w:type="dxa"/>
            <w:tcMar>
              <w:top w:w="70" w:type="dxa"/>
              <w:left w:w="70" w:type="dxa"/>
              <w:bottom w:w="70" w:type="dxa"/>
              <w:right w:w="70" w:type="dxa"/>
            </w:tcMar>
            <w:vAlign w:val="center"/>
          </w:tcPr>
          <w:p w14:paraId="5D2CB5A4">
            <w:pPr>
              <w:ind w:firstLine="0"/>
              <w:jc w:val="center"/>
            </w:pPr>
            <w:r>
              <w:rPr>
                <w:rFonts w:ascii="Times New Roman" w:hAnsi="Times New Roman" w:eastAsia="宋体"/>
                <w:sz w:val="16"/>
              </w:rPr>
              <w:t>按退化类型分组</w:t>
            </w:r>
          </w:p>
        </w:tc>
        <w:tc>
          <w:tcPr>
            <w:tcW w:w="4082" w:type="dxa"/>
            <w:tcMar>
              <w:top w:w="70" w:type="dxa"/>
              <w:left w:w="70" w:type="dxa"/>
              <w:bottom w:w="70" w:type="dxa"/>
              <w:right w:w="70" w:type="dxa"/>
            </w:tcMar>
            <w:vAlign w:val="center"/>
          </w:tcPr>
          <w:p w14:paraId="2F1947B8">
            <w:pPr>
              <w:ind w:firstLine="0"/>
              <w:jc w:val="center"/>
            </w:pPr>
            <w:r>
              <w:rPr>
                <w:rFonts w:ascii="Times New Roman" w:hAnsi="Times New Roman" w:eastAsia="宋体"/>
                <w:sz w:val="16"/>
              </w:rPr>
              <w:t>noise、bandwidth、bit-depth及组合；支撑高频修复结论</w:t>
            </w:r>
          </w:p>
        </w:tc>
        <w:tc>
          <w:tcPr>
            <w:tcW w:w="1247" w:type="dxa"/>
            <w:tcMar>
              <w:top w:w="70" w:type="dxa"/>
              <w:left w:w="70" w:type="dxa"/>
              <w:bottom w:w="70" w:type="dxa"/>
              <w:right w:w="70" w:type="dxa"/>
            </w:tcMar>
            <w:vAlign w:val="center"/>
          </w:tcPr>
          <w:p w14:paraId="2C7DAAB2">
            <w:pPr>
              <w:ind w:firstLine="0"/>
              <w:jc w:val="center"/>
            </w:pPr>
            <w:r>
              <w:rPr>
                <w:rFonts w:ascii="Times New Roman" w:hAnsi="Times New Roman" w:eastAsia="宋体"/>
                <w:sz w:val="16"/>
              </w:rPr>
              <w:t>未完成</w:t>
            </w:r>
          </w:p>
        </w:tc>
      </w:tr>
      <w:tr w14:paraId="3A813E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tcMar>
              <w:top w:w="70" w:type="dxa"/>
              <w:left w:w="70" w:type="dxa"/>
              <w:bottom w:w="70" w:type="dxa"/>
              <w:right w:w="70" w:type="dxa"/>
            </w:tcMar>
            <w:vAlign w:val="center"/>
          </w:tcPr>
          <w:p w14:paraId="000B1550">
            <w:pPr>
              <w:ind w:firstLine="0"/>
              <w:jc w:val="center"/>
            </w:pPr>
            <w:r>
              <w:rPr>
                <w:rFonts w:ascii="Times New Roman" w:hAnsi="Times New Roman" w:eastAsia="宋体"/>
                <w:sz w:val="16"/>
              </w:rPr>
              <w:t>P1</w:t>
            </w:r>
          </w:p>
        </w:tc>
        <w:tc>
          <w:tcPr>
            <w:tcW w:w="2268" w:type="dxa"/>
            <w:tcMar>
              <w:top w:w="70" w:type="dxa"/>
              <w:left w:w="70" w:type="dxa"/>
              <w:bottom w:w="70" w:type="dxa"/>
              <w:right w:w="70" w:type="dxa"/>
            </w:tcMar>
            <w:vAlign w:val="center"/>
          </w:tcPr>
          <w:p w14:paraId="2D7F9303">
            <w:pPr>
              <w:ind w:firstLine="0"/>
              <w:jc w:val="center"/>
            </w:pPr>
            <w:r>
              <w:rPr>
                <w:rFonts w:ascii="Times New Roman" w:hAnsi="Times New Roman" w:eastAsia="宋体"/>
                <w:sz w:val="16"/>
              </w:rPr>
              <w:t>多随机种子</w:t>
            </w:r>
          </w:p>
        </w:tc>
        <w:tc>
          <w:tcPr>
            <w:tcW w:w="4082" w:type="dxa"/>
            <w:tcMar>
              <w:top w:w="70" w:type="dxa"/>
              <w:left w:w="70" w:type="dxa"/>
              <w:bottom w:w="70" w:type="dxa"/>
              <w:right w:w="70" w:type="dxa"/>
            </w:tcMar>
            <w:vAlign w:val="center"/>
          </w:tcPr>
          <w:p w14:paraId="4E57AAE1">
            <w:pPr>
              <w:ind w:firstLine="0"/>
              <w:jc w:val="center"/>
            </w:pPr>
            <w:r>
              <w:rPr>
                <w:rFonts w:ascii="Times New Roman" w:hAnsi="Times New Roman" w:eastAsia="宋体"/>
                <w:sz w:val="16"/>
              </w:rPr>
              <w:t>至少3个seed，报告均值±标准差</w:t>
            </w:r>
          </w:p>
        </w:tc>
        <w:tc>
          <w:tcPr>
            <w:tcW w:w="1247" w:type="dxa"/>
            <w:tcMar>
              <w:top w:w="70" w:type="dxa"/>
              <w:left w:w="70" w:type="dxa"/>
              <w:bottom w:w="70" w:type="dxa"/>
              <w:right w:w="70" w:type="dxa"/>
            </w:tcMar>
            <w:vAlign w:val="center"/>
          </w:tcPr>
          <w:p w14:paraId="05FA47E3">
            <w:pPr>
              <w:ind w:firstLine="0"/>
              <w:jc w:val="center"/>
            </w:pPr>
            <w:r>
              <w:rPr>
                <w:rFonts w:ascii="Times New Roman" w:hAnsi="Times New Roman" w:eastAsia="宋体"/>
                <w:sz w:val="16"/>
              </w:rPr>
              <w:t>未完成</w:t>
            </w:r>
          </w:p>
        </w:tc>
      </w:tr>
      <w:tr w14:paraId="5903F21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tcMar>
              <w:top w:w="70" w:type="dxa"/>
              <w:left w:w="70" w:type="dxa"/>
              <w:bottom w:w="70" w:type="dxa"/>
              <w:right w:w="70" w:type="dxa"/>
            </w:tcMar>
            <w:vAlign w:val="center"/>
          </w:tcPr>
          <w:p w14:paraId="57126058">
            <w:pPr>
              <w:ind w:firstLine="0"/>
              <w:jc w:val="center"/>
            </w:pPr>
            <w:r>
              <w:rPr>
                <w:rFonts w:ascii="Times New Roman" w:hAnsi="Times New Roman" w:eastAsia="宋体"/>
                <w:sz w:val="16"/>
              </w:rPr>
              <w:t>P1</w:t>
            </w:r>
          </w:p>
        </w:tc>
        <w:tc>
          <w:tcPr>
            <w:tcW w:w="2268" w:type="dxa"/>
            <w:tcMar>
              <w:top w:w="70" w:type="dxa"/>
              <w:left w:w="70" w:type="dxa"/>
              <w:bottom w:w="70" w:type="dxa"/>
              <w:right w:w="70" w:type="dxa"/>
            </w:tcMar>
            <w:vAlign w:val="center"/>
          </w:tcPr>
          <w:p w14:paraId="56C64808">
            <w:pPr>
              <w:ind w:firstLine="0"/>
              <w:jc w:val="center"/>
            </w:pPr>
            <w:r>
              <w:rPr>
                <w:rFonts w:ascii="Times New Roman" w:hAnsi="Times New Roman" w:eastAsia="宋体"/>
                <w:sz w:val="16"/>
              </w:rPr>
              <w:t>推理复杂度</w:t>
            </w:r>
          </w:p>
        </w:tc>
        <w:tc>
          <w:tcPr>
            <w:tcW w:w="4082" w:type="dxa"/>
            <w:tcMar>
              <w:top w:w="70" w:type="dxa"/>
              <w:left w:w="70" w:type="dxa"/>
              <w:bottom w:w="70" w:type="dxa"/>
              <w:right w:w="70" w:type="dxa"/>
            </w:tcMar>
            <w:vAlign w:val="center"/>
          </w:tcPr>
          <w:p w14:paraId="770F0B02">
            <w:pPr>
              <w:ind w:firstLine="0"/>
              <w:jc w:val="center"/>
            </w:pPr>
            <w:r>
              <w:rPr>
                <w:rFonts w:ascii="Times New Roman" w:hAnsi="Times New Roman" w:eastAsia="宋体"/>
                <w:sz w:val="16"/>
              </w:rPr>
              <w:t>CPU/GPU RTF、峰值内存、MACs</w:t>
            </w:r>
          </w:p>
        </w:tc>
        <w:tc>
          <w:tcPr>
            <w:tcW w:w="1247" w:type="dxa"/>
            <w:tcMar>
              <w:top w:w="70" w:type="dxa"/>
              <w:left w:w="70" w:type="dxa"/>
              <w:bottom w:w="70" w:type="dxa"/>
              <w:right w:w="70" w:type="dxa"/>
            </w:tcMar>
            <w:vAlign w:val="center"/>
          </w:tcPr>
          <w:p w14:paraId="47F08ADE">
            <w:pPr>
              <w:ind w:firstLine="0"/>
              <w:jc w:val="center"/>
            </w:pPr>
            <w:r>
              <w:rPr>
                <w:rFonts w:ascii="Times New Roman" w:hAnsi="Times New Roman" w:eastAsia="宋体"/>
                <w:sz w:val="16"/>
              </w:rPr>
              <w:t>未完成</w:t>
            </w:r>
          </w:p>
        </w:tc>
      </w:tr>
      <w:tr w14:paraId="0BBD4AF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tcMar>
              <w:top w:w="70" w:type="dxa"/>
              <w:left w:w="70" w:type="dxa"/>
              <w:bottom w:w="70" w:type="dxa"/>
              <w:right w:w="70" w:type="dxa"/>
            </w:tcMar>
            <w:vAlign w:val="center"/>
          </w:tcPr>
          <w:p w14:paraId="0CAC9C71">
            <w:pPr>
              <w:ind w:firstLine="0"/>
              <w:jc w:val="center"/>
            </w:pPr>
            <w:r>
              <w:rPr>
                <w:rFonts w:ascii="Times New Roman" w:hAnsi="Times New Roman" w:eastAsia="宋体"/>
                <w:sz w:val="16"/>
              </w:rPr>
              <w:t>P2</w:t>
            </w:r>
          </w:p>
        </w:tc>
        <w:tc>
          <w:tcPr>
            <w:tcW w:w="2268" w:type="dxa"/>
            <w:tcMar>
              <w:top w:w="70" w:type="dxa"/>
              <w:left w:w="70" w:type="dxa"/>
              <w:bottom w:w="70" w:type="dxa"/>
              <w:right w:w="70" w:type="dxa"/>
            </w:tcMar>
            <w:vAlign w:val="center"/>
          </w:tcPr>
          <w:p w14:paraId="61FAF1C7">
            <w:pPr>
              <w:ind w:firstLine="0"/>
              <w:jc w:val="center"/>
            </w:pPr>
            <w:r>
              <w:rPr>
                <w:rFonts w:ascii="Times New Roman" w:hAnsi="Times New Roman" w:eastAsia="宋体"/>
                <w:sz w:val="16"/>
              </w:rPr>
              <w:t>未知退化与跨主干</w:t>
            </w:r>
          </w:p>
        </w:tc>
        <w:tc>
          <w:tcPr>
            <w:tcW w:w="4082" w:type="dxa"/>
            <w:tcMar>
              <w:top w:w="70" w:type="dxa"/>
              <w:left w:w="70" w:type="dxa"/>
              <w:bottom w:w="70" w:type="dxa"/>
              <w:right w:w="70" w:type="dxa"/>
            </w:tcMar>
            <w:vAlign w:val="center"/>
          </w:tcPr>
          <w:p w14:paraId="12392F03">
            <w:pPr>
              <w:ind w:firstLine="0"/>
              <w:jc w:val="center"/>
            </w:pPr>
            <w:r>
              <w:rPr>
                <w:rFonts w:ascii="Times New Roman" w:hAnsi="Times New Roman" w:eastAsia="宋体"/>
                <w:sz w:val="16"/>
              </w:rPr>
              <w:t>用于扩展泛化边界，不是当前核心证据链的前置条件</w:t>
            </w:r>
          </w:p>
        </w:tc>
        <w:tc>
          <w:tcPr>
            <w:tcW w:w="1247" w:type="dxa"/>
            <w:tcMar>
              <w:top w:w="70" w:type="dxa"/>
              <w:left w:w="70" w:type="dxa"/>
              <w:bottom w:w="70" w:type="dxa"/>
              <w:right w:w="70" w:type="dxa"/>
            </w:tcMar>
            <w:vAlign w:val="center"/>
          </w:tcPr>
          <w:p w14:paraId="1E15FFF1">
            <w:pPr>
              <w:ind w:firstLine="0"/>
              <w:jc w:val="center"/>
            </w:pPr>
            <w:r>
              <w:rPr>
                <w:rFonts w:ascii="Times New Roman" w:hAnsi="Times New Roman" w:eastAsia="宋体"/>
                <w:sz w:val="16"/>
              </w:rPr>
              <w:t>可后补</w:t>
            </w:r>
          </w:p>
        </w:tc>
      </w:tr>
    </w:tbl>
    <w:p w14:paraId="34C2BD22">
      <w:pPr>
        <w:spacing w:after="0" w:line="360" w:lineRule="auto"/>
        <w:ind w:firstLine="420"/>
      </w:pPr>
      <w:r>
        <w:rPr>
          <w:rFonts w:ascii="Times New Roman" w:hAnsi="Times New Roman" w:eastAsia="宋体"/>
          <w:i w:val="0"/>
          <w:sz w:val="21"/>
        </w:rPr>
        <w:t>因此，现阶段不能把第四章总结为“V2优于V1”或“显式条件已经证明有效”。更稳妥的阶段性表述是：退化诊断前提已经得到支持；条件残差能够降低频谱误差；V1当前最稳定；V2-Initial暴露出频带注入与过修复问题；条件决策机制仍需通过V2-Refined-A和统一条件扰动实验进一步验证。</w:t>
      </w:r>
    </w:p>
    <w:p w14:paraId="1B0D6DF7">
      <w:pPr>
        <w:pStyle w:val="3"/>
        <w:pageBreakBefore/>
        <w:ind w:left="0" w:right="0" w:firstLine="0"/>
        <w:jc w:val="left"/>
      </w:pPr>
      <w:bookmarkStart w:id="1" w:name="结论与后续工作"/>
      <w:r>
        <w:rPr>
          <w:rFonts w:ascii="Times New Roman" w:hAnsi="Times New Roman" w:eastAsia="黑体"/>
          <w:b/>
          <w:color w:val="000000"/>
          <w:sz w:val="32"/>
        </w:rPr>
        <w:t>5 结论与后续工作</w:t>
      </w:r>
    </w:p>
    <w:p w14:paraId="5A1C3B90">
      <w:pPr>
        <w:widowControl/>
        <w:spacing w:before="0" w:after="0" w:line="360" w:lineRule="auto"/>
        <w:ind w:left="0" w:right="0" w:firstLine="420"/>
        <w:jc w:val="both"/>
      </w:pPr>
      <w:r>
        <w:rPr>
          <w:rFonts w:ascii="Times New Roman" w:hAnsi="Times New Roman" w:eastAsia="宋体"/>
          <w:sz w:val="24"/>
        </w:rPr>
        <w:t>本文面向噪声、带宽限制、重采样、低通与量化共同作用的复合退化语音，提出EDCR-Net。该方法通过基础增强、显</w:t>
      </w:r>
      <w:bookmarkStart w:id="2" w:name="_GoBack"/>
      <w:bookmarkEnd w:id="2"/>
      <w:r>
        <w:rPr>
          <w:rFonts w:ascii="Times New Roman" w:hAnsi="Times New Roman" w:eastAsia="宋体"/>
          <w:sz w:val="24"/>
        </w:rPr>
        <w:t>式退化诊断和条件化频带残差修复三个阶段，将通用恢复与退化特异性细化进行功能解耦。多任务诊断器把深层隐式状态转化为噪声、SNR、带宽和位深四类可解释变量；频带残差模块利用预测条件控制低、中、高频修复强度；冻结式训练则使新增性能收益与基础增强器能力变化相区分。</w:t>
      </w:r>
    </w:p>
    <w:p w14:paraId="55AA262B">
      <w:pPr>
        <w:pStyle w:val="19"/>
        <w:widowControl/>
        <w:spacing w:before="0" w:after="0" w:line="360" w:lineRule="auto"/>
        <w:ind w:left="0" w:right="0" w:firstLine="420"/>
        <w:jc w:val="both"/>
      </w:pPr>
      <w:r>
        <w:rPr>
          <w:rFonts w:ascii="Times New Roman" w:hAnsi="Times New Roman" w:eastAsia="宋体"/>
          <w:sz w:val="21"/>
        </w:rPr>
        <w:t>现阶段结果已经验证退化诊断前提和轻量残差的频谱修复价值：V1在总体LSD与HF-LSD上优于基础增强器，V2-Initial则暴露出频带块状不连续、clean/light过修复以及条件利用不足等问题。当前证据尚不足以证明V2全面优于V1，也不能把增益归因于显式条件。后续工作应优先完成V2-Refined-A、PESQ/STOI/ESTOI、句级显著性检验以及统一的Zero/Shuffled/Predicted/Oracle条件实验；在核心证据链成立后，再扩展未知退化、跨主干和真实通信场景验证。</w:t>
      </w:r>
    </w:p>
    <w:bookmarkEnd w:id="1"/>
    <w:p w14:paraId="121CB942">
      <w:pPr>
        <w:pStyle w:val="3"/>
        <w:pageBreakBefore/>
        <w:ind w:left="0" w:right="0" w:firstLine="0"/>
        <w:jc w:val="left"/>
      </w:pPr>
      <w:r>
        <w:rPr>
          <w:rFonts w:ascii="Times New Roman" w:hAnsi="Times New Roman" w:eastAsia="黑体"/>
          <w:b/>
          <w:color w:val="000000"/>
          <w:sz w:val="32"/>
        </w:rPr>
        <w:t>参考文献</w:t>
      </w:r>
    </w:p>
    <w:p w14:paraId="722B3771">
      <w:pPr>
        <w:spacing w:after="40" w:line="276" w:lineRule="auto"/>
        <w:ind w:left="420" w:hanging="420"/>
      </w:pPr>
      <w:r>
        <w:rPr>
          <w:rFonts w:ascii="Times New Roman" w:hAnsi="Times New Roman" w:eastAsia="宋体"/>
          <w:sz w:val="21"/>
        </w:rPr>
        <w:t>[1] WANG D L, CHEN J. Supervised speech separation based on deep learning: An overview[J]. IEEE/ACM Transactions on Audio, Speech, and Language Processing, 2018, 26(10): 1702-1726.</w:t>
      </w:r>
    </w:p>
    <w:p w14:paraId="1966FB2A">
      <w:pPr>
        <w:spacing w:after="40" w:line="276" w:lineRule="auto"/>
        <w:ind w:left="420" w:hanging="420"/>
      </w:pPr>
      <w:r>
        <w:rPr>
          <w:rFonts w:ascii="Times New Roman" w:hAnsi="Times New Roman" w:eastAsia="宋体"/>
          <w:sz w:val="21"/>
        </w:rPr>
        <w:t>[2] HU Y, LOIZOU P C. Evaluation of objective quality measures for speech enhancement[J]. IEEE Transactions on Audio, Speech, and Language Processing, 2008, 16(1): 229-238.</w:t>
      </w:r>
    </w:p>
    <w:p w14:paraId="39E68D49">
      <w:pPr>
        <w:spacing w:after="40" w:line="276" w:lineRule="auto"/>
        <w:ind w:left="420" w:hanging="420"/>
      </w:pPr>
      <w:r>
        <w:rPr>
          <w:rFonts w:ascii="Times New Roman" w:hAnsi="Times New Roman" w:eastAsia="宋体"/>
          <w:sz w:val="21"/>
        </w:rPr>
        <w:t>[3] WILLIAMSON D S, WANG Y, WANG D L. Complex ratio masking for monaural speech separation[J]. IEEE/ACM Transactions on Audio, Speech, and Language Processing, 2016, 24(3): 483-492.</w:t>
      </w:r>
    </w:p>
    <w:p w14:paraId="48424C92">
      <w:pPr>
        <w:spacing w:after="40" w:line="276" w:lineRule="auto"/>
        <w:ind w:left="420" w:hanging="420"/>
      </w:pPr>
      <w:r>
        <w:rPr>
          <w:rFonts w:ascii="Times New Roman" w:hAnsi="Times New Roman" w:eastAsia="宋体"/>
          <w:sz w:val="21"/>
        </w:rPr>
        <w:t>[4] LUO Y, MESGARANI N. Conv-TasNet: Surpassing ideal time-frequency magnitude masking for speech separation[J]. IEEE/ACM Transactions on Audio, Speech, and Language Processing, 2019, 27(8): 1256-1266.</w:t>
      </w:r>
    </w:p>
    <w:p w14:paraId="2D3011B3">
      <w:pPr>
        <w:spacing w:after="40" w:line="276" w:lineRule="auto"/>
        <w:ind w:left="420" w:hanging="420"/>
      </w:pPr>
      <w:r>
        <w:rPr>
          <w:rFonts w:ascii="Times New Roman" w:hAnsi="Times New Roman" w:eastAsia="宋体"/>
          <w:sz w:val="21"/>
        </w:rPr>
        <w:t>[5] HU Y, LIU Y, LV S, et al. DCCRN: Deep complex convolution recurrent network for phase-aware speech enhancement[C]//Proceedings of Interspeech. 2020: 2472-2476.</w:t>
      </w:r>
    </w:p>
    <w:p w14:paraId="2421B6A4">
      <w:pPr>
        <w:spacing w:after="40" w:line="276" w:lineRule="auto"/>
        <w:ind w:left="420" w:hanging="420"/>
      </w:pPr>
      <w:r>
        <w:rPr>
          <w:rFonts w:ascii="Times New Roman" w:hAnsi="Times New Roman" w:eastAsia="宋体"/>
          <w:sz w:val="21"/>
        </w:rPr>
        <w:t>[6] HAO X, SU X, HORAUD R, et al. FullSubNet: A full-band and sub-band fusion model for real-time single-channel speech enhancement[C]//Proceedings of ICASSP. 2021: 6633-6637.</w:t>
      </w:r>
    </w:p>
    <w:p w14:paraId="67975FCE">
      <w:pPr>
        <w:spacing w:after="40" w:line="276" w:lineRule="auto"/>
        <w:ind w:left="420" w:hanging="420"/>
      </w:pPr>
      <w:r>
        <w:rPr>
          <w:rFonts w:ascii="Times New Roman" w:hAnsi="Times New Roman" w:eastAsia="宋体"/>
          <w:sz w:val="21"/>
        </w:rPr>
        <w:t>[7] FU S W, YU C, HSIEH T A, et al. MetricGAN+: An improved version of MetricGAN for speech enhancement[C]//Proceedings of Interspeech. 2021: 203-207.</w:t>
      </w:r>
    </w:p>
    <w:p w14:paraId="75B8ABDE">
      <w:pPr>
        <w:spacing w:after="40" w:line="276" w:lineRule="auto"/>
        <w:ind w:left="420" w:hanging="420"/>
      </w:pPr>
      <w:r>
        <w:rPr>
          <w:rFonts w:ascii="Times New Roman" w:hAnsi="Times New Roman" w:eastAsia="宋体"/>
          <w:sz w:val="21"/>
        </w:rPr>
        <w:t>[8] CAO R, ABDULATIF S, YANG B. CMGAN: Conformer-based MetricGAN for monaural speech enhancement[C]//Proceedings of Interspeech. 2022: 936-940.</w:t>
      </w:r>
    </w:p>
    <w:p w14:paraId="5908DD13">
      <w:pPr>
        <w:spacing w:after="40" w:line="276" w:lineRule="auto"/>
        <w:ind w:left="420" w:hanging="420"/>
      </w:pPr>
      <w:r>
        <w:rPr>
          <w:rFonts w:ascii="Times New Roman" w:hAnsi="Times New Roman" w:eastAsia="宋体"/>
          <w:sz w:val="21"/>
        </w:rPr>
        <w:t>[9] LI A, ZHENG C, PENG R, et al. Taylor, can you hear me now? A Taylor-unfolding framework for monaural speech enhancement[C]//Proceedings of IJCAI. 2022: 4193-4199.</w:t>
      </w:r>
    </w:p>
    <w:p w14:paraId="6F3E834F">
      <w:pPr>
        <w:spacing w:after="40" w:line="276" w:lineRule="auto"/>
        <w:ind w:left="420" w:hanging="420"/>
      </w:pPr>
      <w:r>
        <w:rPr>
          <w:rFonts w:ascii="Times New Roman" w:hAnsi="Times New Roman" w:eastAsia="宋体"/>
          <w:sz w:val="21"/>
        </w:rPr>
        <w:t>[10] RICHTER J, WELKER S, LEMERCIER J M, et al. Speech enhancement and dereverberation with diffusion-based generative models[J]. IEEE/ACM Transactions on Audio, Speech, and Language Processing, 2023, 31: 2351-2364.</w:t>
      </w:r>
    </w:p>
    <w:p w14:paraId="66026E2B">
      <w:pPr>
        <w:spacing w:after="40" w:line="276" w:lineRule="auto"/>
        <w:ind w:left="420" w:hanging="420"/>
      </w:pPr>
      <w:r>
        <w:rPr>
          <w:rFonts w:ascii="Times New Roman" w:hAnsi="Times New Roman" w:eastAsia="宋体"/>
          <w:sz w:val="21"/>
        </w:rPr>
        <w:t>[11] DUBEY H, GOPAL V, CUTLER R, et al. ICASSP 2023 deep noise suppression challenge[C]//Proceedings of ICASSP. 2023: 1-5.</w:t>
      </w:r>
    </w:p>
    <w:p w14:paraId="69BC67EF">
      <w:pPr>
        <w:spacing w:after="40" w:line="276" w:lineRule="auto"/>
        <w:ind w:left="420" w:hanging="420"/>
      </w:pPr>
      <w:r>
        <w:rPr>
          <w:rFonts w:ascii="Times New Roman" w:hAnsi="Times New Roman" w:eastAsia="宋体"/>
          <w:sz w:val="21"/>
        </w:rPr>
        <w:t>[12] RISTEA N C, SAABAS A, CUTLER R, et al. ICASSP 2024 speech signal improvement challenge[C]//Proceedings of ICASSP. 2024: 1-5.</w:t>
      </w:r>
    </w:p>
    <w:p w14:paraId="5B2A0443">
      <w:pPr>
        <w:spacing w:after="40" w:line="276" w:lineRule="auto"/>
        <w:ind w:left="420" w:hanging="420"/>
      </w:pPr>
      <w:r>
        <w:rPr>
          <w:rFonts w:ascii="Times New Roman" w:hAnsi="Times New Roman" w:eastAsia="宋体"/>
          <w:sz w:val="21"/>
        </w:rPr>
        <w:t>[13] XU Z, SACH M, PIRKLBAUER J, et al. Employing real training data for deep noise suppression[C]//Proceedings of ICASSP. 2024: 10731-10735.</w:t>
      </w:r>
    </w:p>
    <w:p w14:paraId="05758F4F">
      <w:pPr>
        <w:spacing w:after="40" w:line="276" w:lineRule="auto"/>
        <w:ind w:left="420" w:hanging="420"/>
      </w:pPr>
      <w:r>
        <w:rPr>
          <w:rFonts w:ascii="Times New Roman" w:hAnsi="Times New Roman" w:eastAsia="宋体"/>
          <w:sz w:val="21"/>
        </w:rPr>
        <w:t>[14] RONG X, et al. GTCRN: A speech enhancement model requiring ultralow computational resources[C]//Proceedings of ICASSP. 2024.</w:t>
      </w:r>
    </w:p>
    <w:p w14:paraId="745773A1">
      <w:pPr>
        <w:spacing w:after="40" w:line="276" w:lineRule="auto"/>
        <w:ind w:left="420" w:hanging="420"/>
      </w:pPr>
      <w:r>
        <w:rPr>
          <w:rFonts w:ascii="Times New Roman" w:hAnsi="Times New Roman" w:eastAsia="宋体"/>
          <w:sz w:val="21"/>
        </w:rPr>
        <w:t>[15] 雷桐, 胡沁雯, 卢晶, 等. 利用客观音质指标的远场语音增强模型两阶段训练方法[J]. 声学学报, 2024. DOI: 10.12395/0371-0025.2024393.</w:t>
      </w:r>
    </w:p>
    <w:p w14:paraId="70137667">
      <w:pPr>
        <w:spacing w:after="40" w:line="276" w:lineRule="auto"/>
        <w:ind w:left="420" w:hanging="420"/>
      </w:pPr>
      <w:r>
        <w:rPr>
          <w:rFonts w:ascii="Times New Roman" w:hAnsi="Times New Roman" w:eastAsia="宋体"/>
          <w:sz w:val="21"/>
        </w:rPr>
        <w:t>[16] RIX A W, BEERENDS J G, HOLLIER M P, et al. Perceptual evaluation of speech quality (PESQ): A new method for speech quality assessment of telephone networks and codecs[C]//Proceedings of ICASSP. 2001: 749-752.</w:t>
      </w:r>
    </w:p>
    <w:p w14:paraId="45948EBB">
      <w:pPr>
        <w:spacing w:after="40" w:line="276" w:lineRule="auto"/>
        <w:ind w:left="420" w:hanging="420"/>
      </w:pPr>
      <w:r>
        <w:rPr>
          <w:rFonts w:ascii="Times New Roman" w:hAnsi="Times New Roman" w:eastAsia="宋体"/>
          <w:sz w:val="21"/>
        </w:rPr>
        <w:t>[17] TAAL C H, HENDRIKS R C, HEUSDENS R, et al. An algorithm for intelligibility prediction of time-frequency weighted noisy speech[J]. IEEE Transactions on Audio, Speech, and Language Processing, 2011, 19(7): 2125-2136.</w:t>
      </w:r>
    </w:p>
    <w:p w14:paraId="3AE754E2">
      <w:pPr>
        <w:spacing w:after="40" w:line="276" w:lineRule="auto"/>
        <w:ind w:left="420" w:hanging="420"/>
      </w:pPr>
      <w:r>
        <w:rPr>
          <w:rFonts w:ascii="Times New Roman" w:hAnsi="Times New Roman" w:eastAsia="宋体"/>
          <w:sz w:val="21"/>
        </w:rPr>
        <w:t>[18] JENSEN J, TAAL C H. An algorithm for predicting the intelligibility of speech masked by modulated noise maskers[J]. IEEE/ACM Transactions on Audio, Speech, and Language Processing, 2016, 24(11): 2009-2022.</w:t>
      </w:r>
    </w:p>
    <w:p w14:paraId="15B1E5DC">
      <w:pPr>
        <w:spacing w:after="40" w:line="276" w:lineRule="auto"/>
        <w:ind w:left="420" w:hanging="420"/>
      </w:pPr>
      <w:r>
        <w:rPr>
          <w:rFonts w:ascii="Times New Roman" w:hAnsi="Times New Roman" w:eastAsia="宋体"/>
          <w:sz w:val="21"/>
        </w:rPr>
        <w:t>[19] LE ROUX J, WISDOM S, ERDOGAN H, et al. SDR—Half-baked or well done?[C]//Proceedings of ICASSP. 2019: 626-630.</w:t>
      </w:r>
    </w:p>
    <w:p w14:paraId="608FB223">
      <w:pPr>
        <w:spacing w:after="40" w:line="276" w:lineRule="auto"/>
        <w:ind w:left="420" w:hanging="420"/>
      </w:pPr>
      <w:r>
        <w:rPr>
          <w:rFonts w:ascii="Times New Roman" w:hAnsi="Times New Roman" w:eastAsia="宋体"/>
          <w:sz w:val="21"/>
        </w:rPr>
        <w:t>[20] FENG Y, CHEN F. Nonintrusive objective measurement of speech intelligibility: A review of methodology[J]. Biomedical Signal Processing and Control, 2022, 71: 103204.</w:t>
      </w:r>
    </w:p>
    <w:p w14:paraId="29C63797">
      <w:pPr>
        <w:spacing w:after="40" w:line="276" w:lineRule="auto"/>
        <w:ind w:left="420" w:hanging="420"/>
      </w:pPr>
      <w:r>
        <w:rPr>
          <w:rFonts w:ascii="Times New Roman" w:hAnsi="Times New Roman" w:eastAsia="宋体"/>
          <w:sz w:val="21"/>
        </w:rPr>
        <w:t>[21] WANG H, PANDEY A, WANG D L. A systematic study of DNN based speech enhancement in reverberant and reverberant-noisy environments[J]. Computer Speech &amp; Language, 2025, 89: 101677.</w:t>
      </w:r>
    </w:p>
    <w:p w14:paraId="0A9F35F5">
      <w:pPr>
        <w:spacing w:after="40" w:line="276" w:lineRule="auto"/>
        <w:ind w:left="420" w:hanging="420"/>
      </w:pPr>
      <w:r>
        <w:rPr>
          <w:rFonts w:ascii="Times New Roman" w:hAnsi="Times New Roman" w:eastAsia="宋体"/>
          <w:sz w:val="21"/>
        </w:rPr>
        <w:t>[22] NATARAJAN S, AL-HADDAD S A R, AHMAD F A, et al. Deep neural networks for speech enhancement and speech recognition: A systematic review[J]. Ain Shams Engineering Journal, 2025, 16(7): 103405.</w:t>
      </w:r>
    </w:p>
    <w:p w14:paraId="745FFAE9">
      <w:pPr>
        <w:spacing w:after="40" w:line="276" w:lineRule="auto"/>
        <w:ind w:left="420" w:hanging="420"/>
      </w:pPr>
      <w:r>
        <w:rPr>
          <w:rFonts w:ascii="Times New Roman" w:hAnsi="Times New Roman" w:eastAsia="宋体"/>
          <w:sz w:val="21"/>
        </w:rPr>
        <w:t>[23] LAY B, GERKMANN T. An analysis of the variance of diffusion-based speech enhancement[C]//Proceedings of Interspeech. 2024: 2205-2209.</w:t>
      </w:r>
    </w:p>
    <w:p w14:paraId="76AE0A76">
      <w:pPr>
        <w:spacing w:after="40" w:line="276" w:lineRule="auto"/>
        <w:ind w:left="420" w:hanging="420"/>
      </w:pPr>
      <w:r>
        <w:rPr>
          <w:rFonts w:ascii="Times New Roman" w:hAnsi="Times New Roman" w:eastAsia="宋体"/>
          <w:sz w:val="21"/>
        </w:rPr>
        <w:t>[24] WANG S S, CHEN J Y, BAI B R, et al. Unsupervised face-masked speech enhancement using generative adversarial networks with human-in-the-loop assessment metrics[J]. IEEE/ACM Transactions on Audio, Speech, and Language Processing, 2024, 32: 3826-3837.</w:t>
      </w:r>
    </w:p>
    <w:p w14:paraId="0AC9D79C">
      <w:pPr>
        <w:spacing w:after="40" w:line="276" w:lineRule="auto"/>
        <w:ind w:left="420" w:hanging="420"/>
      </w:pPr>
      <w:r>
        <w:rPr>
          <w:rFonts w:ascii="Times New Roman" w:hAnsi="Times New Roman" w:eastAsia="宋体"/>
          <w:sz w:val="21"/>
        </w:rPr>
        <w:t>[25] KALKHORANI V A, YU C, KUMAR A, et al. AV-CrossNet: An audiovisual complex spectral mapping network for speech separation by leveraging narrow- and cross-band modeling[J]. IEEE Journal of Selected Topics in Signal Processing, 2025, 19(4): 685-694.</w:t>
      </w:r>
    </w:p>
    <w:p w14:paraId="1374FAFF">
      <w:pPr>
        <w:spacing w:after="40" w:line="276" w:lineRule="auto"/>
        <w:ind w:left="420" w:hanging="420"/>
      </w:pPr>
      <w:r>
        <w:rPr>
          <w:rFonts w:ascii="Times New Roman" w:hAnsi="Times New Roman" w:eastAsia="宋体"/>
          <w:sz w:val="21"/>
        </w:rPr>
        <w:t>[26] ZHU Z, ZHANG L, PEI K, et al. Endpoint-aware audio-visual speech enhancement utilizing dynamic weight modulation based on SNR estimation[J]. Neural Networks, 2025, 185: 107152.</w:t>
      </w:r>
    </w:p>
    <w:p w14:paraId="50171BC8">
      <w:pPr>
        <w:spacing w:after="40" w:line="276" w:lineRule="auto"/>
        <w:ind w:left="420" w:hanging="420"/>
      </w:pPr>
      <w:r>
        <w:rPr>
          <w:rFonts w:ascii="Times New Roman" w:hAnsi="Times New Roman" w:eastAsia="宋体"/>
          <w:sz w:val="21"/>
        </w:rPr>
        <w:t>[27] DONG R, LIU P, TIAN X, et al. Influences of noise reduction on speech intelligibility, listening effort, and sound quality among adults with severe to profound hearing loss[J]. Frontiers in Neuroscience, 2024, 18: 1407775.</w:t>
      </w:r>
    </w:p>
    <w:p w14:paraId="676296DC">
      <w:pPr>
        <w:spacing w:after="40" w:line="276" w:lineRule="auto"/>
        <w:ind w:left="420" w:hanging="420"/>
      </w:pPr>
      <w:r>
        <w:rPr>
          <w:rFonts w:ascii="Times New Roman" w:hAnsi="Times New Roman" w:eastAsia="宋体"/>
          <w:sz w:val="21"/>
        </w:rPr>
        <w:t>[28] HSU W N, SHI B, LI Y, et al. ReVISE: Self-supervised speech resynthesis with visual input for universal and versatile audio-visual speech enhancement[C]//Proceedings of CVPR. 2023: 23780-23790.</w:t>
      </w:r>
    </w:p>
    <w:p w14:paraId="2B432377">
      <w:pPr>
        <w:spacing w:after="40" w:line="276" w:lineRule="auto"/>
        <w:ind w:left="420" w:hanging="420"/>
      </w:pPr>
      <w:r>
        <w:rPr>
          <w:rFonts w:ascii="Times New Roman" w:hAnsi="Times New Roman" w:eastAsia="宋体"/>
          <w:sz w:val="21"/>
        </w:rPr>
        <w:t>[29] KIM J H, KIM J, CHUNG J S. Let there be sound: Reconstructing high quality speech from silent videos[C]//Proceedings of AAAI. 2024: 18451-18459.</w:t>
      </w:r>
    </w:p>
    <w:p w14:paraId="4A1C1826">
      <w:pPr>
        <w:spacing w:after="40" w:line="276" w:lineRule="auto"/>
        <w:ind w:left="420" w:hanging="420"/>
      </w:pPr>
      <w:r>
        <w:rPr>
          <w:rFonts w:ascii="Times New Roman" w:hAnsi="Times New Roman" w:eastAsia="宋体"/>
          <w:sz w:val="21"/>
        </w:rPr>
        <w:t>[30] WANG F, YANG S, SHAN S, CHEN X. CogCM: Cognition-inspired contextual modeling for audio-visual speech enhancement[C]//Proceedings of ICCV. 2025: 21408-21418.</w:t>
      </w:r>
    </w:p>
    <w:sectPr>
      <w:footerReference r:id="rId5" w:type="default"/>
      <w:pgSz w:w="12240" w:h="15840"/>
      <w:pgMar w:top="1417" w:right="1417" w:bottom="1417" w:left="1587" w:header="737" w:footer="73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0B1D9">
    <w:pPr>
      <w:pStyle w:val="24"/>
      <w:jc w:val="center"/>
    </w:pPr>
    <w:r>
      <w:t xml:space="preserve">— </w:t>
    </w:r>
    <w:r>
      <w:fldChar w:fldCharType="begin"/>
    </w:r>
    <w:r>
      <w:instrText xml:space="preserve">PAGE</w:instrText>
    </w:r>
    <w:r>
      <w:fldChar w:fldCharType="separate"/>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6E0415"/>
    <w:rsid w:val="63C345BE"/>
    <w:rsid w:val="7FD83CD7"/>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20"/>
    </w:pPr>
    <w:rPr>
      <w:rFonts w:ascii="Times New Roman" w:hAnsi="Times New Roman" w:eastAsia="宋体" w:cstheme="minorBidi"/>
      <w:color w:val="000000"/>
      <w:sz w:val="21"/>
      <w:szCs w:val="22"/>
      <w:lang w:val="en-US" w:eastAsia="zh-CN" w:bidi="ar-SA"/>
    </w:rPr>
  </w:style>
  <w:style w:type="paragraph" w:styleId="3">
    <w:name w:val="heading 1"/>
    <w:basedOn w:val="1"/>
    <w:next w:val="1"/>
    <w:link w:val="138"/>
    <w:qFormat/>
    <w:uiPriority w:val="9"/>
    <w:pPr>
      <w:keepNext/>
      <w:keepLines/>
      <w:spacing w:before="160" w:after="120" w:line="288" w:lineRule="auto"/>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160" w:after="120" w:line="288" w:lineRule="auto"/>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160" w:after="120" w:line="288" w:lineRule="auto"/>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zh-CN"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before="0" w:after="0" w:line="360" w:lineRule="auto"/>
    </w:pPr>
    <w:rPr>
      <w:rFonts w:ascii="Times New Roman" w:hAnsi="Times New Roman" w:eastAsia="宋体"/>
      <w:color w:val="000000"/>
      <w:sz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60" w:line="240" w:lineRule="auto"/>
      <w:contextualSpacing/>
      <w:jc w:val="center"/>
    </w:pPr>
    <w:rPr>
      <w:rFonts w:asciiTheme="majorHAnsi" w:hAnsiTheme="majorHAnsi" w:eastAsiaTheme="majorEastAsia" w:cstheme="majorBidi"/>
      <w:b/>
      <w:color w:val="000000"/>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zh-CN"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ource Code"/>
    <w:basedOn w:val="1"/>
    <w:qFormat/>
    <w:uiPriority w:val="0"/>
    <w:pPr>
      <w:wordWrap w:val="0"/>
    </w:pPr>
  </w:style>
  <w:style w:type="character" w:customStyle="1" w:styleId="165">
    <w:name w:val="KeywordTok"/>
    <w:qFormat/>
    <w:uiPriority w:val="0"/>
    <w:rPr>
      <w:b/>
      <w:color w:val="007020"/>
    </w:rPr>
  </w:style>
  <w:style w:type="character" w:customStyle="1" w:styleId="166">
    <w:name w:val="DataTypeTok"/>
    <w:uiPriority w:val="0"/>
    <w:rPr>
      <w:color w:val="902000"/>
    </w:rPr>
  </w:style>
  <w:style w:type="character" w:customStyle="1" w:styleId="167">
    <w:name w:val="DecValTok"/>
    <w:qFormat/>
    <w:uiPriority w:val="0"/>
    <w:rPr>
      <w:color w:val="40A070"/>
    </w:rPr>
  </w:style>
  <w:style w:type="character" w:customStyle="1" w:styleId="168">
    <w:name w:val="BaseNTok"/>
    <w:qFormat/>
    <w:uiPriority w:val="0"/>
    <w:rPr>
      <w:color w:val="40A070"/>
    </w:rPr>
  </w:style>
  <w:style w:type="character" w:customStyle="1" w:styleId="169">
    <w:name w:val="FloatTok"/>
    <w:uiPriority w:val="0"/>
    <w:rPr>
      <w:color w:val="40A070"/>
    </w:rPr>
  </w:style>
  <w:style w:type="character" w:customStyle="1" w:styleId="170">
    <w:name w:val="ConstantTok"/>
    <w:uiPriority w:val="0"/>
    <w:rPr>
      <w:color w:val="880000"/>
    </w:rPr>
  </w:style>
  <w:style w:type="character" w:customStyle="1" w:styleId="171">
    <w:name w:val="CharTok"/>
    <w:qFormat/>
    <w:uiPriority w:val="0"/>
    <w:rPr>
      <w:color w:val="4070A0"/>
    </w:rPr>
  </w:style>
  <w:style w:type="character" w:customStyle="1" w:styleId="172">
    <w:name w:val="SpecialCharTok"/>
    <w:qFormat/>
    <w:uiPriority w:val="0"/>
    <w:rPr>
      <w:color w:val="4070A0"/>
    </w:rPr>
  </w:style>
  <w:style w:type="character" w:customStyle="1" w:styleId="173">
    <w:name w:val="StringTok"/>
    <w:qFormat/>
    <w:uiPriority w:val="0"/>
    <w:rPr>
      <w:color w:val="4070A0"/>
    </w:rPr>
  </w:style>
  <w:style w:type="character" w:customStyle="1" w:styleId="174">
    <w:name w:val="VerbatimStringTok"/>
    <w:qFormat/>
    <w:uiPriority w:val="0"/>
    <w:rPr>
      <w:color w:val="4070A0"/>
    </w:rPr>
  </w:style>
  <w:style w:type="character" w:customStyle="1" w:styleId="175">
    <w:name w:val="SpecialStringTok"/>
    <w:uiPriority w:val="0"/>
    <w:rPr>
      <w:color w:val="BB6688"/>
    </w:rPr>
  </w:style>
  <w:style w:type="character" w:customStyle="1" w:styleId="176">
    <w:name w:val="ImportTok"/>
    <w:qFormat/>
    <w:uiPriority w:val="0"/>
    <w:rPr>
      <w:b/>
      <w:color w:val="008000"/>
    </w:rPr>
  </w:style>
  <w:style w:type="character" w:customStyle="1" w:styleId="177">
    <w:name w:val="CommentTok"/>
    <w:qFormat/>
    <w:uiPriority w:val="0"/>
    <w:rPr>
      <w:i/>
      <w:color w:val="60A0B0"/>
    </w:rPr>
  </w:style>
  <w:style w:type="character" w:customStyle="1" w:styleId="178">
    <w:name w:val="DocumentationTok"/>
    <w:qFormat/>
    <w:uiPriority w:val="0"/>
    <w:rPr>
      <w:i/>
      <w:color w:val="BA2121"/>
    </w:rPr>
  </w:style>
  <w:style w:type="character" w:customStyle="1" w:styleId="179">
    <w:name w:val="AnnotationTok"/>
    <w:uiPriority w:val="0"/>
    <w:rPr>
      <w:b/>
      <w:i/>
      <w:color w:val="60A0B0"/>
    </w:rPr>
  </w:style>
  <w:style w:type="character" w:customStyle="1" w:styleId="180">
    <w:name w:val="CommentVarTok"/>
    <w:uiPriority w:val="0"/>
    <w:rPr>
      <w:b/>
      <w:i/>
      <w:color w:val="60A0B0"/>
    </w:rPr>
  </w:style>
  <w:style w:type="character" w:customStyle="1" w:styleId="181">
    <w:name w:val="OtherTok"/>
    <w:qFormat/>
    <w:uiPriority w:val="0"/>
    <w:rPr>
      <w:color w:val="007020"/>
    </w:rPr>
  </w:style>
  <w:style w:type="character" w:customStyle="1" w:styleId="182">
    <w:name w:val="FunctionTok"/>
    <w:uiPriority w:val="0"/>
    <w:rPr>
      <w:color w:val="06287E"/>
    </w:rPr>
  </w:style>
  <w:style w:type="character" w:customStyle="1" w:styleId="183">
    <w:name w:val="VariableTok"/>
    <w:uiPriority w:val="0"/>
    <w:rPr>
      <w:color w:val="19177C"/>
    </w:rPr>
  </w:style>
  <w:style w:type="character" w:customStyle="1" w:styleId="184">
    <w:name w:val="ControlFlowTok"/>
    <w:qFormat/>
    <w:uiPriority w:val="0"/>
    <w:rPr>
      <w:b/>
      <w:color w:val="007020"/>
    </w:rPr>
  </w:style>
  <w:style w:type="character" w:customStyle="1" w:styleId="185">
    <w:name w:val="OperatorTok"/>
    <w:qFormat/>
    <w:uiPriority w:val="0"/>
    <w:rPr>
      <w:color w:val="666666"/>
    </w:rPr>
  </w:style>
  <w:style w:type="character" w:customStyle="1" w:styleId="186">
    <w:name w:val="BuiltInTok"/>
    <w:qFormat/>
    <w:uiPriority w:val="0"/>
    <w:rPr>
      <w:color w:val="008000"/>
    </w:rPr>
  </w:style>
  <w:style w:type="character" w:customStyle="1" w:styleId="187">
    <w:name w:val="ExtensionTok"/>
    <w:qFormat/>
    <w:uiPriority w:val="0"/>
  </w:style>
  <w:style w:type="character" w:customStyle="1" w:styleId="188">
    <w:name w:val="PreprocessorTok"/>
    <w:uiPriority w:val="0"/>
    <w:rPr>
      <w:color w:val="BC7A00"/>
    </w:rPr>
  </w:style>
  <w:style w:type="character" w:customStyle="1" w:styleId="189">
    <w:name w:val="AttributeTok"/>
    <w:uiPriority w:val="0"/>
    <w:rPr>
      <w:color w:val="7D9029"/>
    </w:rPr>
  </w:style>
  <w:style w:type="character" w:customStyle="1" w:styleId="190">
    <w:name w:val="RegionMarkerTok"/>
    <w:qFormat/>
    <w:uiPriority w:val="0"/>
  </w:style>
  <w:style w:type="character" w:customStyle="1" w:styleId="191">
    <w:name w:val="InformationTok"/>
    <w:qFormat/>
    <w:uiPriority w:val="0"/>
    <w:rPr>
      <w:b/>
      <w:i/>
      <w:color w:val="60A0B0"/>
    </w:rPr>
  </w:style>
  <w:style w:type="character" w:customStyle="1" w:styleId="192">
    <w:name w:val="WarningTok"/>
    <w:qFormat/>
    <w:uiPriority w:val="0"/>
    <w:rPr>
      <w:b/>
      <w:i/>
      <w:color w:val="60A0B0"/>
    </w:rPr>
  </w:style>
  <w:style w:type="character" w:customStyle="1" w:styleId="193">
    <w:name w:val="AlertTok"/>
    <w:qFormat/>
    <w:uiPriority w:val="0"/>
    <w:rPr>
      <w:b/>
      <w:color w:val="FF0000"/>
    </w:rPr>
  </w:style>
  <w:style w:type="character" w:customStyle="1" w:styleId="194">
    <w:name w:val="ErrorTok"/>
    <w:qFormat/>
    <w:uiPriority w:val="0"/>
    <w:rPr>
      <w:b/>
      <w:color w:val="FF0000"/>
    </w:rPr>
  </w:style>
  <w:style w:type="character" w:customStyle="1" w:styleId="195">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28</Pages>
  <Words>5535</Words>
  <Characters>6216</Characters>
  <Lines>0</Lines>
  <Paragraphs>0</Paragraphs>
  <TotalTime>61</TotalTime>
  <ScaleCrop>false</ScaleCrop>
  <LinksUpToDate>false</LinksUpToDate>
  <CharactersWithSpaces>6346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2026-07-20T10:21:00Z</dcterms:created>
  <dc:creator>硕士学位论文初稿（方法定位与文献补充版）</dc:creator>
  <cp:lastModifiedBy>九千七</cp:lastModifiedBy>
  <dcterms:modified xsi:type="dcterms:W3CDTF">2026-07-22T08:53:21Z</dcterms:modified>
  <dc:subject>整合当前实验结果并明确结论边界与待补项目</dc:subject>
  <dc:title>EDCR-Net论文初稿（第四章实验筛选修订版）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eyJoZGlkIjoiZGJiNmE4YjJmMTQ2NzM5NjMyYTQ1YzA2M2NmY2E1MDUiLCJ1c2VySWQiOiI2NTY2NDk0NTgifQ==</vt:lpwstr>
  </property>
  <property fmtid="{D5CDD505-2E9C-101B-9397-08002B2CF9AE}" pid="3" name="KSOProductBuildVer">
    <vt:lpwstr>2052-12.1.0.26895</vt:lpwstr>
  </property>
  <property fmtid="{D5CDD505-2E9C-101B-9397-08002B2CF9AE}" pid="4" name="ICV">
    <vt:lpwstr>965FE74121714EB5A934E5C6ECBB584E_12</vt:lpwstr>
  </property>
</Properties>
</file>