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Times New Roman" w:hAnsi="Times New Roman" w:eastAsia="黑体"/>
          <w:b/>
          <w:sz w:val="36"/>
        </w:rPr>
        <w:t>第4章  实验结果与分析</w:t>
      </w:r>
    </w:p>
    <w:p>
      <w:pPr>
        <w:pStyle w:val="H1CN"/>
        <w:keepNext/>
        <w:keepLines/>
      </w:pPr>
      <w:r>
        <w:t>4.1 实验设置</w:t>
      </w:r>
    </w:p>
    <w:p>
      <w:pPr>
        <w:pStyle w:val="H2CN"/>
        <w:keepNext/>
        <w:keepLines/>
      </w:pPr>
      <w:r>
        <w:t>4.1.1 数据集与复合退化划分</w:t>
      </w:r>
    </w:p>
    <w:p>
      <w:pPr>
        <w:pStyle w:val="BodyCN"/>
      </w:pPr>
      <w:r>
        <w:t>实验采用VCTK语音数据集，所有语音统一重采样至16 kHz。预处理后共获得44,247条原始语音，并针对每条语音构建clean、light、medium和heavy四类复合退化条件，共形成176,988条样本。数据按照源语音进行划分，保证同一原始语音的不同退化版本不会跨越训练集、验证集和测试集，从而降低同源样本泄漏对结果的影响。</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tblHeader/>
        </w:trPr>
        <w:tc>
          <w:tcPr>
            <w:tcW w:type="dxa" w:w="1814"/>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9"/>
              </w:rPr>
              <w:t>数据集合</w:t>
            </w:r>
          </w:p>
        </w:tc>
        <w:tc>
          <w:tcPr>
            <w:tcW w:type="dxa" w:w="1928"/>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9"/>
              </w:rPr>
              <w:t>原始语音数</w:t>
            </w:r>
          </w:p>
        </w:tc>
        <w:tc>
          <w:tcPr>
            <w:tcW w:type="dxa" w:w="2154"/>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9"/>
              </w:rPr>
              <w:t>复合退化样本数</w:t>
            </w:r>
          </w:p>
        </w:tc>
        <w:tc>
          <w:tcPr>
            <w:tcW w:type="dxa" w:w="3402"/>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9"/>
              </w:rPr>
              <w:t>主要用途</w:t>
            </w:r>
          </w:p>
        </w:tc>
      </w:tr>
      <w:tr>
        <w:trPr>
          <w:cantSplit/>
        </w:trPr>
        <w:tc>
          <w:tcPr>
            <w:tcW w:type="dxa" w:w="181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训练集</w:t>
            </w:r>
          </w:p>
        </w:tc>
        <w:tc>
          <w:tcPr>
            <w:tcW w:type="dxa" w:w="1928"/>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35,424</w:t>
            </w:r>
          </w:p>
        </w:tc>
        <w:tc>
          <w:tcPr>
            <w:tcW w:type="dxa" w:w="215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141,696</w:t>
            </w:r>
          </w:p>
        </w:tc>
        <w:tc>
          <w:tcPr>
            <w:tcW w:type="dxa" w:w="3402"/>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训练退化估计器与残差模块</w:t>
            </w:r>
          </w:p>
        </w:tc>
      </w:tr>
      <w:tr>
        <w:trPr>
          <w:cantSplit/>
        </w:trPr>
        <w:tc>
          <w:tcPr>
            <w:tcW w:type="dxa" w:w="181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验证集</w:t>
            </w:r>
          </w:p>
        </w:tc>
        <w:tc>
          <w:tcPr>
            <w:tcW w:type="dxa" w:w="1928"/>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4,409</w:t>
            </w:r>
          </w:p>
        </w:tc>
        <w:tc>
          <w:tcPr>
            <w:tcW w:type="dxa" w:w="215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17,636</w:t>
            </w:r>
          </w:p>
        </w:tc>
        <w:tc>
          <w:tcPr>
            <w:tcW w:type="dxa" w:w="3402"/>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选择最佳检查点并观察超参数敏感性</w:t>
            </w:r>
          </w:p>
        </w:tc>
      </w:tr>
      <w:tr>
        <w:trPr>
          <w:cantSplit/>
        </w:trPr>
        <w:tc>
          <w:tcPr>
            <w:tcW w:type="dxa" w:w="181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测试集</w:t>
            </w:r>
          </w:p>
        </w:tc>
        <w:tc>
          <w:tcPr>
            <w:tcW w:type="dxa" w:w="1928"/>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4,414</w:t>
            </w:r>
          </w:p>
        </w:tc>
        <w:tc>
          <w:tcPr>
            <w:tcW w:type="dxa" w:w="215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17,656</w:t>
            </w:r>
          </w:p>
        </w:tc>
        <w:tc>
          <w:tcPr>
            <w:tcW w:type="dxa" w:w="3402"/>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最终统一评测</w:t>
            </w:r>
          </w:p>
        </w:tc>
      </w:tr>
      <w:tr>
        <w:trPr>
          <w:cantSplit/>
        </w:trPr>
        <w:tc>
          <w:tcPr>
            <w:tcW w:type="dxa" w:w="181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合计</w:t>
            </w:r>
          </w:p>
        </w:tc>
        <w:tc>
          <w:tcPr>
            <w:tcW w:type="dxa" w:w="1928"/>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44,247</w:t>
            </w:r>
          </w:p>
        </w:tc>
        <w:tc>
          <w:tcPr>
            <w:tcW w:type="dxa" w:w="215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176,988</w:t>
            </w:r>
          </w:p>
        </w:tc>
        <w:tc>
          <w:tcPr>
            <w:tcW w:type="dxa" w:w="3402"/>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源语音级独立划分</w:t>
            </w:r>
          </w:p>
        </w:tc>
      </w:tr>
    </w:tbl>
    <w:p>
      <w:pPr>
        <w:pStyle w:val="CaptionCN"/>
        <w:jc w:val="center"/>
      </w:pPr>
      <w:r>
        <w:t>表4-1 复合退化数据集划分</w:t>
      </w:r>
    </w:p>
    <w:p>
      <w:pPr>
        <w:pStyle w:val="H2CN"/>
        <w:keepNext/>
        <w:keepLines/>
      </w:pPr>
      <w:r>
        <w:t>4.1.2 最终系统与统一评测口径</w:t>
      </w:r>
    </w:p>
    <w:p>
      <w:pPr>
        <w:pStyle w:val="BodyCN"/>
      </w:pPr>
      <w:r>
        <w:t>最终系统由冻结GTCRN、多任务退化估计器和EDCR-V1共享残差模块构成。推理阶段使用估计器输出的Predicted九维连续条件向量，残差注入系数固定为0.75；Oracle条件仅用于分析理想标签条件下的上限，不作为最终部署结果。全部主结果均在同一17,656条测试样本上采用同一脚本、同一长度对齐方式计算。</w:t>
      </w:r>
    </w:p>
    <w:p>
      <w:pPr>
        <w:pStyle w:val="BodyCN"/>
      </w:pPr>
      <w:r>
        <w:t>HF-LSD统一定义为4 kHz以上频带的对数谱距离。在16 kHz采样率、NFFT=512的条件下，对应从第128个频点开始计算。条件扰动实验与统计重采样固定随机种子为2026，以保证结果可复现。</w:t>
      </w:r>
    </w:p>
    <w:p>
      <w:pPr>
        <w:pStyle w:val="H2CN"/>
        <w:keepNext/>
        <w:keepLines/>
      </w:pPr>
      <w:r>
        <w:t>4.1.3 评价指标与统计方法</w:t>
      </w:r>
    </w:p>
    <w:p>
      <w:pPr>
        <w:pStyle w:val="BodyCN"/>
      </w:pPr>
      <w:r>
        <w:t>系统性能从可懂度、时域重建和频谱保真度三个层面评价。STOI与ESTOI用于衡量语音可懂度，SI-SDR用于评价尺度不变条件下的时域重建一致性，LSD与HF-LSD分别描述全频和高频频谱失真。最终结论不仅依据总体均值，还结合clean/light/medium/heavy分组结果、17,656条逐句配对差值、Wilcoxon符号秩检验、改善样本比例与均值95%置信区间进行判断。</w:t>
      </w:r>
    </w:p>
    <w:p>
      <w:pPr>
        <w:pStyle w:val="H2CN"/>
        <w:keepNext/>
        <w:keepLines/>
      </w:pPr>
      <w:r>
        <w:t>4.1.4 残差缩放系数敏感性分析</w:t>
      </w:r>
    </w:p>
    <w:p>
      <w:pPr>
        <w:pStyle w:val="BodyCN"/>
      </w:pPr>
      <w:r>
        <w:t>为分析残差注入强度对多目标性能的影响，在统一评测口径下比较scale=0、0.75和0.90。由于现有实验记录未单独保留验证集上的三档结果，本节按推理系数敏感性分析表述，不将其作为独立验证集上的超参数搜索证据。</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tblHeader w:val="true"/>
          <w:tblHeader/>
        </w:trPr>
        <w:tc>
          <w:tcPr>
            <w:tcW w:type="dxa" w:w="1134"/>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Scale</w:t>
            </w:r>
          </w:p>
        </w:tc>
        <w:tc>
          <w:tcPr>
            <w:tcW w:type="dxa" w:w="1191"/>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STOI↑</w:t>
            </w:r>
          </w:p>
        </w:tc>
        <w:tc>
          <w:tcPr>
            <w:tcW w:type="dxa" w:w="1191"/>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ESTOI↑</w:t>
            </w:r>
          </w:p>
        </w:tc>
        <w:tc>
          <w:tcPr>
            <w:tcW w:type="dxa" w:w="1417"/>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SI-SDR/dB↑</w:t>
            </w:r>
          </w:p>
        </w:tc>
        <w:tc>
          <w:tcPr>
            <w:tcW w:type="dxa" w:w="1191"/>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LSD↓</w:t>
            </w:r>
          </w:p>
        </w:tc>
        <w:tc>
          <w:tcPr>
            <w:tcW w:type="dxa" w:w="1247"/>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HF-LSD↓</w:t>
            </w:r>
          </w:p>
        </w:tc>
        <w:tc>
          <w:tcPr>
            <w:tcW w:type="dxa" w:w="1814"/>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结论</w:t>
            </w:r>
          </w:p>
        </w:tc>
      </w:tr>
      <w:tr>
        <w:trPr>
          <w:cantSplit/>
        </w:trPr>
        <w:tc>
          <w:tcPr>
            <w:tcW w:type="dxa" w:w="113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0（Base）</w:t>
            </w:r>
          </w:p>
        </w:tc>
        <w:tc>
          <w:tcPr>
            <w:tcW w:type="dxa" w:w="119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0.7332</w:t>
            </w:r>
          </w:p>
        </w:tc>
        <w:tc>
          <w:tcPr>
            <w:tcW w:type="dxa" w:w="119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0.6481</w:t>
            </w:r>
          </w:p>
        </w:tc>
        <w:tc>
          <w:tcPr>
            <w:tcW w:type="dxa" w:w="141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17.0708</w:t>
            </w:r>
          </w:p>
        </w:tc>
        <w:tc>
          <w:tcPr>
            <w:tcW w:type="dxa" w:w="119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13.3223</w:t>
            </w:r>
          </w:p>
        </w:tc>
        <w:tc>
          <w:tcPr>
            <w:tcW w:type="dxa" w:w="124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14.0701</w:t>
            </w:r>
          </w:p>
        </w:tc>
        <w:tc>
          <w:tcPr>
            <w:tcW w:type="dxa" w:w="181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基线</w:t>
            </w:r>
          </w:p>
        </w:tc>
      </w:tr>
      <w:tr>
        <w:trPr>
          <w:cantSplit/>
        </w:trPr>
        <w:tc>
          <w:tcPr>
            <w:tcW w:type="dxa" w:w="113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0.75</w:t>
            </w:r>
          </w:p>
        </w:tc>
        <w:tc>
          <w:tcPr>
            <w:tcW w:type="dxa" w:w="119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0.7322</w:t>
            </w:r>
          </w:p>
        </w:tc>
        <w:tc>
          <w:tcPr>
            <w:tcW w:type="dxa" w:w="119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0.6438</w:t>
            </w:r>
          </w:p>
        </w:tc>
        <w:tc>
          <w:tcPr>
            <w:tcW w:type="dxa" w:w="141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17.1868</w:t>
            </w:r>
          </w:p>
        </w:tc>
        <w:tc>
          <w:tcPr>
            <w:tcW w:type="dxa" w:w="119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11.4176</w:t>
            </w:r>
          </w:p>
        </w:tc>
        <w:tc>
          <w:tcPr>
            <w:tcW w:type="dxa" w:w="124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11.5111</w:t>
            </w:r>
          </w:p>
        </w:tc>
        <w:tc>
          <w:tcPr>
            <w:tcW w:type="dxa" w:w="181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综合平衡最佳</w:t>
            </w:r>
          </w:p>
        </w:tc>
      </w:tr>
      <w:tr>
        <w:trPr>
          <w:cantSplit/>
        </w:trPr>
        <w:tc>
          <w:tcPr>
            <w:tcW w:type="dxa" w:w="113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0.90</w:t>
            </w:r>
          </w:p>
        </w:tc>
        <w:tc>
          <w:tcPr>
            <w:tcW w:type="dxa" w:w="119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0.7315</w:t>
            </w:r>
          </w:p>
        </w:tc>
        <w:tc>
          <w:tcPr>
            <w:tcW w:type="dxa" w:w="119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0.6415</w:t>
            </w:r>
          </w:p>
        </w:tc>
        <w:tc>
          <w:tcPr>
            <w:tcW w:type="dxa" w:w="141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17.1372</w:t>
            </w:r>
          </w:p>
        </w:tc>
        <w:tc>
          <w:tcPr>
            <w:tcW w:type="dxa" w:w="119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11.3748</w:t>
            </w:r>
          </w:p>
        </w:tc>
        <w:tc>
          <w:tcPr>
            <w:tcW w:type="dxa" w:w="124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11.5340</w:t>
            </w:r>
          </w:p>
        </w:tc>
        <w:tc>
          <w:tcPr>
            <w:tcW w:type="dxa" w:w="181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LSD略优，其余指标变差</w:t>
            </w:r>
          </w:p>
        </w:tc>
      </w:tr>
    </w:tbl>
    <w:p>
      <w:pPr>
        <w:pStyle w:val="CaptionCN"/>
        <w:jc w:val="center"/>
      </w:pPr>
      <w:r>
        <w:t>表4-2 不同残差缩放系数的系统性能</w:t>
      </w:r>
    </w:p>
    <w:p>
      <w:pPr>
        <w:spacing w:before="60" w:after="60"/>
        <w:jc w:val="center"/>
      </w:pPr>
      <w:r>
        <w:drawing>
          <wp:inline xmlns:a="http://schemas.openxmlformats.org/drawingml/2006/main" xmlns:pic="http://schemas.openxmlformats.org/drawingml/2006/picture">
            <wp:extent cx="5577840" cy="2346709"/>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577840" cy="2346709"/>
                    </a:xfrm>
                    <a:prstGeom prst="rect"/>
                  </pic:spPr>
                </pic:pic>
              </a:graphicData>
            </a:graphic>
          </wp:inline>
        </w:drawing>
      </w:r>
    </w:p>
    <w:p>
      <w:pPr>
        <w:pStyle w:val="CaptionCN"/>
        <w:jc w:val="center"/>
      </w:pPr>
      <w:r>
        <w:t>图4-1 不同残差缩放系数的多指标权衡</w:t>
      </w:r>
    </w:p>
    <w:p>
      <w:pPr>
        <w:pStyle w:val="BodyCN"/>
      </w:pPr>
      <w:r>
        <w:t>相较scale=0.75，scale=0.90仅使LSD进一步下降0.0428，但STOI、ESTOI和SI-SDR分别下降约0.0007、0.0023和0.0496 dB，HF-LSD反而增加0.0229。综合可懂度、时域一致性与高频频谱恢复，0.75在多项指标之间取得了更合理的折中，因此后续实验统一采用scale=0.75。</w:t>
      </w:r>
    </w:p>
    <w:p>
      <w:pPr>
        <w:pStyle w:val="H1CN"/>
        <w:keepNext/>
        <w:keepLines/>
      </w:pPr>
      <w:r>
        <w:t>4.2 退化估计器性能分析</w:t>
      </w:r>
    </w:p>
    <w:p>
      <w:pPr>
        <w:pStyle w:val="H2CN"/>
        <w:keepNext/>
        <w:keepLines/>
      </w:pPr>
      <w:r>
        <w:t>4.2.1 训练收敛与总体性能</w:t>
      </w:r>
    </w:p>
    <w:p>
      <w:pPr>
        <w:pStyle w:val="BodyCN"/>
      </w:pPr>
      <w:r>
        <w:t>退化估计器将冻结基础增强器的瓶颈统计表征转换为噪声存在性、SNR、有效带宽和量化位深四类可解释状态。图4-2显示，总损失在训练前期快速下降并逐渐稳定，噪声与带宽准确率长期维持在较高水平，SNR平均绝对误差虽有波动但未出现持续发散，说明多任务训练总体收敛稳定。</w:t>
      </w:r>
    </w:p>
    <w:p>
      <w:pPr>
        <w:spacing w:before="60" w:after="60"/>
        <w:jc w:val="center"/>
      </w:pPr>
      <w:r>
        <w:drawing>
          <wp:inline xmlns:a="http://schemas.openxmlformats.org/drawingml/2006/main" xmlns:pic="http://schemas.openxmlformats.org/drawingml/2006/picture">
            <wp:extent cx="5486400" cy="1714500"/>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5486400" cy="1714500"/>
                    </a:xfrm>
                    <a:prstGeom prst="rect"/>
                  </pic:spPr>
                </pic:pic>
              </a:graphicData>
            </a:graphic>
          </wp:inline>
        </w:drawing>
      </w:r>
    </w:p>
    <w:p>
      <w:pPr>
        <w:pStyle w:val="CaptionCN"/>
        <w:jc w:val="center"/>
      </w:pPr>
      <w:r>
        <w:t>图4-2 退化估计器训练曲线</w:t>
      </w:r>
    </w:p>
    <w:tbl>
      <w:tblPr>
        <w:tblW w:type="auto" w:w="0"/>
        <w:jc w:val="center"/>
        <w:tblLayout w:type="fixed"/>
        <w:tblLook w:firstColumn="1" w:firstRow="1" w:lastColumn="0" w:lastRow="0" w:noHBand="0" w:noVBand="1" w:val="04A0"/>
      </w:tblPr>
      <w:tblGrid>
        <w:gridCol w:w="3024"/>
        <w:gridCol w:w="3024"/>
        <w:gridCol w:w="3024"/>
      </w:tblGrid>
      <w:tr>
        <w:trPr>
          <w:tblHeader w:val="true"/>
          <w:tblHeader/>
        </w:trPr>
        <w:tc>
          <w:tcPr>
            <w:tcW w:type="dxa" w:w="2835"/>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9"/>
              </w:rPr>
              <w:t>任务</w:t>
            </w:r>
          </w:p>
        </w:tc>
        <w:tc>
          <w:tcPr>
            <w:tcW w:type="dxa" w:w="2835"/>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9"/>
              </w:rPr>
              <w:t>指标</w:t>
            </w:r>
          </w:p>
        </w:tc>
        <w:tc>
          <w:tcPr>
            <w:tcW w:type="dxa" w:w="2835"/>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9"/>
              </w:rPr>
              <w:t>结果</w:t>
            </w:r>
          </w:p>
        </w:tc>
      </w:tr>
      <w:tr>
        <w:trPr>
          <w:cantSplit/>
        </w:trPr>
        <w:tc>
          <w:tcPr>
            <w:tcW w:type="dxa" w:w="2835"/>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噪声识别</w:t>
            </w:r>
          </w:p>
        </w:tc>
        <w:tc>
          <w:tcPr>
            <w:tcW w:type="dxa" w:w="2835"/>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Accuracy</w:t>
            </w:r>
          </w:p>
        </w:tc>
        <w:tc>
          <w:tcPr>
            <w:tcW w:type="dxa" w:w="2835"/>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0.9999</w:t>
            </w:r>
          </w:p>
        </w:tc>
      </w:tr>
      <w:tr>
        <w:trPr>
          <w:cantSplit/>
        </w:trPr>
        <w:tc>
          <w:tcPr>
            <w:tcW w:type="dxa" w:w="2835"/>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噪声识别</w:t>
            </w:r>
          </w:p>
        </w:tc>
        <w:tc>
          <w:tcPr>
            <w:tcW w:type="dxa" w:w="2835"/>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F1</w:t>
            </w:r>
          </w:p>
        </w:tc>
        <w:tc>
          <w:tcPr>
            <w:tcW w:type="dxa" w:w="2835"/>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0.9999</w:t>
            </w:r>
          </w:p>
        </w:tc>
      </w:tr>
      <w:tr>
        <w:trPr>
          <w:cantSplit/>
        </w:trPr>
        <w:tc>
          <w:tcPr>
            <w:tcW w:type="dxa" w:w="2835"/>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带宽分类</w:t>
            </w:r>
          </w:p>
        </w:tc>
        <w:tc>
          <w:tcPr>
            <w:tcW w:type="dxa" w:w="2835"/>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Accuracy</w:t>
            </w:r>
          </w:p>
        </w:tc>
        <w:tc>
          <w:tcPr>
            <w:tcW w:type="dxa" w:w="2835"/>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0.9961</w:t>
            </w:r>
          </w:p>
        </w:tc>
      </w:tr>
      <w:tr>
        <w:trPr>
          <w:cantSplit/>
        </w:trPr>
        <w:tc>
          <w:tcPr>
            <w:tcW w:type="dxa" w:w="2835"/>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位深分类</w:t>
            </w:r>
          </w:p>
        </w:tc>
        <w:tc>
          <w:tcPr>
            <w:tcW w:type="dxa" w:w="2835"/>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Accuracy</w:t>
            </w:r>
          </w:p>
        </w:tc>
        <w:tc>
          <w:tcPr>
            <w:tcW w:type="dxa" w:w="2835"/>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0.8693</w:t>
            </w:r>
          </w:p>
        </w:tc>
      </w:tr>
      <w:tr>
        <w:trPr>
          <w:cantSplit/>
        </w:trPr>
        <w:tc>
          <w:tcPr>
            <w:tcW w:type="dxa" w:w="2835"/>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SNR回归</w:t>
            </w:r>
          </w:p>
        </w:tc>
        <w:tc>
          <w:tcPr>
            <w:tcW w:type="dxa" w:w="2835"/>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MAE/dB</w:t>
            </w:r>
          </w:p>
        </w:tc>
        <w:tc>
          <w:tcPr>
            <w:tcW w:type="dxa" w:w="2835"/>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0.8968</w:t>
            </w:r>
          </w:p>
        </w:tc>
      </w:tr>
      <w:tr>
        <w:trPr>
          <w:cantSplit/>
        </w:trPr>
        <w:tc>
          <w:tcPr>
            <w:tcW w:type="dxa" w:w="2835"/>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SNR回归</w:t>
            </w:r>
          </w:p>
        </w:tc>
        <w:tc>
          <w:tcPr>
            <w:tcW w:type="dxa" w:w="2835"/>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Pearson r</w:t>
            </w:r>
          </w:p>
        </w:tc>
        <w:tc>
          <w:tcPr>
            <w:tcW w:type="dxa" w:w="2835"/>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9"/>
              </w:rPr>
              <w:t>0.9863</w:t>
            </w:r>
          </w:p>
        </w:tc>
      </w:tr>
    </w:tbl>
    <w:p>
      <w:pPr>
        <w:pStyle w:val="CaptionCN"/>
        <w:jc w:val="center"/>
      </w:pPr>
      <w:r>
        <w:t>表4-3 退化估计器测试集总体性能</w:t>
      </w:r>
    </w:p>
    <w:p>
      <w:pPr>
        <w:pStyle w:val="BodyCN"/>
      </w:pPr>
      <w:r>
        <w:t>噪声识别和带宽分类几乎达到完全正确，SNR回归平均绝对误差低于1 dB且与真实值具有较强线性相关性。相比之下，位深分类准确率为0.8693，明显低于其他分类任务，表明相邻位深产生的量化纹理更难区分，是估计器的主要误差来源。</w:t>
      </w:r>
    </w:p>
    <w:p>
      <w:pPr>
        <w:pStyle w:val="H2CN"/>
        <w:keepNext/>
        <w:keepLines/>
      </w:pPr>
      <w:r>
        <w:t>4.2.2 混淆模式与退化强度差异</w:t>
      </w:r>
    </w:p>
    <w:p>
      <w:pPr>
        <w:spacing w:before="60" w:after="60"/>
        <w:jc w:val="center"/>
      </w:pPr>
      <w:r>
        <w:drawing>
          <wp:inline xmlns:a="http://schemas.openxmlformats.org/drawingml/2006/main" xmlns:pic="http://schemas.openxmlformats.org/drawingml/2006/picture">
            <wp:extent cx="5623560" cy="4809624"/>
            <wp:docPr id="3" name="Picture 3"/>
            <wp:cNvGraphicFramePr>
              <a:graphicFrameLocks noChangeAspect="1"/>
            </wp:cNvGraphicFramePr>
            <a:graphic>
              <a:graphicData uri="http://schemas.openxmlformats.org/drawingml/2006/picture">
                <pic:pic>
                  <pic:nvPicPr>
                    <pic:cNvPr id="0" name="fig_estimator_diagnostics.png"/>
                    <pic:cNvPicPr/>
                  </pic:nvPicPr>
                  <pic:blipFill>
                    <a:blip r:embed="rId12"/>
                    <a:stretch>
                      <a:fillRect/>
                    </a:stretch>
                  </pic:blipFill>
                  <pic:spPr>
                    <a:xfrm>
                      <a:off x="0" y="0"/>
                      <a:ext cx="5623560" cy="4809624"/>
                    </a:xfrm>
                    <a:prstGeom prst="rect"/>
                  </pic:spPr>
                </pic:pic>
              </a:graphicData>
            </a:graphic>
          </wp:inline>
        </w:drawing>
      </w:r>
    </w:p>
    <w:p>
      <w:pPr>
        <w:pStyle w:val="CaptionCN"/>
        <w:jc w:val="center"/>
      </w:pPr>
      <w:r>
        <w:t>图4-3 退化估计器混淆矩阵与SNR回归分布</w:t>
      </w:r>
    </w:p>
    <w:p>
      <w:pPr>
        <w:pStyle w:val="BodyCN"/>
      </w:pPr>
      <w:r>
        <w:t>噪声识别仅有2条clean样本被误判为noisy，noisy样本未出现漏检。带宽分类错误主要集中在Full与约6 kHz之间，而约4 kHz样本全部正确识别。位深分类的主要混淆发生在12 bit与10 bit之间，其中1,738条12 bit样本被预测为10 bit；16、12、10和8 bit的召回率分别约为98.78%、59.54%、88.89%和99.93%。SNR预测点整体沿理想对角线分布，与MAE和Pearson相关系数的结果相互印证。</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blHeader/>
        </w:trPr>
        <w:tc>
          <w:tcPr>
            <w:tcW w:type="dxa" w:w="1701"/>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8"/>
              </w:rPr>
              <w:t>退化强度</w:t>
            </w:r>
          </w:p>
        </w:tc>
        <w:tc>
          <w:tcPr>
            <w:tcW w:type="dxa" w:w="1474"/>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8"/>
              </w:rPr>
              <w:t>样本数</w:t>
            </w:r>
          </w:p>
        </w:tc>
        <w:tc>
          <w:tcPr>
            <w:tcW w:type="dxa" w:w="1814"/>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8"/>
              </w:rPr>
              <w:t>噪声准确率</w:t>
            </w:r>
          </w:p>
        </w:tc>
        <w:tc>
          <w:tcPr>
            <w:tcW w:type="dxa" w:w="1814"/>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8"/>
              </w:rPr>
              <w:t>带宽准确率</w:t>
            </w:r>
          </w:p>
        </w:tc>
        <w:tc>
          <w:tcPr>
            <w:tcW w:type="dxa" w:w="1814"/>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8"/>
              </w:rPr>
              <w:t>位深准确率</w:t>
            </w:r>
          </w:p>
        </w:tc>
      </w:tr>
      <w:tr>
        <w:trPr>
          <w:cantSplit/>
        </w:trPr>
        <w:tc>
          <w:tcPr>
            <w:tcW w:type="dxa" w:w="170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clean</w:t>
            </w:r>
          </w:p>
        </w:tc>
        <w:tc>
          <w:tcPr>
            <w:tcW w:type="dxa" w:w="147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4,414</w:t>
            </w:r>
          </w:p>
        </w:tc>
        <w:tc>
          <w:tcPr>
            <w:tcW w:type="dxa" w:w="181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1.0000</w:t>
            </w:r>
          </w:p>
        </w:tc>
        <w:tc>
          <w:tcPr>
            <w:tcW w:type="dxa" w:w="181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0.9887</w:t>
            </w:r>
          </w:p>
        </w:tc>
        <w:tc>
          <w:tcPr>
            <w:tcW w:type="dxa" w:w="181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0.9878</w:t>
            </w:r>
          </w:p>
        </w:tc>
      </w:tr>
      <w:tr>
        <w:trPr>
          <w:cantSplit/>
        </w:trPr>
        <w:tc>
          <w:tcPr>
            <w:tcW w:type="dxa" w:w="170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light</w:t>
            </w:r>
          </w:p>
        </w:tc>
        <w:tc>
          <w:tcPr>
            <w:tcW w:type="dxa" w:w="147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4,414</w:t>
            </w:r>
          </w:p>
        </w:tc>
        <w:tc>
          <w:tcPr>
            <w:tcW w:type="dxa" w:w="181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0.9995</w:t>
            </w:r>
          </w:p>
        </w:tc>
        <w:tc>
          <w:tcPr>
            <w:tcW w:type="dxa" w:w="181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0.9959</w:t>
            </w:r>
          </w:p>
        </w:tc>
        <w:tc>
          <w:tcPr>
            <w:tcW w:type="dxa" w:w="181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0.9638</w:t>
            </w:r>
          </w:p>
        </w:tc>
      </w:tr>
      <w:tr>
        <w:trPr>
          <w:cantSplit/>
        </w:trPr>
        <w:tc>
          <w:tcPr>
            <w:tcW w:type="dxa" w:w="170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medium</w:t>
            </w:r>
          </w:p>
        </w:tc>
        <w:tc>
          <w:tcPr>
            <w:tcW w:type="dxa" w:w="147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4,414</w:t>
            </w:r>
          </w:p>
        </w:tc>
        <w:tc>
          <w:tcPr>
            <w:tcW w:type="dxa" w:w="181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1.0000</w:t>
            </w:r>
          </w:p>
        </w:tc>
        <w:tc>
          <w:tcPr>
            <w:tcW w:type="dxa" w:w="181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1.0000</w:t>
            </w:r>
          </w:p>
        </w:tc>
        <w:tc>
          <w:tcPr>
            <w:tcW w:type="dxa" w:w="181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0.5263</w:t>
            </w:r>
          </w:p>
        </w:tc>
      </w:tr>
      <w:tr>
        <w:trPr>
          <w:cantSplit/>
        </w:trPr>
        <w:tc>
          <w:tcPr>
            <w:tcW w:type="dxa" w:w="170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heavy</w:t>
            </w:r>
          </w:p>
        </w:tc>
        <w:tc>
          <w:tcPr>
            <w:tcW w:type="dxa" w:w="147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4,414</w:t>
            </w:r>
          </w:p>
        </w:tc>
        <w:tc>
          <w:tcPr>
            <w:tcW w:type="dxa" w:w="181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1.0000</w:t>
            </w:r>
          </w:p>
        </w:tc>
        <w:tc>
          <w:tcPr>
            <w:tcW w:type="dxa" w:w="181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1.0000</w:t>
            </w:r>
          </w:p>
        </w:tc>
        <w:tc>
          <w:tcPr>
            <w:tcW w:type="dxa" w:w="181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0.9993</w:t>
            </w:r>
          </w:p>
        </w:tc>
      </w:tr>
      <w:tr>
        <w:trPr>
          <w:cantSplit/>
        </w:trPr>
        <w:tc>
          <w:tcPr>
            <w:tcW w:type="dxa" w:w="170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总体</w:t>
            </w:r>
          </w:p>
        </w:tc>
        <w:tc>
          <w:tcPr>
            <w:tcW w:type="dxa" w:w="147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17,656</w:t>
            </w:r>
          </w:p>
        </w:tc>
        <w:tc>
          <w:tcPr>
            <w:tcW w:type="dxa" w:w="181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0.9999</w:t>
            </w:r>
          </w:p>
        </w:tc>
        <w:tc>
          <w:tcPr>
            <w:tcW w:type="dxa" w:w="181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0.9961</w:t>
            </w:r>
          </w:p>
        </w:tc>
        <w:tc>
          <w:tcPr>
            <w:tcW w:type="dxa" w:w="181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0.8693</w:t>
            </w:r>
          </w:p>
        </w:tc>
      </w:tr>
    </w:tbl>
    <w:p>
      <w:pPr>
        <w:pStyle w:val="CaptionCN"/>
        <w:jc w:val="center"/>
      </w:pPr>
      <w:r>
        <w:t>表4-4 不同退化强度下的估计器分类性能</w:t>
      </w:r>
    </w:p>
    <w:p>
      <w:pPr>
        <w:pStyle w:val="BodyCN"/>
      </w:pPr>
      <w:r>
        <w:t>medium组位深准确率仅为0.5263，是总体位深性能下降的主要来源。这说明12 bit与10 bit的量化纹理在中等复合退化下进一步受到噪声与带宽损伤掩盖，但噪声、带宽和SNR诊断仍保持稳定。综合来看，瓶颈统计能够支持复合退化显式诊断，但位深任务存在明确的相邻类别边界。</w:t>
      </w:r>
    </w:p>
    <w:p>
      <w:pPr>
        <w:pStyle w:val="H1CN"/>
        <w:keepNext/>
        <w:keepLines/>
      </w:pPr>
      <w:r>
        <w:t>4.3 系统级总体增强性能</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blHeader/>
        </w:trPr>
        <w:tc>
          <w:tcPr>
            <w:tcW w:type="dxa" w:w="2381"/>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8"/>
              </w:rPr>
              <w:t>方法</w:t>
            </w:r>
          </w:p>
        </w:tc>
        <w:tc>
          <w:tcPr>
            <w:tcW w:type="dxa" w:w="1247"/>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8"/>
              </w:rPr>
              <w:t>STOI↑</w:t>
            </w:r>
          </w:p>
        </w:tc>
        <w:tc>
          <w:tcPr>
            <w:tcW w:type="dxa" w:w="1247"/>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8"/>
              </w:rPr>
              <w:t>ESTOI↑</w:t>
            </w:r>
          </w:p>
        </w:tc>
        <w:tc>
          <w:tcPr>
            <w:tcW w:type="dxa" w:w="1587"/>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8"/>
              </w:rPr>
              <w:t>SI-SDR/dB↑</w:t>
            </w:r>
          </w:p>
        </w:tc>
        <w:tc>
          <w:tcPr>
            <w:tcW w:type="dxa" w:w="1247"/>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8"/>
              </w:rPr>
              <w:t>LSD↓</w:t>
            </w:r>
          </w:p>
        </w:tc>
        <w:tc>
          <w:tcPr>
            <w:tcW w:type="dxa" w:w="1361"/>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8"/>
              </w:rPr>
              <w:t>HF-LSD↓</w:t>
            </w:r>
          </w:p>
        </w:tc>
      </w:tr>
      <w:tr>
        <w:trPr>
          <w:cantSplit/>
        </w:trPr>
        <w:tc>
          <w:tcPr>
            <w:tcW w:type="dxa" w:w="238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退化输入（Input）</w:t>
            </w:r>
          </w:p>
        </w:tc>
        <w:tc>
          <w:tcPr>
            <w:tcW w:type="dxa" w:w="124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0.7845</w:t>
            </w:r>
          </w:p>
        </w:tc>
        <w:tc>
          <w:tcPr>
            <w:tcW w:type="dxa" w:w="124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0.6807</w:t>
            </w:r>
          </w:p>
        </w:tc>
        <w:tc>
          <w:tcPr>
            <w:tcW w:type="dxa" w:w="158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38.7865</w:t>
            </w:r>
          </w:p>
        </w:tc>
        <w:tc>
          <w:tcPr>
            <w:tcW w:type="dxa" w:w="124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25.1409</w:t>
            </w:r>
          </w:p>
        </w:tc>
        <w:tc>
          <w:tcPr>
            <w:tcW w:type="dxa" w:w="136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27.6390</w:t>
            </w:r>
          </w:p>
        </w:tc>
      </w:tr>
      <w:tr>
        <w:trPr>
          <w:cantSplit/>
        </w:trPr>
        <w:tc>
          <w:tcPr>
            <w:tcW w:type="dxa" w:w="238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冻结基础增强器（Base）</w:t>
            </w:r>
          </w:p>
        </w:tc>
        <w:tc>
          <w:tcPr>
            <w:tcW w:type="dxa" w:w="124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0.7332</w:t>
            </w:r>
          </w:p>
        </w:tc>
        <w:tc>
          <w:tcPr>
            <w:tcW w:type="dxa" w:w="124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0.6481</w:t>
            </w:r>
          </w:p>
        </w:tc>
        <w:tc>
          <w:tcPr>
            <w:tcW w:type="dxa" w:w="158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17.0708</w:t>
            </w:r>
          </w:p>
        </w:tc>
        <w:tc>
          <w:tcPr>
            <w:tcW w:type="dxa" w:w="124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13.3223</w:t>
            </w:r>
          </w:p>
        </w:tc>
        <w:tc>
          <w:tcPr>
            <w:tcW w:type="dxa" w:w="136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14.0701</w:t>
            </w:r>
          </w:p>
        </w:tc>
      </w:tr>
      <w:tr>
        <w:trPr>
          <w:cantSplit/>
        </w:trPr>
        <w:tc>
          <w:tcPr>
            <w:tcW w:type="dxa" w:w="238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EDCR-V1-Predicted-0.75</w:t>
            </w:r>
          </w:p>
        </w:tc>
        <w:tc>
          <w:tcPr>
            <w:tcW w:type="dxa" w:w="124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0.7322</w:t>
            </w:r>
          </w:p>
        </w:tc>
        <w:tc>
          <w:tcPr>
            <w:tcW w:type="dxa" w:w="124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0.6438</w:t>
            </w:r>
          </w:p>
        </w:tc>
        <w:tc>
          <w:tcPr>
            <w:tcW w:type="dxa" w:w="158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17.1868</w:t>
            </w:r>
          </w:p>
        </w:tc>
        <w:tc>
          <w:tcPr>
            <w:tcW w:type="dxa" w:w="124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11.4176</w:t>
            </w:r>
          </w:p>
        </w:tc>
        <w:tc>
          <w:tcPr>
            <w:tcW w:type="dxa" w:w="136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11.5111</w:t>
            </w:r>
          </w:p>
        </w:tc>
      </w:tr>
    </w:tbl>
    <w:p>
      <w:pPr>
        <w:pStyle w:val="CaptionCN"/>
        <w:jc w:val="center"/>
      </w:pPr>
      <w:r>
        <w:t>表4-5 最终系统级总体增强性能</w:t>
      </w:r>
    </w:p>
    <w:p>
      <w:pPr>
        <w:spacing w:before="60" w:after="60"/>
        <w:jc w:val="center"/>
      </w:pPr>
      <w:r>
        <w:drawing>
          <wp:inline xmlns:a="http://schemas.openxmlformats.org/drawingml/2006/main" xmlns:pic="http://schemas.openxmlformats.org/drawingml/2006/picture">
            <wp:extent cx="5577840" cy="2346709"/>
            <wp:docPr id="4" name="Picture 4"/>
            <wp:cNvGraphicFramePr>
              <a:graphicFrameLocks noChangeAspect="1"/>
            </wp:cNvGraphicFramePr>
            <a:graphic>
              <a:graphicData uri="http://schemas.openxmlformats.org/drawingml/2006/picture">
                <pic:pic>
                  <pic:nvPicPr>
                    <pic:cNvPr id="0" name="image7.png"/>
                    <pic:cNvPicPr/>
                  </pic:nvPicPr>
                  <pic:blipFill>
                    <a:blip r:embed="rId13"/>
                    <a:stretch>
                      <a:fillRect/>
                    </a:stretch>
                  </pic:blipFill>
                  <pic:spPr>
                    <a:xfrm>
                      <a:off x="0" y="0"/>
                      <a:ext cx="5577840" cy="2346709"/>
                    </a:xfrm>
                    <a:prstGeom prst="rect"/>
                  </pic:spPr>
                </pic:pic>
              </a:graphicData>
            </a:graphic>
          </wp:inline>
        </w:drawing>
      </w:r>
    </w:p>
    <w:p>
      <w:pPr>
        <w:pStyle w:val="CaptionCN"/>
        <w:jc w:val="center"/>
      </w:pPr>
      <w:r>
        <w:t>图4-4 Base与Predicted-0.75总体指标相对变化</w:t>
      </w:r>
    </w:p>
    <w:p>
      <w:pPr>
        <w:pStyle w:val="BodyCN"/>
      </w:pPr>
      <w:r>
        <w:t>与Base相比，Predicted-0.75的STOI和ESTOI分别下降0.0011和0.0043，对应相对变化约为-0.15%和-0.67%；SI-SDR提高0.1160 dB。与此同时，LSD和HF-LSD分别降低1.9047和2.5591，对应相对下降14.30%和18.19%。这些结果表明，所提残差细化并非通过明显牺牲时域重建换取频谱距离下降，而是在SI-SDR改善的同时显著降低全频和高频频谱失真。</w:t>
      </w:r>
    </w:p>
    <w:p>
      <w:pPr>
        <w:pStyle w:val="BodyCN"/>
      </w:pPr>
      <w:r>
        <w:t>需要注意，Input中包含clean样本，其SI-SDR均值会被近无失真的clean子集显著抬高，因此Input的绝对SI-SDR不能直接用于判断增强器优劣。本文的核心比较对象是同一测试样本上的Base与Predicted-0.75。总体结果支持“有限可懂度代价下改善时域一致性和频谱保真度”的结论，而不支持“五项指标全面提升”的表述。</w:t>
      </w:r>
    </w:p>
    <w:p>
      <w:pPr>
        <w:pStyle w:val="H1CN"/>
        <w:keepNext/>
        <w:keepLines/>
      </w:pPr>
      <w:r>
        <w:t>4.4 不同退化强度下的增强性能</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tblHeader w:val="true"/>
          <w:tblHeader/>
        </w:trPr>
        <w:tc>
          <w:tcPr>
            <w:tcW w:type="dxa" w:w="964"/>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6"/>
              </w:rPr>
              <w:t>强度</w:t>
            </w:r>
          </w:p>
        </w:tc>
        <w:tc>
          <w:tcPr>
            <w:tcW w:type="dxa" w:w="1928"/>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6"/>
              </w:rPr>
              <w:t>方法</w:t>
            </w:r>
          </w:p>
        </w:tc>
        <w:tc>
          <w:tcPr>
            <w:tcW w:type="dxa" w:w="1077"/>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6"/>
              </w:rPr>
              <w:t>STOI↑</w:t>
            </w:r>
          </w:p>
        </w:tc>
        <w:tc>
          <w:tcPr>
            <w:tcW w:type="dxa" w:w="1077"/>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6"/>
              </w:rPr>
              <w:t>ESTOI↑</w:t>
            </w:r>
          </w:p>
        </w:tc>
        <w:tc>
          <w:tcPr>
            <w:tcW w:type="dxa" w:w="1361"/>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6"/>
              </w:rPr>
              <w:t>SI-SDR/dB↑</w:t>
            </w:r>
          </w:p>
        </w:tc>
        <w:tc>
          <w:tcPr>
            <w:tcW w:type="dxa" w:w="1077"/>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6"/>
              </w:rPr>
              <w:t>LSD↓</w:t>
            </w:r>
          </w:p>
        </w:tc>
        <w:tc>
          <w:tcPr>
            <w:tcW w:type="dxa" w:w="1191"/>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6"/>
              </w:rPr>
              <w:t>HF-LSD↓</w:t>
            </w:r>
          </w:p>
        </w:tc>
      </w:tr>
      <w:tr>
        <w:trPr>
          <w:cantSplit/>
        </w:trPr>
        <w:tc>
          <w:tcPr>
            <w:tcW w:type="dxa" w:w="96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clean</w:t>
            </w:r>
          </w:p>
        </w:tc>
        <w:tc>
          <w:tcPr>
            <w:tcW w:type="dxa" w:w="1928"/>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Base</w:t>
            </w:r>
          </w:p>
        </w:tc>
        <w:tc>
          <w:tcPr>
            <w:tcW w:type="dxa" w:w="107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0.8792</w:t>
            </w:r>
          </w:p>
        </w:tc>
        <w:tc>
          <w:tcPr>
            <w:tcW w:type="dxa" w:w="107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0.8449</w:t>
            </w:r>
          </w:p>
        </w:tc>
        <w:tc>
          <w:tcPr>
            <w:tcW w:type="dxa" w:w="136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19.5967</w:t>
            </w:r>
          </w:p>
        </w:tc>
        <w:tc>
          <w:tcPr>
            <w:tcW w:type="dxa" w:w="107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11.7289</w:t>
            </w:r>
          </w:p>
        </w:tc>
        <w:tc>
          <w:tcPr>
            <w:tcW w:type="dxa" w:w="119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11.8823</w:t>
            </w:r>
          </w:p>
        </w:tc>
      </w:tr>
      <w:tr>
        <w:trPr>
          <w:cantSplit/>
        </w:trPr>
        <w:tc>
          <w:tcPr>
            <w:tcW w:type="dxa" w:w="96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clean</w:t>
            </w:r>
          </w:p>
        </w:tc>
        <w:tc>
          <w:tcPr>
            <w:tcW w:type="dxa" w:w="1928"/>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Predicted-0.75</w:t>
            </w:r>
          </w:p>
        </w:tc>
        <w:tc>
          <w:tcPr>
            <w:tcW w:type="dxa" w:w="107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0.8769</w:t>
            </w:r>
          </w:p>
        </w:tc>
        <w:tc>
          <w:tcPr>
            <w:tcW w:type="dxa" w:w="107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0.8345</w:t>
            </w:r>
          </w:p>
        </w:tc>
        <w:tc>
          <w:tcPr>
            <w:tcW w:type="dxa" w:w="136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19.6872</w:t>
            </w:r>
          </w:p>
        </w:tc>
        <w:tc>
          <w:tcPr>
            <w:tcW w:type="dxa" w:w="107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7.6672</w:t>
            </w:r>
          </w:p>
        </w:tc>
        <w:tc>
          <w:tcPr>
            <w:tcW w:type="dxa" w:w="119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6.6157</w:t>
            </w:r>
          </w:p>
        </w:tc>
      </w:tr>
      <w:tr>
        <w:trPr>
          <w:cantSplit/>
        </w:trPr>
        <w:tc>
          <w:tcPr>
            <w:tcW w:type="dxa" w:w="96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light</w:t>
            </w:r>
          </w:p>
        </w:tc>
        <w:tc>
          <w:tcPr>
            <w:tcW w:type="dxa" w:w="1928"/>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Base</w:t>
            </w:r>
          </w:p>
        </w:tc>
        <w:tc>
          <w:tcPr>
            <w:tcW w:type="dxa" w:w="107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0.7934</w:t>
            </w:r>
          </w:p>
        </w:tc>
        <w:tc>
          <w:tcPr>
            <w:tcW w:type="dxa" w:w="107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0.7193</w:t>
            </w:r>
          </w:p>
        </w:tc>
        <w:tc>
          <w:tcPr>
            <w:tcW w:type="dxa" w:w="136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18.0086</w:t>
            </w:r>
          </w:p>
        </w:tc>
        <w:tc>
          <w:tcPr>
            <w:tcW w:type="dxa" w:w="107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14.3392</w:t>
            </w:r>
          </w:p>
        </w:tc>
        <w:tc>
          <w:tcPr>
            <w:tcW w:type="dxa" w:w="119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16.0018</w:t>
            </w:r>
          </w:p>
        </w:tc>
      </w:tr>
      <w:tr>
        <w:trPr>
          <w:cantSplit/>
        </w:trPr>
        <w:tc>
          <w:tcPr>
            <w:tcW w:type="dxa" w:w="96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light</w:t>
            </w:r>
          </w:p>
        </w:tc>
        <w:tc>
          <w:tcPr>
            <w:tcW w:type="dxa" w:w="1928"/>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Predicted-0.75</w:t>
            </w:r>
          </w:p>
        </w:tc>
        <w:tc>
          <w:tcPr>
            <w:tcW w:type="dxa" w:w="107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0.7915</w:t>
            </w:r>
          </w:p>
        </w:tc>
        <w:tc>
          <w:tcPr>
            <w:tcW w:type="dxa" w:w="107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0.7129</w:t>
            </w:r>
          </w:p>
        </w:tc>
        <w:tc>
          <w:tcPr>
            <w:tcW w:type="dxa" w:w="136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18.1414</w:t>
            </w:r>
          </w:p>
        </w:tc>
        <w:tc>
          <w:tcPr>
            <w:tcW w:type="dxa" w:w="107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11.1740</w:t>
            </w:r>
          </w:p>
        </w:tc>
        <w:tc>
          <w:tcPr>
            <w:tcW w:type="dxa" w:w="119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11.5113</w:t>
            </w:r>
          </w:p>
        </w:tc>
      </w:tr>
      <w:tr>
        <w:trPr>
          <w:cantSplit/>
        </w:trPr>
        <w:tc>
          <w:tcPr>
            <w:tcW w:type="dxa" w:w="96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medium</w:t>
            </w:r>
          </w:p>
        </w:tc>
        <w:tc>
          <w:tcPr>
            <w:tcW w:type="dxa" w:w="1928"/>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Base</w:t>
            </w:r>
          </w:p>
        </w:tc>
        <w:tc>
          <w:tcPr>
            <w:tcW w:type="dxa" w:w="107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0.6672</w:t>
            </w:r>
          </w:p>
        </w:tc>
        <w:tc>
          <w:tcPr>
            <w:tcW w:type="dxa" w:w="107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0.5649</w:t>
            </w:r>
          </w:p>
        </w:tc>
        <w:tc>
          <w:tcPr>
            <w:tcW w:type="dxa" w:w="136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16.7478</w:t>
            </w:r>
          </w:p>
        </w:tc>
        <w:tc>
          <w:tcPr>
            <w:tcW w:type="dxa" w:w="107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13.1848</w:t>
            </w:r>
          </w:p>
        </w:tc>
        <w:tc>
          <w:tcPr>
            <w:tcW w:type="dxa" w:w="119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13.9398</w:t>
            </w:r>
          </w:p>
        </w:tc>
      </w:tr>
      <w:tr>
        <w:trPr>
          <w:cantSplit/>
        </w:trPr>
        <w:tc>
          <w:tcPr>
            <w:tcW w:type="dxa" w:w="96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medium</w:t>
            </w:r>
          </w:p>
        </w:tc>
        <w:tc>
          <w:tcPr>
            <w:tcW w:type="dxa" w:w="1928"/>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Predicted-0.75</w:t>
            </w:r>
          </w:p>
        </w:tc>
        <w:tc>
          <w:tcPr>
            <w:tcW w:type="dxa" w:w="107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0.6669</w:t>
            </w:r>
          </w:p>
        </w:tc>
        <w:tc>
          <w:tcPr>
            <w:tcW w:type="dxa" w:w="107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0.5641</w:t>
            </w:r>
          </w:p>
        </w:tc>
        <w:tc>
          <w:tcPr>
            <w:tcW w:type="dxa" w:w="136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16.9170</w:t>
            </w:r>
          </w:p>
        </w:tc>
        <w:tc>
          <w:tcPr>
            <w:tcW w:type="dxa" w:w="107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13.1253</w:t>
            </w:r>
          </w:p>
        </w:tc>
        <w:tc>
          <w:tcPr>
            <w:tcW w:type="dxa" w:w="119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13.8277</w:t>
            </w:r>
          </w:p>
        </w:tc>
      </w:tr>
      <w:tr>
        <w:trPr>
          <w:cantSplit/>
        </w:trPr>
        <w:tc>
          <w:tcPr>
            <w:tcW w:type="dxa" w:w="96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heavy</w:t>
            </w:r>
          </w:p>
        </w:tc>
        <w:tc>
          <w:tcPr>
            <w:tcW w:type="dxa" w:w="1928"/>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Base</w:t>
            </w:r>
          </w:p>
        </w:tc>
        <w:tc>
          <w:tcPr>
            <w:tcW w:type="dxa" w:w="107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0.5932</w:t>
            </w:r>
          </w:p>
        </w:tc>
        <w:tc>
          <w:tcPr>
            <w:tcW w:type="dxa" w:w="107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0.4634</w:t>
            </w:r>
          </w:p>
        </w:tc>
        <w:tc>
          <w:tcPr>
            <w:tcW w:type="dxa" w:w="136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13.9302</w:t>
            </w:r>
          </w:p>
        </w:tc>
        <w:tc>
          <w:tcPr>
            <w:tcW w:type="dxa" w:w="107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14.0365</w:t>
            </w:r>
          </w:p>
        </w:tc>
        <w:tc>
          <w:tcPr>
            <w:tcW w:type="dxa" w:w="119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14.4566</w:t>
            </w:r>
          </w:p>
        </w:tc>
      </w:tr>
      <w:tr>
        <w:trPr>
          <w:cantSplit/>
        </w:trPr>
        <w:tc>
          <w:tcPr>
            <w:tcW w:type="dxa" w:w="96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heavy</w:t>
            </w:r>
          </w:p>
        </w:tc>
        <w:tc>
          <w:tcPr>
            <w:tcW w:type="dxa" w:w="1928"/>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Predicted-0.75</w:t>
            </w:r>
          </w:p>
        </w:tc>
        <w:tc>
          <w:tcPr>
            <w:tcW w:type="dxa" w:w="107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0.5935</w:t>
            </w:r>
          </w:p>
        </w:tc>
        <w:tc>
          <w:tcPr>
            <w:tcW w:type="dxa" w:w="107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0.4638</w:t>
            </w:r>
          </w:p>
        </w:tc>
        <w:tc>
          <w:tcPr>
            <w:tcW w:type="dxa" w:w="136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14.0016</w:t>
            </w:r>
          </w:p>
        </w:tc>
        <w:tc>
          <w:tcPr>
            <w:tcW w:type="dxa" w:w="107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13.7039</w:t>
            </w:r>
          </w:p>
        </w:tc>
        <w:tc>
          <w:tcPr>
            <w:tcW w:type="dxa" w:w="119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6"/>
              </w:rPr>
              <w:t>14.0896</w:t>
            </w:r>
          </w:p>
        </w:tc>
      </w:tr>
    </w:tbl>
    <w:p>
      <w:pPr>
        <w:pStyle w:val="CaptionCN"/>
        <w:jc w:val="center"/>
      </w:pPr>
      <w:r>
        <w:t>表4-6 不同退化强度下的最终增强性能</w:t>
      </w:r>
    </w:p>
    <w:p>
      <w:pPr>
        <w:spacing w:before="60" w:after="60"/>
        <w:jc w:val="center"/>
      </w:pPr>
      <w:r>
        <w:drawing>
          <wp:inline xmlns:a="http://schemas.openxmlformats.org/drawingml/2006/main" xmlns:pic="http://schemas.openxmlformats.org/drawingml/2006/picture">
            <wp:extent cx="5577840" cy="2345228"/>
            <wp:docPr id="5" name="Picture 5"/>
            <wp:cNvGraphicFramePr>
              <a:graphicFrameLocks noChangeAspect="1"/>
            </wp:cNvGraphicFramePr>
            <a:graphic>
              <a:graphicData uri="http://schemas.openxmlformats.org/drawingml/2006/picture">
                <pic:pic>
                  <pic:nvPicPr>
                    <pic:cNvPr id="0" name="image8.png"/>
                    <pic:cNvPicPr/>
                  </pic:nvPicPr>
                  <pic:blipFill>
                    <a:blip r:embed="rId14"/>
                    <a:stretch>
                      <a:fillRect/>
                    </a:stretch>
                  </pic:blipFill>
                  <pic:spPr>
                    <a:xfrm>
                      <a:off x="0" y="0"/>
                      <a:ext cx="5577840" cy="2345228"/>
                    </a:xfrm>
                    <a:prstGeom prst="rect"/>
                  </pic:spPr>
                </pic:pic>
              </a:graphicData>
            </a:graphic>
          </wp:inline>
        </w:drawing>
      </w:r>
    </w:p>
    <w:p>
      <w:pPr>
        <w:pStyle w:val="CaptionCN"/>
        <w:jc w:val="center"/>
      </w:pPr>
      <w:r>
        <w:t>图4-5 不同退化强度下Base与Predicted-0.75的SI-SDR和HF-LSD</w:t>
      </w:r>
    </w:p>
    <w:p>
      <w:pPr>
        <w:pStyle w:val="BodyCN"/>
      </w:pPr>
      <w:r>
        <w:t>clean与light组贡献了主要频谱收益。clean组LSD和HF-LSD分别下降34.63%和44.32%，light组分别下降22.07%和28.06%，两组SI-SDR均有所提高，但STOI与ESTOI出现轻微下降。这说明残差模块对近干净和轻度退化样本的频谱修补能力最强，同时也暴露出一定的过处理风险。</w:t>
      </w:r>
    </w:p>
    <w:p>
      <w:pPr>
        <w:pStyle w:val="BodyCN"/>
      </w:pPr>
      <w:r>
        <w:t>medium组SI-SDR提高0.1691 dB，LSD和HF-LSD分别小幅下降0.45%和0.80%，可懂度指标基本持平；heavy组STOI、ESTOI和SI-SDR均略高于Base，LSD和HF-LSD分别下降2.37%和2.54%。因此，方法在四种退化强度下均未出现明显的系统性恶化，但其核心优势仍集中在clean与light组，medium与heavy组的频谱收益相对有限。</w:t>
      </w:r>
    </w:p>
    <w:p>
      <w:pPr>
        <w:pStyle w:val="H1CN"/>
        <w:keepNext/>
        <w:keepLines/>
      </w:pPr>
      <w:r>
        <w:t>4.5 显式条件有效性与贡献分解</w:t>
      </w:r>
    </w:p>
    <w:p>
      <w:pPr>
        <w:pStyle w:val="BodyCN"/>
      </w:pPr>
      <w:r>
        <w:t>在同一残差检查点和scale=0.75下，仅替换条件来源，分别构造Zero、Shuffled、Predicted和Oracle四种输入。若显式条件真正形成差异化控制，Oracle与Predicted应稳定优于Zero和Shuffled。</w:t>
      </w:r>
    </w:p>
    <w:p>
      <w:r>
        <w:br w:type="page"/>
      </w:r>
    </w:p>
    <w:p>
      <w:pPr>
        <w:pStyle w:val="CaptionCN"/>
        <w:jc w:val="center"/>
      </w:pPr>
      <w:r>
        <w:t>表4-7 不同条件来源下的系统性能</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blHeader/>
        </w:trPr>
        <w:tc>
          <w:tcPr>
            <w:tcW w:type="dxa" w:w="1701"/>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条件来源</w:t>
            </w:r>
          </w:p>
        </w:tc>
        <w:tc>
          <w:tcPr>
            <w:tcW w:type="dxa" w:w="1191"/>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STOI↑</w:t>
            </w:r>
          </w:p>
        </w:tc>
        <w:tc>
          <w:tcPr>
            <w:tcW w:type="dxa" w:w="1191"/>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ESTOI↑</w:t>
            </w:r>
          </w:p>
        </w:tc>
        <w:tc>
          <w:tcPr>
            <w:tcW w:type="dxa" w:w="1474"/>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SI-SDR/dB↑</w:t>
            </w:r>
          </w:p>
        </w:tc>
        <w:tc>
          <w:tcPr>
            <w:tcW w:type="dxa" w:w="1247"/>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LSD↓</w:t>
            </w:r>
          </w:p>
        </w:tc>
        <w:tc>
          <w:tcPr>
            <w:tcW w:type="dxa" w:w="1361"/>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HF-LSD↓</w:t>
            </w:r>
          </w:p>
        </w:tc>
      </w:tr>
      <w:tr>
        <w:trPr>
          <w:cantSplit/>
        </w:trPr>
        <w:tc>
          <w:tcPr>
            <w:tcW w:type="dxa" w:w="170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Zero</w:t>
            </w:r>
          </w:p>
        </w:tc>
        <w:tc>
          <w:tcPr>
            <w:tcW w:type="dxa" w:w="119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0.732173</w:t>
            </w:r>
          </w:p>
        </w:tc>
        <w:tc>
          <w:tcPr>
            <w:tcW w:type="dxa" w:w="119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0.643812</w:t>
            </w:r>
          </w:p>
        </w:tc>
        <w:tc>
          <w:tcPr>
            <w:tcW w:type="dxa" w:w="147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17.185117</w:t>
            </w:r>
          </w:p>
        </w:tc>
        <w:tc>
          <w:tcPr>
            <w:tcW w:type="dxa" w:w="124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11.416396</w:t>
            </w:r>
          </w:p>
        </w:tc>
        <w:tc>
          <w:tcPr>
            <w:tcW w:type="dxa" w:w="136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11.508761</w:t>
            </w:r>
          </w:p>
        </w:tc>
      </w:tr>
      <w:tr>
        <w:trPr>
          <w:cantSplit/>
        </w:trPr>
        <w:tc>
          <w:tcPr>
            <w:tcW w:type="dxa" w:w="170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Shuffled</w:t>
            </w:r>
          </w:p>
        </w:tc>
        <w:tc>
          <w:tcPr>
            <w:tcW w:type="dxa" w:w="119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0.732204</w:t>
            </w:r>
          </w:p>
        </w:tc>
        <w:tc>
          <w:tcPr>
            <w:tcW w:type="dxa" w:w="119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0.643927</w:t>
            </w:r>
          </w:p>
        </w:tc>
        <w:tc>
          <w:tcPr>
            <w:tcW w:type="dxa" w:w="147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17.189188</w:t>
            </w:r>
          </w:p>
        </w:tc>
        <w:tc>
          <w:tcPr>
            <w:tcW w:type="dxa" w:w="124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11.420868</w:t>
            </w:r>
          </w:p>
        </w:tc>
        <w:tc>
          <w:tcPr>
            <w:tcW w:type="dxa" w:w="136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11.510582</w:t>
            </w:r>
          </w:p>
        </w:tc>
      </w:tr>
      <w:tr>
        <w:trPr>
          <w:cantSplit/>
        </w:trPr>
        <w:tc>
          <w:tcPr>
            <w:tcW w:type="dxa" w:w="170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Predicted</w:t>
            </w:r>
          </w:p>
        </w:tc>
        <w:tc>
          <w:tcPr>
            <w:tcW w:type="dxa" w:w="119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0.732168</w:t>
            </w:r>
          </w:p>
        </w:tc>
        <w:tc>
          <w:tcPr>
            <w:tcW w:type="dxa" w:w="119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0.643810</w:t>
            </w:r>
          </w:p>
        </w:tc>
        <w:tc>
          <w:tcPr>
            <w:tcW w:type="dxa" w:w="147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17.186815</w:t>
            </w:r>
          </w:p>
        </w:tc>
        <w:tc>
          <w:tcPr>
            <w:tcW w:type="dxa" w:w="124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11.417608</w:t>
            </w:r>
          </w:p>
        </w:tc>
        <w:tc>
          <w:tcPr>
            <w:tcW w:type="dxa" w:w="136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11.511073</w:t>
            </w:r>
          </w:p>
        </w:tc>
      </w:tr>
      <w:tr>
        <w:trPr>
          <w:cantSplit/>
        </w:trPr>
        <w:tc>
          <w:tcPr>
            <w:tcW w:type="dxa" w:w="170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Oracle</w:t>
            </w:r>
          </w:p>
        </w:tc>
        <w:tc>
          <w:tcPr>
            <w:tcW w:type="dxa" w:w="119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0.732162</w:t>
            </w:r>
          </w:p>
        </w:tc>
        <w:tc>
          <w:tcPr>
            <w:tcW w:type="dxa" w:w="119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0.643792</w:t>
            </w:r>
          </w:p>
        </w:tc>
        <w:tc>
          <w:tcPr>
            <w:tcW w:type="dxa" w:w="147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17.187486</w:t>
            </w:r>
          </w:p>
        </w:tc>
        <w:tc>
          <w:tcPr>
            <w:tcW w:type="dxa" w:w="124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11.416033</w:t>
            </w:r>
          </w:p>
        </w:tc>
        <w:tc>
          <w:tcPr>
            <w:tcW w:type="dxa" w:w="136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11.510556</w:t>
            </w:r>
          </w:p>
        </w:tc>
      </w:tr>
    </w:tbl>
    <w:p>
      <w:pPr>
        <w:spacing w:before="60" w:after="60"/>
        <w:jc w:val="center"/>
      </w:pPr>
      <w:r>
        <w:drawing>
          <wp:inline xmlns:a="http://schemas.openxmlformats.org/drawingml/2006/main" xmlns:pic="http://schemas.openxmlformats.org/drawingml/2006/picture">
            <wp:extent cx="5577840" cy="1726474"/>
            <wp:docPr id="6" name="Picture 6"/>
            <wp:cNvGraphicFramePr>
              <a:graphicFrameLocks noChangeAspect="1"/>
            </wp:cNvGraphicFramePr>
            <a:graphic>
              <a:graphicData uri="http://schemas.openxmlformats.org/drawingml/2006/picture">
                <pic:pic>
                  <pic:nvPicPr>
                    <pic:cNvPr id="0" name="fig_condition_full.png"/>
                    <pic:cNvPicPr/>
                  </pic:nvPicPr>
                  <pic:blipFill>
                    <a:blip r:embed="rId15"/>
                    <a:stretch>
                      <a:fillRect/>
                    </a:stretch>
                  </pic:blipFill>
                  <pic:spPr>
                    <a:xfrm>
                      <a:off x="0" y="0"/>
                      <a:ext cx="5577840" cy="1726474"/>
                    </a:xfrm>
                    <a:prstGeom prst="rect"/>
                  </pic:spPr>
                </pic:pic>
              </a:graphicData>
            </a:graphic>
          </wp:inline>
        </w:drawing>
      </w:r>
    </w:p>
    <w:p>
      <w:pPr>
        <w:pStyle w:val="CaptionCN"/>
        <w:jc w:val="center"/>
      </w:pPr>
      <w:r>
        <w:t>图4-6 不同条件来源下的SI-SDR、LSD和HF-LSD</w:t>
      </w:r>
    </w:p>
    <w:p>
      <w:pPr>
        <w:pStyle w:val="BodyCN"/>
      </w:pPr>
      <w:r>
        <w:t>四种条件源的结果几乎完全重合：STOI和ESTOI的极差分别约为4×10^-5和1×10^-4，SI-SDR极差约0.004 dB，LSD与HF-LSD极差分别约0.005和0.002。Shuffled条件没有引起性能下降，Oracle也未稳定优于Predicted或Zero，说明当前系统对条件来源不敏感。</w:t>
      </w:r>
    </w:p>
    <w:p>
      <w:pPr>
        <w:pStyle w:val="BodyCN"/>
      </w:pPr>
      <w:r>
        <w:t>进一步比较Base与Zero-condition可见，仅加入零条件残差模块后，SI-SDR已提高约0.1143 dB，LSD和HF-LSD分别下降约1.9059和2.5614；将Zero替换为Predicted或Oracle后，结果仅发生千分位乃至万分位变化。因此，当前系统的主要收益来自轻量残差结构本身，显式条件的额外贡献非常有限。该结论要求论文将“退化诊断可行”和“残差频谱细化有效”作为已验证贡献，而不能把“条件驱动差异化修复”表述为已得到实验证明。</w:t>
      </w:r>
    </w:p>
    <w:p>
      <w:pPr>
        <w:pStyle w:val="H1CN"/>
        <w:keepNext/>
        <w:keepLines/>
      </w:pPr>
      <w:r>
        <w:t>4.6 统计显著性与结果一致性</w:t>
      </w:r>
    </w:p>
    <w:p>
      <w:pPr>
        <w:pStyle w:val="BodyCN"/>
      </w:pPr>
      <w:r>
        <w:t>为排除总体均值被少量样本主导的可能性，本文在完整17,656条测试样本上对Predicted-0.75与Base进行严格逐句配对分析。对于STOI、ESTOI和SI-SDR，差值定义为Predicted-0.75减Base；对于LSD和HF-LSD，负差值表示频谱距离下降。</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blHeader/>
        </w:trPr>
        <w:tc>
          <w:tcPr>
            <w:tcW w:type="dxa" w:w="1134"/>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指标</w:t>
            </w:r>
          </w:p>
        </w:tc>
        <w:tc>
          <w:tcPr>
            <w:tcW w:type="dxa" w:w="1417"/>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平均差值</w:t>
            </w:r>
          </w:p>
        </w:tc>
        <w:tc>
          <w:tcPr>
            <w:tcW w:type="dxa" w:w="1417"/>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中位差值</w:t>
            </w:r>
          </w:p>
        </w:tc>
        <w:tc>
          <w:tcPr>
            <w:tcW w:type="dxa" w:w="1247"/>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改善比例</w:t>
            </w:r>
          </w:p>
        </w:tc>
        <w:tc>
          <w:tcPr>
            <w:tcW w:type="dxa" w:w="2381"/>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均值95%CI</w:t>
            </w:r>
          </w:p>
        </w:tc>
        <w:tc>
          <w:tcPr>
            <w:tcW w:type="dxa" w:w="1361"/>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7"/>
              </w:rPr>
              <w:t>Wilcoxon</w:t>
            </w:r>
          </w:p>
        </w:tc>
      </w:tr>
      <w:tr>
        <w:trPr>
          <w:cantSplit/>
        </w:trPr>
        <w:tc>
          <w:tcPr>
            <w:tcW w:type="dxa" w:w="113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STOI</w:t>
            </w:r>
          </w:p>
        </w:tc>
        <w:tc>
          <w:tcPr>
            <w:tcW w:type="dxa" w:w="141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-0.001070</w:t>
            </w:r>
          </w:p>
        </w:tc>
        <w:tc>
          <w:tcPr>
            <w:tcW w:type="dxa" w:w="141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-0.000367</w:t>
            </w:r>
          </w:p>
        </w:tc>
        <w:tc>
          <w:tcPr>
            <w:tcW w:type="dxa" w:w="124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39.22%</w:t>
            </w:r>
          </w:p>
        </w:tc>
        <w:tc>
          <w:tcPr>
            <w:tcW w:type="dxa" w:w="238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[-0.001116, -0.001024]</w:t>
            </w:r>
          </w:p>
        </w:tc>
        <w:tc>
          <w:tcPr>
            <w:tcW w:type="dxa" w:w="136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p&lt;0.001</w:t>
            </w:r>
          </w:p>
        </w:tc>
      </w:tr>
      <w:tr>
        <w:trPr>
          <w:cantSplit/>
        </w:trPr>
        <w:tc>
          <w:tcPr>
            <w:tcW w:type="dxa" w:w="113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ESTOI</w:t>
            </w:r>
          </w:p>
        </w:tc>
        <w:tc>
          <w:tcPr>
            <w:tcW w:type="dxa" w:w="141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-0.004310</w:t>
            </w:r>
          </w:p>
        </w:tc>
        <w:tc>
          <w:tcPr>
            <w:tcW w:type="dxa" w:w="141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-0.001449</w:t>
            </w:r>
          </w:p>
        </w:tc>
        <w:tc>
          <w:tcPr>
            <w:tcW w:type="dxa" w:w="124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35.22%</w:t>
            </w:r>
          </w:p>
        </w:tc>
        <w:tc>
          <w:tcPr>
            <w:tcW w:type="dxa" w:w="238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[-0.004465, -0.004162]</w:t>
            </w:r>
          </w:p>
        </w:tc>
        <w:tc>
          <w:tcPr>
            <w:tcW w:type="dxa" w:w="136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p&lt;0.001</w:t>
            </w:r>
          </w:p>
        </w:tc>
      </w:tr>
      <w:tr>
        <w:trPr>
          <w:cantSplit/>
        </w:trPr>
        <w:tc>
          <w:tcPr>
            <w:tcW w:type="dxa" w:w="113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SI-SDR</w:t>
            </w:r>
          </w:p>
        </w:tc>
        <w:tc>
          <w:tcPr>
            <w:tcW w:type="dxa" w:w="141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+0.115992</w:t>
            </w:r>
          </w:p>
        </w:tc>
        <w:tc>
          <w:tcPr>
            <w:tcW w:type="dxa" w:w="141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+0.111108</w:t>
            </w:r>
          </w:p>
        </w:tc>
        <w:tc>
          <w:tcPr>
            <w:tcW w:type="dxa" w:w="124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90.95%</w:t>
            </w:r>
          </w:p>
        </w:tc>
        <w:tc>
          <w:tcPr>
            <w:tcW w:type="dxa" w:w="238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[0.1138, 0.1182]</w:t>
            </w:r>
          </w:p>
        </w:tc>
        <w:tc>
          <w:tcPr>
            <w:tcW w:type="dxa" w:w="136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p&lt;0.001</w:t>
            </w:r>
          </w:p>
        </w:tc>
      </w:tr>
      <w:tr>
        <w:trPr>
          <w:cantSplit/>
        </w:trPr>
        <w:tc>
          <w:tcPr>
            <w:tcW w:type="dxa" w:w="113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LSD</w:t>
            </w:r>
          </w:p>
        </w:tc>
        <w:tc>
          <w:tcPr>
            <w:tcW w:type="dxa" w:w="141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-1.904727</w:t>
            </w:r>
          </w:p>
        </w:tc>
        <w:tc>
          <w:tcPr>
            <w:tcW w:type="dxa" w:w="141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-1.127195</w:t>
            </w:r>
          </w:p>
        </w:tc>
        <w:tc>
          <w:tcPr>
            <w:tcW w:type="dxa" w:w="124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78.45%</w:t>
            </w:r>
          </w:p>
        </w:tc>
        <w:tc>
          <w:tcPr>
            <w:tcW w:type="dxa" w:w="238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[-1.9381, -1.8721]</w:t>
            </w:r>
          </w:p>
        </w:tc>
        <w:tc>
          <w:tcPr>
            <w:tcW w:type="dxa" w:w="1361"/>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p&lt;0.001</w:t>
            </w:r>
          </w:p>
        </w:tc>
      </w:tr>
      <w:tr>
        <w:trPr>
          <w:cantSplit/>
        </w:trPr>
        <w:tc>
          <w:tcPr>
            <w:tcW w:type="dxa" w:w="113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HF-LSD</w:t>
            </w:r>
          </w:p>
        </w:tc>
        <w:tc>
          <w:tcPr>
            <w:tcW w:type="dxa" w:w="141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-2.559056</w:t>
            </w:r>
          </w:p>
        </w:tc>
        <w:tc>
          <w:tcPr>
            <w:tcW w:type="dxa" w:w="141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-1.289310</w:t>
            </w:r>
          </w:p>
        </w:tc>
        <w:tc>
          <w:tcPr>
            <w:tcW w:type="dxa" w:w="124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79.97%</w:t>
            </w:r>
          </w:p>
        </w:tc>
        <w:tc>
          <w:tcPr>
            <w:tcW w:type="dxa" w:w="238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[-2.6039, -2.5117]</w:t>
            </w:r>
          </w:p>
        </w:tc>
        <w:tc>
          <w:tcPr>
            <w:tcW w:type="dxa" w:w="1361"/>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7"/>
              </w:rPr>
              <w:t>p&lt;0.001</w:t>
            </w:r>
          </w:p>
        </w:tc>
      </w:tr>
    </w:tbl>
    <w:p>
      <w:pPr>
        <w:pStyle w:val="CaptionCN"/>
        <w:jc w:val="center"/>
      </w:pPr>
      <w:r>
        <w:t>表4-8 Predicted-0.75相对Base的逐句配对统计</w:t>
      </w:r>
    </w:p>
    <w:p>
      <w:pPr>
        <w:spacing w:before="60" w:after="60"/>
        <w:jc w:val="center"/>
      </w:pPr>
      <w:r>
        <w:drawing>
          <wp:inline xmlns:a="http://schemas.openxmlformats.org/drawingml/2006/main" xmlns:pic="http://schemas.openxmlformats.org/drawingml/2006/picture">
            <wp:extent cx="5577840" cy="3891107"/>
            <wp:docPr id="7" name="Picture 7"/>
            <wp:cNvGraphicFramePr>
              <a:graphicFrameLocks noChangeAspect="1"/>
            </wp:cNvGraphicFramePr>
            <a:graphic>
              <a:graphicData uri="http://schemas.openxmlformats.org/drawingml/2006/picture">
                <pic:pic>
                  <pic:nvPicPr>
                    <pic:cNvPr id="0" name="image10.png"/>
                    <pic:cNvPicPr/>
                  </pic:nvPicPr>
                  <pic:blipFill>
                    <a:blip r:embed="rId16"/>
                    <a:stretch>
                      <a:fillRect/>
                    </a:stretch>
                  </pic:blipFill>
                  <pic:spPr>
                    <a:xfrm>
                      <a:off x="0" y="0"/>
                      <a:ext cx="5577840" cy="3891107"/>
                    </a:xfrm>
                    <a:prstGeom prst="rect"/>
                  </pic:spPr>
                </pic:pic>
              </a:graphicData>
            </a:graphic>
          </wp:inline>
        </w:drawing>
      </w:r>
    </w:p>
    <w:p>
      <w:pPr>
        <w:pStyle w:val="CaptionCN"/>
        <w:jc w:val="center"/>
      </w:pPr>
      <w:r>
        <w:t>图4-7 逐句差值均值、95%置信区间与改善比例</w:t>
      </w:r>
    </w:p>
    <w:p>
      <w:pPr>
        <w:pStyle w:val="BodyCN"/>
      </w:pPr>
      <w:r>
        <w:t>SI-SDR在90.95%的样本上获得改善，平均增益为0.1160 dB，严重负增益样本比例仅约0.57%；LSD与HF-LSD的改善样本比例分别为78.45%和79.97%。这说明总体频谱收益覆盖了大多数测试样本，并非由少量极端样本造成。</w:t>
      </w:r>
    </w:p>
    <w:p>
      <w:pPr>
        <w:pStyle w:val="BodyCN"/>
      </w:pPr>
      <w:r>
        <w:t>STOI与ESTOI下降在统计上显著，但其平均降幅仅为0.0011和0.0043，中位差值分别为-0.00037和-0.00145。大样本条件下极小差异也可能获得很小的p值，因此不能仅凭统计显著性判断实际影响大小。结合绝对差值、分组结果和频谱收益，较准确的表述是：Predicted-0.75以较小的可懂度代价换取了更稳定的时域重建和显著降低的频谱失真。</w:t>
      </w:r>
    </w:p>
    <w:p>
      <w:pPr>
        <w:pStyle w:val="H1CN"/>
        <w:keepNext/>
        <w:keepLines/>
      </w:pPr>
      <w:r>
        <w:t>4.7 模型复杂度与CPU运行成本</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blHeader/>
        </w:trPr>
        <w:tc>
          <w:tcPr>
            <w:tcW w:type="dxa" w:w="2324"/>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8"/>
              </w:rPr>
              <w:t>系统阶段</w:t>
            </w:r>
          </w:p>
        </w:tc>
        <w:tc>
          <w:tcPr>
            <w:tcW w:type="dxa" w:w="1474"/>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8"/>
              </w:rPr>
              <w:t>总参数量</w:t>
            </w:r>
          </w:p>
        </w:tc>
        <w:tc>
          <w:tcPr>
            <w:tcW w:type="dxa" w:w="1474"/>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8"/>
              </w:rPr>
              <w:t>新增参数</w:t>
            </w:r>
          </w:p>
        </w:tc>
        <w:tc>
          <w:tcPr>
            <w:tcW w:type="dxa" w:w="1587"/>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8"/>
              </w:rPr>
              <w:t>平均时间/s</w:t>
            </w:r>
          </w:p>
        </w:tc>
        <w:tc>
          <w:tcPr>
            <w:tcW w:type="dxa" w:w="1814"/>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8"/>
              </w:rPr>
              <w:t>时间标准差/s</w:t>
            </w:r>
          </w:p>
        </w:tc>
        <w:tc>
          <w:tcPr>
            <w:tcW w:type="dxa" w:w="1247"/>
            <w:vAlign w:val="center"/>
            <w:shd w:fill="D9EAF7"/>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sz w:val="18"/>
              </w:rPr>
              <w:t>RTF</w:t>
            </w:r>
          </w:p>
        </w:tc>
      </w:tr>
      <w:tr>
        <w:trPr>
          <w:cantSplit/>
        </w:trPr>
        <w:tc>
          <w:tcPr>
            <w:tcW w:type="dxa" w:w="232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Base</w:t>
            </w:r>
          </w:p>
        </w:tc>
        <w:tc>
          <w:tcPr>
            <w:tcW w:type="dxa" w:w="147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48,245</w:t>
            </w:r>
          </w:p>
        </w:tc>
        <w:tc>
          <w:tcPr>
            <w:tcW w:type="dxa" w:w="147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w:t>
            </w:r>
          </w:p>
        </w:tc>
        <w:tc>
          <w:tcPr>
            <w:tcW w:type="dxa" w:w="158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0.2298</w:t>
            </w:r>
          </w:p>
        </w:tc>
        <w:tc>
          <w:tcPr>
            <w:tcW w:type="dxa" w:w="181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0.0277</w:t>
            </w:r>
          </w:p>
        </w:tc>
        <w:tc>
          <w:tcPr>
            <w:tcW w:type="dxa" w:w="124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0.0393</w:t>
            </w:r>
          </w:p>
        </w:tc>
      </w:tr>
      <w:tr>
        <w:trPr>
          <w:cantSplit/>
        </w:trPr>
        <w:tc>
          <w:tcPr>
            <w:tcW w:type="dxa" w:w="232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Base+Estimator</w:t>
            </w:r>
          </w:p>
        </w:tc>
        <w:tc>
          <w:tcPr>
            <w:tcW w:type="dxa" w:w="147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50,048</w:t>
            </w:r>
          </w:p>
        </w:tc>
        <w:tc>
          <w:tcPr>
            <w:tcW w:type="dxa" w:w="147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1,803</w:t>
            </w:r>
          </w:p>
        </w:tc>
        <w:tc>
          <w:tcPr>
            <w:tcW w:type="dxa" w:w="158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0.2317</w:t>
            </w:r>
          </w:p>
        </w:tc>
        <w:tc>
          <w:tcPr>
            <w:tcW w:type="dxa" w:w="1814"/>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0.0137</w:t>
            </w:r>
          </w:p>
        </w:tc>
        <w:tc>
          <w:tcPr>
            <w:tcW w:type="dxa" w:w="1247"/>
            <w:vAlign w:val="center"/>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0.0396</w:t>
            </w:r>
          </w:p>
        </w:tc>
      </w:tr>
      <w:tr>
        <w:trPr>
          <w:cantSplit/>
        </w:trPr>
        <w:tc>
          <w:tcPr>
            <w:tcW w:type="dxa" w:w="232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Base+Estimator+V1</w:t>
            </w:r>
          </w:p>
        </w:tc>
        <w:tc>
          <w:tcPr>
            <w:tcW w:type="dxa" w:w="147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52,232</w:t>
            </w:r>
          </w:p>
        </w:tc>
        <w:tc>
          <w:tcPr>
            <w:tcW w:type="dxa" w:w="147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3,987</w:t>
            </w:r>
          </w:p>
        </w:tc>
        <w:tc>
          <w:tcPr>
            <w:tcW w:type="dxa" w:w="158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0.2351</w:t>
            </w:r>
          </w:p>
        </w:tc>
        <w:tc>
          <w:tcPr>
            <w:tcW w:type="dxa" w:w="1814"/>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0.0115</w:t>
            </w:r>
          </w:p>
        </w:tc>
        <w:tc>
          <w:tcPr>
            <w:tcW w:type="dxa" w:w="1247"/>
            <w:vAlign w:val="center"/>
            <w:shd w:fill="F7EEEE"/>
            <w:tcBorders>
              <w:top w:val="single" w:sz="4" w:color="8C8C8C"/>
              <w:left w:val="single" w:sz="4" w:color="8C8C8C"/>
              <w:bottom w:val="single" w:sz="4" w:color="8C8C8C"/>
              <w:right w:val="single" w:sz="4" w:color="8C8C8C"/>
            </w:tcBorders>
          </w:tcPr>
          <w:p>
            <w:pPr>
              <w:spacing w:before="0" w:after="0" w:line="240" w:lineRule="auto"/>
              <w:jc w:val="center"/>
            </w:pPr>
            <w:r/>
            <w:r>
              <w:rPr>
                <w:rFonts w:ascii="Times New Roman" w:hAnsi="Times New Roman" w:eastAsia="宋体"/>
                <w:b w:val="0"/>
                <w:sz w:val="18"/>
              </w:rPr>
              <w:t>0.0402</w:t>
            </w:r>
          </w:p>
        </w:tc>
      </w:tr>
    </w:tbl>
    <w:p>
      <w:pPr>
        <w:pStyle w:val="CaptionCN"/>
        <w:jc w:val="center"/>
      </w:pPr>
      <w:r>
        <w:t>表4-9 模型参数量与简化CPU运行成本</w:t>
      </w:r>
    </w:p>
    <w:p>
      <w:pPr>
        <w:spacing w:before="60" w:after="60"/>
        <w:jc w:val="center"/>
      </w:pPr>
      <w:r>
        <w:drawing>
          <wp:inline xmlns:a="http://schemas.openxmlformats.org/drawingml/2006/main" xmlns:pic="http://schemas.openxmlformats.org/drawingml/2006/picture">
            <wp:extent cx="4846320" cy="2948494"/>
            <wp:docPr id="8" name="Picture 8"/>
            <wp:cNvGraphicFramePr>
              <a:graphicFrameLocks noChangeAspect="1"/>
            </wp:cNvGraphicFramePr>
            <a:graphic>
              <a:graphicData uri="http://schemas.openxmlformats.org/drawingml/2006/picture">
                <pic:pic>
                  <pic:nvPicPr>
                    <pic:cNvPr id="0" name="image11.png"/>
                    <pic:cNvPicPr/>
                  </pic:nvPicPr>
                  <pic:blipFill>
                    <a:blip r:embed="rId17"/>
                    <a:stretch>
                      <a:fillRect/>
                    </a:stretch>
                  </pic:blipFill>
                  <pic:spPr>
                    <a:xfrm>
                      <a:off x="0" y="0"/>
                      <a:ext cx="4846320" cy="2948494"/>
                    </a:xfrm>
                    <a:prstGeom prst="rect"/>
                  </pic:spPr>
                </pic:pic>
              </a:graphicData>
            </a:graphic>
          </wp:inline>
        </w:drawing>
      </w:r>
    </w:p>
    <w:p>
      <w:pPr>
        <w:pStyle w:val="CaptionCN"/>
        <w:jc w:val="center"/>
      </w:pPr>
      <w:r>
        <w:t>图4-8 Base与EDCR-V1模型参数规模</w:t>
      </w:r>
    </w:p>
    <w:p>
      <w:pPr>
        <w:pStyle w:val="BodyCN"/>
      </w:pPr>
      <w:r>
        <w:t>相较Base，完整系统仅增加3,987个学习参数，其中残差阶段可训练参数为2,184。简化CPU测试中，平均推理时间由0.2298 s增至0.2351 s，RTF由0.0393增至0.0402，时间增幅约为2.31%。因此，新增退化估计器与残差模块的计算代价较小，能够支持“轻量增量增强”的工程定位。</w:t>
      </w:r>
    </w:p>
    <w:p>
      <w:pPr>
        <w:pStyle w:val="BodyCN"/>
      </w:pPr>
      <w:r>
        <w:t>需要说明的是，运行时间结果来源于有限样本的简化测试，主要用于说明量级和相对趋势，不应据此直接宣称不同硬件平台上的严格实时部署能力。</w:t>
      </w:r>
    </w:p>
    <w:p>
      <w:pPr>
        <w:pStyle w:val="H1CN"/>
        <w:keepNext/>
        <w:keepLines/>
      </w:pPr>
      <w:r>
        <w:t>4.8 结果讨论与结论边界</w:t>
      </w:r>
    </w:p>
    <w:p>
      <w:pPr>
        <w:pStyle w:val="BodyCN"/>
      </w:pPr>
      <w:r>
        <w:t>第一，退化诊断部分形成了较完整的证据链。噪声、带宽和SNR任务均表现稳定，位深任务的误差来源也能够通过混淆矩阵和退化强度分组明确定位。因此，冻结基础增强器的瓶颈统计可用于复合退化显式诊断这一结论成立。</w:t>
      </w:r>
    </w:p>
    <w:p>
      <w:pPr>
        <w:pStyle w:val="BodyCN"/>
      </w:pPr>
      <w:r>
        <w:t>第二，受限残差频谱细化的有效性得到总体、分组和逐句统计三类证据支持。Predicted-0.75在SI-SDR提升的同时，使LSD和HF-LSD分别下降14.30%和18.19%，且频谱改善覆盖约八成样本。其优势主要来自clean与light组，medium和heavy组收益较温和，说明残差修复能力仍受退化强度限制。</w:t>
      </w:r>
    </w:p>
    <w:p>
      <w:pPr>
        <w:pStyle w:val="BodyCN"/>
      </w:pPr>
      <w:r>
        <w:t>第三，显式条件与残差输出之间尚未形成有效耦合。Zero、Shuffled、Predicted与Oracle结果近似一致，说明条件向量没有显著改变残差决策。因而，第二项工作的最终定位应突出“显式退化诊断”和“轻量受限残差频谱细化”，而不是强调已经实现了强条件敏感的退化自适应修复。</w:t>
      </w:r>
    </w:p>
    <w:p>
      <w:pPr>
        <w:pStyle w:val="BodyCN"/>
      </w:pPr>
      <w:r>
        <w:t>第四，本章结论基于STOI、ESTOI、SI-SDR、LSD和HF-LSD等客观指标。现有结果能够支持可懂度、时域一致性和频谱保真度层面的分析，但不直接扩展为主观听感、跨数据集泛化或端侧实时部署已经得到验证。</w:t>
      </w:r>
    </w:p>
    <w:p>
      <w:pPr>
        <w:pStyle w:val="H1CN"/>
        <w:keepNext/>
        <w:keepLines/>
      </w:pPr>
      <w:r>
        <w:t>4.9 本章小结</w:t>
      </w:r>
    </w:p>
    <w:p>
      <w:pPr>
        <w:pStyle w:val="BodyCN"/>
      </w:pPr>
      <w:r>
        <w:t>本章围绕复合退化显式诊断与受限残差频谱细化构建了完整实验闭环。退化估计器在噪声、带宽和SNR任务上取得稳定结果，位深分类的主要困难集中在12 bit与10 bit之间。最终系统EDCR-V1-Predicted-0.75相较冻结Base使SI-SDR提高0.1160 dB，LSD与HF-LSD分别降低14.30%和18.19%，但STOI与ESTOI分别小幅下降0.0011和0.0043。分组与逐句统计进一步表明，频谱收益主要集中在clean和light组，并覆盖约八成测试样本。</w:t>
      </w:r>
    </w:p>
    <w:p>
      <w:pPr>
        <w:pStyle w:val="BodyCN"/>
      </w:pPr>
      <w:r>
        <w:t>条件扰动和贡献分解结果一致显示，当前性能提升主要来自轻量残差结构，显式条件的额外贡献有限。综合参数量与CPU成本，所提方法以较小的附加参数和推理开销实现了对冻结基础增强器输出的频谱校准。由此，第二项研究工作的客观结论可归纳为：复合退化显式诊断具有可行性，受限残差频谱细化能够有效降低频谱失真，但条件驱动的差异化修复仍需进一步加强。</w:t>
      </w:r>
    </w:p>
    <w:p>
      <w:r>
        <w:br w:type="page"/>
      </w:r>
    </w:p>
    <w:p>
      <w:pPr>
        <w:pStyle w:val="Heading2"/>
      </w:pPr>
      <w:r>
        <w:t>4.X 典型样本频谱恢复分析</w:t>
      </w:r>
    </w:p>
    <w:p>
      <w:r>
        <w:t>为进一步验证EDCR-V1-Predicted-0.75在频谱域中的修复效果，选取轻度、中度和重度三类退化样本进行可视化分析。每组样本分别展示Clean、Degraded、Base以及EDCR-V1-Predicted-0.75输出频谱，同时给出Base与EDCR输出相对于Clean的误差谱。可以观察到，所提方法主要针对基础增强模型残留的频谱失真进行补偿，尤其在高频区域具有更加明显的修正效果。</w:t>
      </w:r>
    </w:p>
    <w:p>
      <w:pPr>
        <w:jc w:val="center"/>
      </w:pPr>
      <w:r>
        <w:rPr>
          <w:b/>
        </w:rPr>
        <w:t>图4-11 轻度退化典型样本频谱可视化</w:t>
      </w:r>
    </w:p>
    <w:p>
      <w:pPr>
        <w:jc w:val="center"/>
      </w:pPr>
      <w:r>
        <w:drawing>
          <wp:inline xmlns:a="http://schemas.openxmlformats.org/drawingml/2006/main" xmlns:pic="http://schemas.openxmlformats.org/drawingml/2006/picture">
            <wp:extent cx="5669280" cy="4000054"/>
            <wp:docPr id="9" name="Picture 9"/>
            <wp:cNvGraphicFramePr>
              <a:graphicFrameLocks noChangeAspect="1"/>
            </wp:cNvGraphicFramePr>
            <a:graphic>
              <a:graphicData uri="http://schemas.openxmlformats.org/drawingml/2006/picture">
                <pic:pic>
                  <pic:nvPicPr>
                    <pic:cNvPr id="0" name="典型频谱图_轻度退化样本.png"/>
                    <pic:cNvPicPr/>
                  </pic:nvPicPr>
                  <pic:blipFill>
                    <a:blip r:embed="rId18"/>
                    <a:stretch>
                      <a:fillRect/>
                    </a:stretch>
                  </pic:blipFill>
                  <pic:spPr>
                    <a:xfrm>
                      <a:off x="0" y="0"/>
                      <a:ext cx="5669280" cy="4000054"/>
                    </a:xfrm>
                    <a:prstGeom prst="rect"/>
                  </pic:spPr>
                </pic:pic>
              </a:graphicData>
            </a:graphic>
          </wp:inline>
        </w:drawing>
      </w:r>
    </w:p>
    <w:p>
      <w:r>
        <w:t>轻度退化样本中，基础增强结果已经能够恢复主要语音结构，但仍存在高频纹理缺失和局部频谱偏差。EDCR-V1-Predicted-0.75进一步降低了高频误差区域，使恢复频谱与Clean结果更加接近。</w:t>
      </w:r>
    </w:p>
    <w:p>
      <w:pPr>
        <w:jc w:val="center"/>
      </w:pPr>
      <w:r>
        <w:rPr>
          <w:b/>
        </w:rPr>
        <w:t>图4-12 中度退化典型样本频谱可视化</w:t>
      </w:r>
    </w:p>
    <w:p>
      <w:pPr>
        <w:jc w:val="center"/>
      </w:pPr>
      <w:r>
        <w:drawing>
          <wp:inline xmlns:a="http://schemas.openxmlformats.org/drawingml/2006/main" xmlns:pic="http://schemas.openxmlformats.org/drawingml/2006/picture">
            <wp:extent cx="5669280" cy="4000054"/>
            <wp:docPr id="10" name="Picture 10"/>
            <wp:cNvGraphicFramePr>
              <a:graphicFrameLocks noChangeAspect="1"/>
            </wp:cNvGraphicFramePr>
            <a:graphic>
              <a:graphicData uri="http://schemas.openxmlformats.org/drawingml/2006/picture">
                <pic:pic>
                  <pic:nvPicPr>
                    <pic:cNvPr id="0" name="典型频谱图_中度退化样本.png"/>
                    <pic:cNvPicPr/>
                  </pic:nvPicPr>
                  <pic:blipFill>
                    <a:blip r:embed="rId19"/>
                    <a:stretch>
                      <a:fillRect/>
                    </a:stretch>
                  </pic:blipFill>
                  <pic:spPr>
                    <a:xfrm>
                      <a:off x="0" y="0"/>
                      <a:ext cx="5669280" cy="4000054"/>
                    </a:xfrm>
                    <a:prstGeom prst="rect"/>
                  </pic:spPr>
                </pic:pic>
              </a:graphicData>
            </a:graphic>
          </wp:inline>
        </w:drawing>
      </w:r>
    </w:p>
    <w:p>
      <w:r>
        <w:t>中度退化样本中，Base模型在语音谐波结构恢复方面存在一定残留误差。加入受限残差细化后，中高频连续结构得到改善，误差谱中的高能量区域有所收缩。</w:t>
      </w:r>
    </w:p>
    <w:p>
      <w:pPr>
        <w:jc w:val="center"/>
      </w:pPr>
      <w:r>
        <w:rPr>
          <w:b/>
        </w:rPr>
        <w:t>图4-13 重度退化典型样本频谱可视化</w:t>
      </w:r>
    </w:p>
    <w:p>
      <w:pPr>
        <w:jc w:val="center"/>
      </w:pPr>
      <w:r>
        <w:drawing>
          <wp:inline xmlns:a="http://schemas.openxmlformats.org/drawingml/2006/main" xmlns:pic="http://schemas.openxmlformats.org/drawingml/2006/picture">
            <wp:extent cx="5669280" cy="4000054"/>
            <wp:docPr id="11" name="Picture 11"/>
            <wp:cNvGraphicFramePr>
              <a:graphicFrameLocks noChangeAspect="1"/>
            </wp:cNvGraphicFramePr>
            <a:graphic>
              <a:graphicData uri="http://schemas.openxmlformats.org/drawingml/2006/picture">
                <pic:pic>
                  <pic:nvPicPr>
                    <pic:cNvPr id="0" name="典型频谱图_重度退化样本.png"/>
                    <pic:cNvPicPr/>
                  </pic:nvPicPr>
                  <pic:blipFill>
                    <a:blip r:embed="rId20"/>
                    <a:stretch>
                      <a:fillRect/>
                    </a:stretch>
                  </pic:blipFill>
                  <pic:spPr>
                    <a:xfrm>
                      <a:off x="0" y="0"/>
                      <a:ext cx="5669280" cy="4000054"/>
                    </a:xfrm>
                    <a:prstGeom prst="rect"/>
                  </pic:spPr>
                </pic:pic>
              </a:graphicData>
            </a:graphic>
          </wp:inline>
        </w:drawing>
      </w:r>
    </w:p>
    <w:p>
      <w:r>
        <w:t>重度退化样本中，由于原始退化信息损失较严重，模型整体恢复难度增加。EDCR-V1-Predicted-0.75仍能够减少部分频谱偏差，但改善幅度低于轻、中度退化情况，与分组指标结果保持一致。</w:t>
      </w:r>
    </w:p>
    <w:sectPr w:rsidR="00FC693F" w:rsidRPr="0006063C" w:rsidSect="00034616">
      <w:footerReference w:type="default" r:id="rId9"/>
      <w:pgSz w:w="11906" w:h="16838"/>
      <w:pgMar w:top="1389" w:right="1332" w:bottom="1332" w:left="1502"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fldChar w:fldCharType="begin"/>
      <w:instrText xml:space="preserve">PAGE</w:instrText>
      <w:fldChar w:fldCharType="end"/>
    </w:r>
    <w: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N">
    <w:name w:val="BodyCN"/>
    <w:pPr>
      <w:spacing w:line="360" w:lineRule="auto" w:after="0" w:before="0"/>
      <w:ind w:firstLine="420"/>
      <w:jc w:val="both"/>
    </w:pPr>
    <w:rPr>
      <w:rFonts w:ascii="Times New Roman" w:hAnsi="Times New Roman" w:eastAsia="宋体"/>
      <w:sz w:val="24"/>
    </w:rPr>
  </w:style>
  <w:style w:type="paragraph" w:customStyle="1" w:styleId="H1CN">
    <w:name w:val="H1CN"/>
    <w:pPr>
      <w:keepNext/>
      <w:spacing w:before="200" w:after="100"/>
    </w:pPr>
    <w:rPr>
      <w:rFonts w:ascii="Times New Roman" w:hAnsi="Times New Roman" w:eastAsia="黑体"/>
      <w:b/>
      <w:color w:val="1F4E79"/>
      <w:sz w:val="32"/>
    </w:rPr>
  </w:style>
  <w:style w:type="paragraph" w:customStyle="1" w:styleId="H2CN">
    <w:name w:val="H2CN"/>
    <w:pPr>
      <w:keepNext/>
      <w:spacing w:before="140" w:after="100"/>
    </w:pPr>
    <w:rPr>
      <w:rFonts w:ascii="Times New Roman" w:hAnsi="Times New Roman" w:eastAsia="黑体"/>
      <w:b/>
      <w:color w:val="1F4E79"/>
      <w:sz w:val="28"/>
    </w:rPr>
  </w:style>
  <w:style w:type="paragraph" w:customStyle="1" w:styleId="H3CN">
    <w:name w:val="H3CN"/>
    <w:pPr>
      <w:keepNext/>
      <w:spacing w:before="140" w:after="100"/>
    </w:pPr>
    <w:rPr>
      <w:rFonts w:ascii="Times New Roman" w:hAnsi="Times New Roman" w:eastAsia="黑体"/>
      <w:b/>
      <w:color w:val="1F4E79"/>
      <w:sz w:val="25"/>
    </w:rPr>
  </w:style>
  <w:style w:type="paragraph" w:customStyle="1" w:styleId="CaptionCN">
    <w:name w:val="CaptionCN"/>
    <w:pPr>
      <w:spacing w:before="40" w:after="120"/>
    </w:pPr>
    <w:rPr>
      <w:rFonts w:ascii="Times New Roman" w:hAnsi="Times New Roman"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第4章 实验结果与分析</dc:title>
  <dc:subject>硕士论文第二项工作实验结论章节</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