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0E84">
      <w:pPr>
        <w:pStyle w:val="3"/>
      </w:pPr>
      <w:r>
        <w:t>第4章 实验结果与分析</w:t>
      </w:r>
    </w:p>
    <w:p w14:paraId="2BB9CFA0">
      <w:pPr>
        <w:ind w:firstLine="0"/>
      </w:pPr>
      <w:r>
        <w:rPr>
          <w:b/>
          <w:color w:val="DC0000"/>
        </w:rPr>
        <w:t>说明：本稿已将“主实验、横向对比和消融分析”分开组织。红色文字为待补数据或待重绘图形的占位说明，形成最终论文时应以正式图表替换并删除红色提示。</w:t>
      </w:r>
    </w:p>
    <w:p w14:paraId="4188FD46">
      <w:pPr>
        <w:pStyle w:val="4"/>
      </w:pPr>
      <w:r>
        <w:t>4.1 实验设置</w:t>
      </w:r>
    </w:p>
    <w:p w14:paraId="52ABAE12">
      <w:pPr>
        <w:pStyle w:val="5"/>
      </w:pPr>
      <w:r>
        <w:t>4.1.1 数据集与复合退化划分</w:t>
      </w:r>
    </w:p>
    <w:p w14:paraId="284ECE34">
      <w:r>
        <w:rPr>
          <w:b w:val="0"/>
        </w:rPr>
        <w:t>实验采用VCTK语音数据集，所有语音统一重采样至16 kHz。预处理后共获得44,247条原始语音，并针对每条语音构建clean、light、medium和heavy四类复合退化条件，共形成176,988条样本。数据按照源语音进行划分，保证同一原始语音的不同退化版本不会跨越训练集、验证集和测试集，从而降低同源样本泄漏对结果的影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C02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BB568B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数据集合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8F0728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原始语音数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0C3064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复合退化样本数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FB0431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主要用途</w:t>
            </w:r>
          </w:p>
        </w:tc>
      </w:tr>
      <w:tr w14:paraId="6F9E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0699C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训练集</w:t>
            </w:r>
          </w:p>
        </w:tc>
        <w:tc>
          <w:tcPr>
            <w:tcW w:w="2268" w:type="dxa"/>
            <w:vAlign w:val="center"/>
          </w:tcPr>
          <w:p w14:paraId="0690809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35,424</w:t>
            </w:r>
          </w:p>
        </w:tc>
        <w:tc>
          <w:tcPr>
            <w:tcW w:w="2268" w:type="dxa"/>
            <w:vAlign w:val="center"/>
          </w:tcPr>
          <w:p w14:paraId="6339F78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141,696</w:t>
            </w:r>
          </w:p>
        </w:tc>
        <w:tc>
          <w:tcPr>
            <w:tcW w:w="2268" w:type="dxa"/>
            <w:vAlign w:val="center"/>
          </w:tcPr>
          <w:p w14:paraId="504E586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训练退化诊断模块与残差细化模块</w:t>
            </w:r>
          </w:p>
        </w:tc>
      </w:tr>
      <w:tr w14:paraId="06E3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A5836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验证集</w:t>
            </w:r>
          </w:p>
        </w:tc>
        <w:tc>
          <w:tcPr>
            <w:tcW w:w="2268" w:type="dxa"/>
            <w:vAlign w:val="center"/>
          </w:tcPr>
          <w:p w14:paraId="409749C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4,409</w:t>
            </w:r>
          </w:p>
        </w:tc>
        <w:tc>
          <w:tcPr>
            <w:tcW w:w="2268" w:type="dxa"/>
            <w:vAlign w:val="center"/>
          </w:tcPr>
          <w:p w14:paraId="3BCA269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17,636</w:t>
            </w:r>
          </w:p>
        </w:tc>
        <w:tc>
          <w:tcPr>
            <w:tcW w:w="2268" w:type="dxa"/>
            <w:vAlign w:val="center"/>
          </w:tcPr>
          <w:p w14:paraId="1167513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选择最佳检查点并观察超参数敏感性</w:t>
            </w:r>
          </w:p>
        </w:tc>
      </w:tr>
      <w:tr w14:paraId="74EA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9ED31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测试集</w:t>
            </w:r>
          </w:p>
        </w:tc>
        <w:tc>
          <w:tcPr>
            <w:tcW w:w="2268" w:type="dxa"/>
            <w:vAlign w:val="center"/>
          </w:tcPr>
          <w:p w14:paraId="1ED1E48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4,414</w:t>
            </w:r>
          </w:p>
        </w:tc>
        <w:tc>
          <w:tcPr>
            <w:tcW w:w="2268" w:type="dxa"/>
            <w:vAlign w:val="center"/>
          </w:tcPr>
          <w:p w14:paraId="4BD88F8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17,656</w:t>
            </w:r>
          </w:p>
        </w:tc>
        <w:tc>
          <w:tcPr>
            <w:tcW w:w="2268" w:type="dxa"/>
            <w:vAlign w:val="center"/>
          </w:tcPr>
          <w:p w14:paraId="4CD0A0F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最终主实验与逐句统计</w:t>
            </w:r>
          </w:p>
        </w:tc>
      </w:tr>
      <w:tr w14:paraId="1595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E994A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w="2268" w:type="dxa"/>
            <w:vAlign w:val="center"/>
          </w:tcPr>
          <w:p w14:paraId="15EA61D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44,247</w:t>
            </w:r>
          </w:p>
        </w:tc>
        <w:tc>
          <w:tcPr>
            <w:tcW w:w="2268" w:type="dxa"/>
            <w:vAlign w:val="center"/>
          </w:tcPr>
          <w:p w14:paraId="534639A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176,988</w:t>
            </w:r>
          </w:p>
        </w:tc>
        <w:tc>
          <w:tcPr>
            <w:tcW w:w="2268" w:type="dxa"/>
            <w:vAlign w:val="center"/>
          </w:tcPr>
          <w:p w14:paraId="3C9528C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源语音级独立划分</w:t>
            </w:r>
          </w:p>
        </w:tc>
      </w:tr>
    </w:tbl>
    <w:p w14:paraId="1A128B0B">
      <w:pPr>
        <w:pStyle w:val="169"/>
      </w:pPr>
      <w:r>
        <w:t>表4-1 复合退化数据集划分</w:t>
      </w:r>
    </w:p>
    <w:p w14:paraId="295F36F1">
      <w:pPr>
        <w:pStyle w:val="5"/>
      </w:pPr>
      <w:r>
        <w:t>4.1.2 最终系统与统一评测口径</w:t>
      </w:r>
    </w:p>
    <w:p w14:paraId="74D87E5A">
      <w:r>
        <w:rPr>
          <w:b w:val="0"/>
        </w:rPr>
        <w:t>最终系统采用EDCR-Predicted-0.75配置：推理阶段使用退化诊断模块输出的9维连续条件向量，残差注入系数固定为0.75；Oracle条件仅用于机制分析，不作为最终部署结果。主实验均在17,656条测试样本上使用同一评测脚本和长度对齐方式计算。HF-LSD定义为4 kHz以上频带的对数谱距离；在16 kHz采样率、NFFT=512条件下，从第128个频点开始统计。</w:t>
      </w:r>
    </w:p>
    <w:p w14:paraId="06D952B1">
      <w:pPr>
        <w:pStyle w:val="5"/>
      </w:pPr>
      <w:r>
        <w:t>4.1.3 评价指标与统计方法</w:t>
      </w:r>
    </w:p>
    <w:p w14:paraId="35A00958">
      <w:r>
        <w:rPr>
          <w:b w:val="0"/>
        </w:rPr>
        <w:t>主实验从可懂度、时域重建和频谱保真度三个层面进行评价。STOI与ESTOI用于衡量语音可懂度，SI-SDR用于评价尺度不变条件下的时域重建一致性，LSD与HF-LSD分别描述全频和高频频谱失真。横向对比实验在上述指标之外增加PESQ，用于补充感知质量评价。逐句稳健性通过Wilcoxon符号秩检验、改善样本比例、中位差值和均值95%置信区间进行分析。</w:t>
      </w:r>
    </w:p>
    <w:p w14:paraId="0797C28C">
      <w:pPr>
        <w:pStyle w:val="5"/>
      </w:pPr>
      <w:r>
        <w:t>4.1.4 对比方法与实验范围</w:t>
      </w:r>
    </w:p>
    <w:p w14:paraId="45AF176C">
      <w:r>
        <w:rPr>
          <w:b w:val="0"/>
        </w:rPr>
        <w:t>横向对比选择GTCRN、FullSubNet+和MP-SENet-VB三种开源方法。GTCRN为基础增强模型；FullSubNet+代表全频—子频带联合建模方法；MP-SENet-VB代表幅度—相位联合增强方法。EDCR为本文最终系统。对比实验数据按light、medium和heavy三个退化等级汇总，以避免将缺少对应结果的clean与总体均值强行拼接。</w:t>
      </w:r>
    </w:p>
    <w:p w14:paraId="764E1487">
      <w:r>
        <w:rPr>
          <w:b/>
          <w:color w:val="DC0000"/>
        </w:rPr>
        <w:t>【待补充并在定稿前确认】FullSubNet+与MP-SENet-VB的训练数据来源、是否使用公开预训练权重或本文数据重训练、各强度样本数、输出长度对齐规则、PESQ实现版本与评测脚本版本。当前工作簿只记录了三个退化等级的均值，未提供上述复现实验元数据。</w:t>
      </w:r>
    </w:p>
    <w:p w14:paraId="2DE4AA8F">
      <w:r>
        <w:rPr>
          <w:b w:val="0"/>
        </w:rPr>
        <w:t>需要特别说明，横向对比工作簿中的light、medium和heavy数值与完整17,656条测试集的分组结果属于不同实验批次或评测口径，二者在本章中分别用于“主实验结论”和“横向模型比较”，不得交叉替换或合并计算。</w:t>
      </w:r>
    </w:p>
    <w:p w14:paraId="32567CB4">
      <w:r>
        <w:br w:type="page"/>
      </w:r>
    </w:p>
    <w:p w14:paraId="5558D841">
      <w:pPr>
        <w:pStyle w:val="4"/>
      </w:pPr>
      <w:r>
        <w:t>4.2 显式退化诊断结果</w:t>
      </w:r>
    </w:p>
    <w:p w14:paraId="46502C70">
      <w:pPr>
        <w:pStyle w:val="5"/>
      </w:pPr>
      <w:r>
        <w:t>4.2.1 训练收敛与总体性能</w:t>
      </w:r>
    </w:p>
    <w:p w14:paraId="0F5CFF71">
      <w:r>
        <w:rPr>
          <w:b w:val="0"/>
        </w:rPr>
        <w:t>退化诊断模块将深层瓶颈统计表征转换为噪声存在性、SNR、有效带宽和量化位深四类可解释状态。训练过程中，总损失在前期快速下降并逐渐稳定；噪声与带宽准确率长期维持在较高水平，SNR平均绝对误差虽存在波动，但未出现持续发散。</w:t>
      </w:r>
    </w:p>
    <w:p w14:paraId="298C2A1C">
      <w:pPr>
        <w:jc w:val="center"/>
      </w:pPr>
      <w:r>
        <w:drawing>
          <wp:inline distT="0" distB="0" distL="114300" distR="114300">
            <wp:extent cx="5471795" cy="170942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BEAB">
      <w:pPr>
        <w:pStyle w:val="169"/>
      </w:pPr>
      <w:bookmarkStart w:id="0" w:name="_GoBack"/>
      <w:bookmarkEnd w:id="0"/>
      <w:r>
        <w:t>图4-1 退化诊断模块训练曲线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6FF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061A2C1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D31F58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CB2882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 w14:paraId="1C0A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58CDA6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噪声识别</w:t>
            </w:r>
          </w:p>
        </w:tc>
        <w:tc>
          <w:tcPr>
            <w:tcW w:w="3024" w:type="dxa"/>
            <w:vAlign w:val="center"/>
          </w:tcPr>
          <w:p w14:paraId="6A01D40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Accuracy</w:t>
            </w:r>
          </w:p>
        </w:tc>
        <w:tc>
          <w:tcPr>
            <w:tcW w:w="3024" w:type="dxa"/>
            <w:vAlign w:val="center"/>
          </w:tcPr>
          <w:p w14:paraId="5D02281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0.9999</w:t>
            </w:r>
          </w:p>
        </w:tc>
      </w:tr>
      <w:tr w14:paraId="56C9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52A850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噪声识别</w:t>
            </w:r>
          </w:p>
        </w:tc>
        <w:tc>
          <w:tcPr>
            <w:tcW w:w="3024" w:type="dxa"/>
            <w:vAlign w:val="center"/>
          </w:tcPr>
          <w:p w14:paraId="73FC7D1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F1</w:t>
            </w:r>
          </w:p>
        </w:tc>
        <w:tc>
          <w:tcPr>
            <w:tcW w:w="3024" w:type="dxa"/>
            <w:vAlign w:val="center"/>
          </w:tcPr>
          <w:p w14:paraId="448F1FD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0.9999</w:t>
            </w:r>
          </w:p>
        </w:tc>
      </w:tr>
      <w:tr w14:paraId="0FCC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783204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带宽分类</w:t>
            </w:r>
          </w:p>
        </w:tc>
        <w:tc>
          <w:tcPr>
            <w:tcW w:w="3024" w:type="dxa"/>
            <w:vAlign w:val="center"/>
          </w:tcPr>
          <w:p w14:paraId="57436F1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Accuracy</w:t>
            </w:r>
          </w:p>
        </w:tc>
        <w:tc>
          <w:tcPr>
            <w:tcW w:w="3024" w:type="dxa"/>
            <w:vAlign w:val="center"/>
          </w:tcPr>
          <w:p w14:paraId="68AF520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0.9961</w:t>
            </w:r>
          </w:p>
        </w:tc>
      </w:tr>
      <w:tr w14:paraId="7A45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13D149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位深分类</w:t>
            </w:r>
          </w:p>
        </w:tc>
        <w:tc>
          <w:tcPr>
            <w:tcW w:w="3024" w:type="dxa"/>
            <w:vAlign w:val="center"/>
          </w:tcPr>
          <w:p w14:paraId="70DD3E0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Accuracy</w:t>
            </w:r>
          </w:p>
        </w:tc>
        <w:tc>
          <w:tcPr>
            <w:tcW w:w="3024" w:type="dxa"/>
            <w:vAlign w:val="center"/>
          </w:tcPr>
          <w:p w14:paraId="41E17C5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0.8693</w:t>
            </w:r>
          </w:p>
        </w:tc>
      </w:tr>
      <w:tr w14:paraId="5B8B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A02704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SNR回归</w:t>
            </w:r>
          </w:p>
        </w:tc>
        <w:tc>
          <w:tcPr>
            <w:tcW w:w="3024" w:type="dxa"/>
            <w:vAlign w:val="center"/>
          </w:tcPr>
          <w:p w14:paraId="3C8BDBB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MAE/dB</w:t>
            </w:r>
          </w:p>
        </w:tc>
        <w:tc>
          <w:tcPr>
            <w:tcW w:w="3024" w:type="dxa"/>
            <w:vAlign w:val="center"/>
          </w:tcPr>
          <w:p w14:paraId="51AAD92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0.8968</w:t>
            </w:r>
          </w:p>
        </w:tc>
      </w:tr>
      <w:tr w14:paraId="7137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A8C0A5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SNR回归</w:t>
            </w:r>
          </w:p>
        </w:tc>
        <w:tc>
          <w:tcPr>
            <w:tcW w:w="3024" w:type="dxa"/>
            <w:vAlign w:val="center"/>
          </w:tcPr>
          <w:p w14:paraId="6D71D96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Pearson r</w:t>
            </w:r>
          </w:p>
        </w:tc>
        <w:tc>
          <w:tcPr>
            <w:tcW w:w="3024" w:type="dxa"/>
            <w:vAlign w:val="center"/>
          </w:tcPr>
          <w:p w14:paraId="4FD670E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0.9863</w:t>
            </w:r>
          </w:p>
        </w:tc>
      </w:tr>
    </w:tbl>
    <w:p w14:paraId="5FE9DDAD">
      <w:pPr>
        <w:pStyle w:val="169"/>
      </w:pPr>
      <w:r>
        <w:t>表4-2 退化诊断模块测试集总体性能</w:t>
      </w:r>
    </w:p>
    <w:p w14:paraId="2BBEFDA4">
      <w:r>
        <w:rPr>
          <w:b w:val="0"/>
        </w:rPr>
        <w:t>噪声识别和带宽分类接近完全正确，SNR回归平均绝对误差低于1 dB，并与真实值保持较强线性相关。位深分类准确率为0.8693，明显低于其他任务，说明相邻位深的量化纹理更难区分。</w:t>
      </w:r>
    </w:p>
    <w:p w14:paraId="60D5E5CB">
      <w:pPr>
        <w:pStyle w:val="5"/>
      </w:pPr>
      <w:r>
        <w:t>4.2.2 混淆模式与退化强度差异</w:t>
      </w:r>
    </w:p>
    <w:p w14:paraId="209FA7B6">
      <w:pPr>
        <w:jc w:val="center"/>
      </w:pPr>
      <w:r>
        <w:drawing>
          <wp:inline distT="0" distB="0" distL="114300" distR="114300">
            <wp:extent cx="5255895" cy="449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4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78CA">
      <w:pPr>
        <w:pStyle w:val="169"/>
      </w:pPr>
      <w:r>
        <w:t>图4-2 退化诊断混淆矩阵与SNR回归分布</w:t>
      </w:r>
    </w:p>
    <w:p w14:paraId="793FBF24">
      <w:r>
        <w:rPr>
          <w:b w:val="0"/>
        </w:rPr>
        <w:t>噪声识别仅有2条clean样本被误判为noisy，noisy样本未出现漏检。带宽分类错误主要集中在Full与约6 kHz之间，而约4 kHz样本均被正确识别。位深分类的主要混淆发生在12 bit与10 bit之间，其中1,738条12 bit样本被预测为10 bit；16、12、10和8 bit的召回率分别约为98.78%、59.54%、88.89%和99.93%。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EC5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7165F5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退化强度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9400E4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样本数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4DB946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噪声准确率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254602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带宽准确率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F65174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位深准确率</w:t>
            </w:r>
          </w:p>
        </w:tc>
      </w:tr>
      <w:tr w14:paraId="4253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6B5B57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clean</w:t>
            </w:r>
          </w:p>
        </w:tc>
        <w:tc>
          <w:tcPr>
            <w:tcW w:w="1814" w:type="dxa"/>
            <w:vAlign w:val="center"/>
          </w:tcPr>
          <w:p w14:paraId="76F0195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4,414</w:t>
            </w:r>
          </w:p>
        </w:tc>
        <w:tc>
          <w:tcPr>
            <w:tcW w:w="1814" w:type="dxa"/>
            <w:vAlign w:val="center"/>
          </w:tcPr>
          <w:p w14:paraId="020EC65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1.0000</w:t>
            </w:r>
          </w:p>
        </w:tc>
        <w:tc>
          <w:tcPr>
            <w:tcW w:w="1814" w:type="dxa"/>
            <w:vAlign w:val="center"/>
          </w:tcPr>
          <w:p w14:paraId="5CAADBB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0.9887</w:t>
            </w:r>
          </w:p>
        </w:tc>
        <w:tc>
          <w:tcPr>
            <w:tcW w:w="1814" w:type="dxa"/>
            <w:vAlign w:val="center"/>
          </w:tcPr>
          <w:p w14:paraId="41F1399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0.9878</w:t>
            </w:r>
          </w:p>
        </w:tc>
      </w:tr>
      <w:tr w14:paraId="2E3D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E9EFB0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light</w:t>
            </w:r>
          </w:p>
        </w:tc>
        <w:tc>
          <w:tcPr>
            <w:tcW w:w="1814" w:type="dxa"/>
            <w:vAlign w:val="center"/>
          </w:tcPr>
          <w:p w14:paraId="7662211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4,414</w:t>
            </w:r>
          </w:p>
        </w:tc>
        <w:tc>
          <w:tcPr>
            <w:tcW w:w="1814" w:type="dxa"/>
            <w:vAlign w:val="center"/>
          </w:tcPr>
          <w:p w14:paraId="198C68B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0.9995</w:t>
            </w:r>
          </w:p>
        </w:tc>
        <w:tc>
          <w:tcPr>
            <w:tcW w:w="1814" w:type="dxa"/>
            <w:vAlign w:val="center"/>
          </w:tcPr>
          <w:p w14:paraId="5EDC78C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0.9959</w:t>
            </w:r>
          </w:p>
        </w:tc>
        <w:tc>
          <w:tcPr>
            <w:tcW w:w="1814" w:type="dxa"/>
            <w:vAlign w:val="center"/>
          </w:tcPr>
          <w:p w14:paraId="360D893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0.9638</w:t>
            </w:r>
          </w:p>
        </w:tc>
      </w:tr>
      <w:tr w14:paraId="626C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852CD1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medium</w:t>
            </w:r>
          </w:p>
        </w:tc>
        <w:tc>
          <w:tcPr>
            <w:tcW w:w="1814" w:type="dxa"/>
            <w:vAlign w:val="center"/>
          </w:tcPr>
          <w:p w14:paraId="71ECCC9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4,414</w:t>
            </w:r>
          </w:p>
        </w:tc>
        <w:tc>
          <w:tcPr>
            <w:tcW w:w="1814" w:type="dxa"/>
            <w:vAlign w:val="center"/>
          </w:tcPr>
          <w:p w14:paraId="2288FB9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1.0000</w:t>
            </w:r>
          </w:p>
        </w:tc>
        <w:tc>
          <w:tcPr>
            <w:tcW w:w="1814" w:type="dxa"/>
            <w:vAlign w:val="center"/>
          </w:tcPr>
          <w:p w14:paraId="6AC677F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1.0000</w:t>
            </w:r>
          </w:p>
        </w:tc>
        <w:tc>
          <w:tcPr>
            <w:tcW w:w="1814" w:type="dxa"/>
            <w:vAlign w:val="center"/>
          </w:tcPr>
          <w:p w14:paraId="592816D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0.5263</w:t>
            </w:r>
          </w:p>
        </w:tc>
      </w:tr>
      <w:tr w14:paraId="62EE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C7C60C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heavy</w:t>
            </w:r>
          </w:p>
        </w:tc>
        <w:tc>
          <w:tcPr>
            <w:tcW w:w="1814" w:type="dxa"/>
            <w:vAlign w:val="center"/>
          </w:tcPr>
          <w:p w14:paraId="1242505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4,414</w:t>
            </w:r>
          </w:p>
        </w:tc>
        <w:tc>
          <w:tcPr>
            <w:tcW w:w="1814" w:type="dxa"/>
            <w:vAlign w:val="center"/>
          </w:tcPr>
          <w:p w14:paraId="3A1181B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1.0000</w:t>
            </w:r>
          </w:p>
        </w:tc>
        <w:tc>
          <w:tcPr>
            <w:tcW w:w="1814" w:type="dxa"/>
            <w:vAlign w:val="center"/>
          </w:tcPr>
          <w:p w14:paraId="1892C6E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1.0000</w:t>
            </w:r>
          </w:p>
        </w:tc>
        <w:tc>
          <w:tcPr>
            <w:tcW w:w="1814" w:type="dxa"/>
            <w:vAlign w:val="center"/>
          </w:tcPr>
          <w:p w14:paraId="09EA5F5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0.9993</w:t>
            </w:r>
          </w:p>
        </w:tc>
      </w:tr>
      <w:tr w14:paraId="1F30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64CA6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总体</w:t>
            </w:r>
          </w:p>
        </w:tc>
        <w:tc>
          <w:tcPr>
            <w:tcW w:w="1814" w:type="dxa"/>
            <w:vAlign w:val="center"/>
          </w:tcPr>
          <w:p w14:paraId="602AB06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17,656</w:t>
            </w:r>
          </w:p>
        </w:tc>
        <w:tc>
          <w:tcPr>
            <w:tcW w:w="1814" w:type="dxa"/>
            <w:vAlign w:val="center"/>
          </w:tcPr>
          <w:p w14:paraId="0588866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0.9999</w:t>
            </w:r>
          </w:p>
        </w:tc>
        <w:tc>
          <w:tcPr>
            <w:tcW w:w="1814" w:type="dxa"/>
            <w:vAlign w:val="center"/>
          </w:tcPr>
          <w:p w14:paraId="6D95065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0.9961</w:t>
            </w:r>
          </w:p>
        </w:tc>
        <w:tc>
          <w:tcPr>
            <w:tcW w:w="1814" w:type="dxa"/>
            <w:vAlign w:val="center"/>
          </w:tcPr>
          <w:p w14:paraId="191410E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0.8693</w:t>
            </w:r>
          </w:p>
        </w:tc>
      </w:tr>
    </w:tbl>
    <w:p w14:paraId="188EE65C">
      <w:pPr>
        <w:pStyle w:val="169"/>
      </w:pPr>
      <w:r>
        <w:t>表4-3 不同退化强度下的退化诊断性能</w:t>
      </w:r>
    </w:p>
    <w:p w14:paraId="5BEEBDF5">
      <w:r>
        <w:rPr>
          <w:b w:val="0"/>
        </w:rPr>
        <w:t>medium组位深准确率仅为0.5263，是总体位深性能下降的主要来源。结果表明，噪声、带宽和SNR等较粗粒度属性能够由深层统计稳定识别，但相邻位深在复合退化遮蔽下仍存在明显判别边界。</w:t>
      </w:r>
    </w:p>
    <w:p w14:paraId="7ED7EE79">
      <w:pPr>
        <w:pStyle w:val="4"/>
      </w:pPr>
      <w:r>
        <w:t>4.3 主实验：EDCR最终系统性能</w:t>
      </w:r>
    </w:p>
    <w:p w14:paraId="4E7826AA">
      <w:pPr>
        <w:pStyle w:val="5"/>
      </w:pPr>
      <w:r>
        <w:t>4.3.1 完整测试集总体结果</w:t>
      </w:r>
    </w:p>
    <w:p w14:paraId="18DF293F">
      <w:r>
        <w:rPr>
          <w:b w:val="0"/>
        </w:rPr>
        <w:t>本节只报告最终EDCR系统在完整测试集上的绝对结果，不在主实验中重复引入基础模型。基线与外部开源方法的比较统一放入4.4节，结构与条件来源的作用统一放入4.5节。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74E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01CBEBA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2FC1DF1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2E0C0E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ESTOI↑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1E3DB1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SI-SDR/dB↑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0D982B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LSD↓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67152E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HF-LSD↓</w:t>
            </w:r>
          </w:p>
        </w:tc>
      </w:tr>
      <w:tr w14:paraId="4C07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4563AB5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EDCR-Predicted-0.75</w:t>
            </w:r>
          </w:p>
        </w:tc>
        <w:tc>
          <w:tcPr>
            <w:tcW w:w="1512" w:type="dxa"/>
            <w:vAlign w:val="center"/>
          </w:tcPr>
          <w:p w14:paraId="5C131A8B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0.7322</w:t>
            </w:r>
          </w:p>
        </w:tc>
        <w:tc>
          <w:tcPr>
            <w:tcW w:w="1512" w:type="dxa"/>
            <w:vAlign w:val="center"/>
          </w:tcPr>
          <w:p w14:paraId="51220B2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0.6438</w:t>
            </w:r>
          </w:p>
        </w:tc>
        <w:tc>
          <w:tcPr>
            <w:tcW w:w="1512" w:type="dxa"/>
            <w:vAlign w:val="center"/>
          </w:tcPr>
          <w:p w14:paraId="51B2CED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17.1868</w:t>
            </w:r>
          </w:p>
        </w:tc>
        <w:tc>
          <w:tcPr>
            <w:tcW w:w="1512" w:type="dxa"/>
            <w:vAlign w:val="center"/>
          </w:tcPr>
          <w:p w14:paraId="4020C7F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11.4176</w:t>
            </w:r>
          </w:p>
        </w:tc>
        <w:tc>
          <w:tcPr>
            <w:tcW w:w="1512" w:type="dxa"/>
            <w:vAlign w:val="center"/>
          </w:tcPr>
          <w:p w14:paraId="4A54F22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11.5111</w:t>
            </w:r>
          </w:p>
        </w:tc>
      </w:tr>
    </w:tbl>
    <w:p w14:paraId="090CEC4A">
      <w:pPr>
        <w:pStyle w:val="169"/>
      </w:pPr>
      <w:r>
        <w:t>表4-4 EDCR最终系统在完整测试集上的绝对性能</w:t>
      </w:r>
    </w:p>
    <w:p w14:paraId="4320D681">
      <w:r>
        <w:rPr>
          <w:b w:val="0"/>
        </w:rPr>
        <w:t>EDCR在完整测试集上的STOI和ESTOI分别为0.7322和0.6438，SI-SDR为17.1868 dB，LSD和HF-LSD分别为11.4176和11.5111。该结果给出了最终系统在统一测试口径下的性能水平，为后续横向比较、消融分析和统计检验提供固定参照。</w:t>
      </w:r>
    </w:p>
    <w:p w14:paraId="3C39EF14">
      <w:pPr>
        <w:pStyle w:val="5"/>
      </w:pPr>
      <w:r>
        <w:t>4.3.2 不同退化强度下的系统表现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8EF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0ADAA27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退化强度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1FB0AD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140E7C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ESTOI↑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F95BDF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SI-SDR/dB↑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8302A7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LSD↓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CB81F6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HF-LSD↓</w:t>
            </w:r>
          </w:p>
        </w:tc>
      </w:tr>
      <w:tr w14:paraId="3C6F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18DD518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clean</w:t>
            </w:r>
          </w:p>
        </w:tc>
        <w:tc>
          <w:tcPr>
            <w:tcW w:w="1512" w:type="dxa"/>
            <w:vAlign w:val="center"/>
          </w:tcPr>
          <w:p w14:paraId="7AE13A50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0.8769</w:t>
            </w:r>
          </w:p>
        </w:tc>
        <w:tc>
          <w:tcPr>
            <w:tcW w:w="1512" w:type="dxa"/>
            <w:vAlign w:val="center"/>
          </w:tcPr>
          <w:p w14:paraId="0113EC6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0.8345</w:t>
            </w:r>
          </w:p>
        </w:tc>
        <w:tc>
          <w:tcPr>
            <w:tcW w:w="1512" w:type="dxa"/>
            <w:vAlign w:val="center"/>
          </w:tcPr>
          <w:p w14:paraId="617ACF1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19.6872</w:t>
            </w:r>
          </w:p>
        </w:tc>
        <w:tc>
          <w:tcPr>
            <w:tcW w:w="1512" w:type="dxa"/>
            <w:vAlign w:val="center"/>
          </w:tcPr>
          <w:p w14:paraId="782AE67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7.6672</w:t>
            </w:r>
          </w:p>
        </w:tc>
        <w:tc>
          <w:tcPr>
            <w:tcW w:w="1512" w:type="dxa"/>
            <w:vAlign w:val="center"/>
          </w:tcPr>
          <w:p w14:paraId="27F7FBE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6.6157</w:t>
            </w:r>
          </w:p>
        </w:tc>
      </w:tr>
      <w:tr w14:paraId="45D3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3EFF30B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light</w:t>
            </w:r>
          </w:p>
        </w:tc>
        <w:tc>
          <w:tcPr>
            <w:tcW w:w="1512" w:type="dxa"/>
            <w:vAlign w:val="center"/>
          </w:tcPr>
          <w:p w14:paraId="325082A1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0.7915</w:t>
            </w:r>
          </w:p>
        </w:tc>
        <w:tc>
          <w:tcPr>
            <w:tcW w:w="1512" w:type="dxa"/>
            <w:vAlign w:val="center"/>
          </w:tcPr>
          <w:p w14:paraId="3E03B4C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0.7129</w:t>
            </w:r>
          </w:p>
        </w:tc>
        <w:tc>
          <w:tcPr>
            <w:tcW w:w="1512" w:type="dxa"/>
            <w:vAlign w:val="center"/>
          </w:tcPr>
          <w:p w14:paraId="2ECA133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18.1414</w:t>
            </w:r>
          </w:p>
        </w:tc>
        <w:tc>
          <w:tcPr>
            <w:tcW w:w="1512" w:type="dxa"/>
            <w:vAlign w:val="center"/>
          </w:tcPr>
          <w:p w14:paraId="51228FA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11.1740</w:t>
            </w:r>
          </w:p>
        </w:tc>
        <w:tc>
          <w:tcPr>
            <w:tcW w:w="1512" w:type="dxa"/>
            <w:vAlign w:val="center"/>
          </w:tcPr>
          <w:p w14:paraId="48B27D3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11.5113</w:t>
            </w:r>
          </w:p>
        </w:tc>
      </w:tr>
      <w:tr w14:paraId="0CB8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2DC97A6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w="1512" w:type="dxa"/>
            <w:vAlign w:val="center"/>
          </w:tcPr>
          <w:p w14:paraId="4FE15B2F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0.6669</w:t>
            </w:r>
          </w:p>
        </w:tc>
        <w:tc>
          <w:tcPr>
            <w:tcW w:w="1512" w:type="dxa"/>
            <w:vAlign w:val="center"/>
          </w:tcPr>
          <w:p w14:paraId="22F860F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0.5641</w:t>
            </w:r>
          </w:p>
        </w:tc>
        <w:tc>
          <w:tcPr>
            <w:tcW w:w="1512" w:type="dxa"/>
            <w:vAlign w:val="center"/>
          </w:tcPr>
          <w:p w14:paraId="62D02AD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16.9170</w:t>
            </w:r>
          </w:p>
        </w:tc>
        <w:tc>
          <w:tcPr>
            <w:tcW w:w="1512" w:type="dxa"/>
            <w:vAlign w:val="center"/>
          </w:tcPr>
          <w:p w14:paraId="0B3B100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13.1253</w:t>
            </w:r>
          </w:p>
        </w:tc>
        <w:tc>
          <w:tcPr>
            <w:tcW w:w="1512" w:type="dxa"/>
            <w:vAlign w:val="center"/>
          </w:tcPr>
          <w:p w14:paraId="291305F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13.8277</w:t>
            </w:r>
          </w:p>
        </w:tc>
      </w:tr>
      <w:tr w14:paraId="5166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5C3B9F2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heavy</w:t>
            </w:r>
          </w:p>
        </w:tc>
        <w:tc>
          <w:tcPr>
            <w:tcW w:w="1512" w:type="dxa"/>
            <w:vAlign w:val="center"/>
          </w:tcPr>
          <w:p w14:paraId="719C3DBF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0.5935</w:t>
            </w:r>
          </w:p>
        </w:tc>
        <w:tc>
          <w:tcPr>
            <w:tcW w:w="1512" w:type="dxa"/>
            <w:vAlign w:val="center"/>
          </w:tcPr>
          <w:p w14:paraId="08D0648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0.4638</w:t>
            </w:r>
          </w:p>
        </w:tc>
        <w:tc>
          <w:tcPr>
            <w:tcW w:w="1512" w:type="dxa"/>
            <w:vAlign w:val="center"/>
          </w:tcPr>
          <w:p w14:paraId="0EAD00A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14.0016</w:t>
            </w:r>
          </w:p>
        </w:tc>
        <w:tc>
          <w:tcPr>
            <w:tcW w:w="1512" w:type="dxa"/>
            <w:vAlign w:val="center"/>
          </w:tcPr>
          <w:p w14:paraId="2245892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13.7039</w:t>
            </w:r>
          </w:p>
        </w:tc>
        <w:tc>
          <w:tcPr>
            <w:tcW w:w="1512" w:type="dxa"/>
            <w:vAlign w:val="center"/>
          </w:tcPr>
          <w:p w14:paraId="15C7203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14.0896</w:t>
            </w:r>
          </w:p>
        </w:tc>
      </w:tr>
    </w:tbl>
    <w:p w14:paraId="72BEBEFA">
      <w:pPr>
        <w:pStyle w:val="169"/>
      </w:pPr>
      <w:r>
        <w:t>表4-5 EDCR在不同退化强度下的绝对性能</w:t>
      </w:r>
    </w:p>
    <w:p w14:paraId="07D74256">
      <w:r>
        <w:rPr>
          <w:b w:val="0"/>
        </w:rPr>
        <w:t>从绝对结果看，随着退化强度增加，STOI、ESTOI和SI-SDR整体下降，说明语音内容恢复难度持续增大。clean组具有最高的可懂度和时域一致性，同时LSD与HF-LSD最低；light组仍保持较好的可懂度，但高频频谱距离明显高于clean组。medium与heavy组的SI-SDR分别为16.9170 dB和14.0016 dB，频谱距离进一步增大，表明复杂退化条件下仍存在恢复上限。</w:t>
      </w:r>
    </w:p>
    <w:p w14:paraId="28E93008">
      <w:r>
        <w:rPr>
          <w:b w:val="0"/>
        </w:rPr>
        <w:t>主实验能够支持的直接结论是：最终系统在四种退化强度下均能稳定输出，频谱保真度和时域重建随退化程度呈连续变化；对方法相对于其他模型的优势判断，需要结合4.4节的横向对比，而不能由本节绝对数值单独推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DE9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2DE99D6A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【图4-3 待重绘：EDCR在不同退化强度下的绝对性能】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建议绘制3个并列子图：①STOI与ESTOI；②SI-SDR；③LSD与HF-LSD。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仅展示EDCR的clean/light/medium/heavy结果，不出现GTCRN或其他方法。</w:t>
            </w:r>
          </w:p>
        </w:tc>
      </w:tr>
    </w:tbl>
    <w:p w14:paraId="793633B0"/>
    <w:p w14:paraId="083489F3">
      <w:pPr>
        <w:pStyle w:val="4"/>
      </w:pPr>
      <w:r>
        <w:t>4.4 横向对比实验</w:t>
      </w:r>
    </w:p>
    <w:p w14:paraId="65C38AB8">
      <w:pPr>
        <w:pStyle w:val="5"/>
      </w:pPr>
      <w:r>
        <w:t>4.4.1 完整测试集上的增量性能比较</w:t>
      </w:r>
    </w:p>
    <w:p w14:paraId="1E9D97CD">
      <w:r>
        <w:rPr>
          <w:b w:val="0"/>
        </w:rPr>
        <w:t>完整17,656条测试样本目前仅具有GTCRN与EDCR的统一总体结果，因此本小节用于说明增量模块对既有增强系统的影响，不与缺少总体结果的外部模型进行不完整拼接。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862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0E4E259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3EDE37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FA80DB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ESTOI↑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068243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SI-SDR/dB↑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2B1C98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LSD↓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8F1AD4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HF-LSD↓</w:t>
            </w:r>
          </w:p>
        </w:tc>
      </w:tr>
      <w:tr w14:paraId="5538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2A8AC6E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GTCRN</w:t>
            </w:r>
          </w:p>
        </w:tc>
        <w:tc>
          <w:tcPr>
            <w:tcW w:w="1512" w:type="dxa"/>
            <w:vAlign w:val="center"/>
          </w:tcPr>
          <w:p w14:paraId="5865FC0B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0.7332</w:t>
            </w:r>
          </w:p>
        </w:tc>
        <w:tc>
          <w:tcPr>
            <w:tcW w:w="1512" w:type="dxa"/>
            <w:vAlign w:val="center"/>
          </w:tcPr>
          <w:p w14:paraId="798C386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0.6481</w:t>
            </w:r>
          </w:p>
        </w:tc>
        <w:tc>
          <w:tcPr>
            <w:tcW w:w="1512" w:type="dxa"/>
            <w:vAlign w:val="center"/>
          </w:tcPr>
          <w:p w14:paraId="2994F3A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17.0708</w:t>
            </w:r>
          </w:p>
        </w:tc>
        <w:tc>
          <w:tcPr>
            <w:tcW w:w="1512" w:type="dxa"/>
            <w:vAlign w:val="center"/>
          </w:tcPr>
          <w:p w14:paraId="2E2FCE5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13.3223</w:t>
            </w:r>
          </w:p>
        </w:tc>
        <w:tc>
          <w:tcPr>
            <w:tcW w:w="1512" w:type="dxa"/>
            <w:vAlign w:val="center"/>
          </w:tcPr>
          <w:p w14:paraId="6BB08CA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14.0701</w:t>
            </w:r>
          </w:p>
        </w:tc>
      </w:tr>
      <w:tr w14:paraId="10CA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3090F60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EDCR-Predicted-0.75</w:t>
            </w:r>
          </w:p>
        </w:tc>
        <w:tc>
          <w:tcPr>
            <w:tcW w:w="1512" w:type="dxa"/>
            <w:vAlign w:val="center"/>
          </w:tcPr>
          <w:p w14:paraId="3164592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0.7322</w:t>
            </w:r>
          </w:p>
        </w:tc>
        <w:tc>
          <w:tcPr>
            <w:tcW w:w="1512" w:type="dxa"/>
            <w:vAlign w:val="center"/>
          </w:tcPr>
          <w:p w14:paraId="3F2884D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0.6438</w:t>
            </w:r>
          </w:p>
        </w:tc>
        <w:tc>
          <w:tcPr>
            <w:tcW w:w="1512" w:type="dxa"/>
            <w:vAlign w:val="center"/>
          </w:tcPr>
          <w:p w14:paraId="1055F91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17.1868</w:t>
            </w:r>
          </w:p>
        </w:tc>
        <w:tc>
          <w:tcPr>
            <w:tcW w:w="1512" w:type="dxa"/>
            <w:vAlign w:val="center"/>
          </w:tcPr>
          <w:p w14:paraId="6558808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11.4176</w:t>
            </w:r>
          </w:p>
        </w:tc>
        <w:tc>
          <w:tcPr>
            <w:tcW w:w="1512" w:type="dxa"/>
            <w:vAlign w:val="center"/>
          </w:tcPr>
          <w:p w14:paraId="6E43FF2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11.5111</w:t>
            </w:r>
          </w:p>
        </w:tc>
      </w:tr>
    </w:tbl>
    <w:p w14:paraId="6D8783BF">
      <w:pPr>
        <w:pStyle w:val="169"/>
      </w:pPr>
      <w:r>
        <w:t>表4-6 GTCRN与EDCR在完整测试集上的统一比较</w:t>
      </w:r>
    </w:p>
    <w:p w14:paraId="6F054B6F">
      <w:r>
        <w:rPr>
          <w:b w:val="0"/>
        </w:rPr>
        <w:t>相较GTCRN，EDCR的STOI和ESTOI分别下降0.0011和0.0043，SI-SDR提高0.1160 dB；LSD和HF-LSD分别降低1.9047和2.5590，对应下降14.30%和18.19%。因此，增量残差细化的主要收益体现在时域一致性和频谱保真度，可懂度指标存在小幅代价。该结果不支持“五项指标全面提升”的表述。</w:t>
      </w:r>
    </w:p>
    <w:p w14:paraId="36203927">
      <w:r>
        <w:br w:type="page"/>
      </w:r>
    </w:p>
    <w:p w14:paraId="48534FBE">
      <w:pPr>
        <w:pStyle w:val="5"/>
      </w:pPr>
      <w:r>
        <w:t>4.4.2 不同退化强度下的开源模型比较</w:t>
      </w:r>
    </w:p>
    <w:p w14:paraId="4E571FB7">
      <w:r>
        <w:rPr>
          <w:b w:val="0"/>
        </w:rPr>
        <w:t>为考察不同技术路线在复合退化条件下的表现，本节比较GTCRN、EDCR、FullSubNet+和MP-SENet-VB。表中结果来自独立对比实验工作簿，只用于相同对比口径内的横向判断。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166C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C8A29A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强度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6DD83A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方法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AC66A5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PESQ↑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4081A4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STOI↑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80B10D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ESTOI↑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61115F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SI-SDR/dB↑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153FF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LSD↓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0DC4E1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HF-LSD↓</w:t>
            </w:r>
          </w:p>
        </w:tc>
      </w:tr>
      <w:tr w14:paraId="095A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8462DB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light</w:t>
            </w:r>
          </w:p>
        </w:tc>
        <w:tc>
          <w:tcPr>
            <w:tcW w:w="1134" w:type="dxa"/>
            <w:vAlign w:val="center"/>
          </w:tcPr>
          <w:p w14:paraId="24D6CDB0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GTCRN</w:t>
            </w:r>
          </w:p>
        </w:tc>
        <w:tc>
          <w:tcPr>
            <w:tcW w:w="1134" w:type="dxa"/>
            <w:vAlign w:val="center"/>
          </w:tcPr>
          <w:p w14:paraId="47A890F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3.5880</w:t>
            </w:r>
          </w:p>
        </w:tc>
        <w:tc>
          <w:tcPr>
            <w:tcW w:w="1134" w:type="dxa"/>
            <w:vAlign w:val="center"/>
          </w:tcPr>
          <w:p w14:paraId="382357E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0.8949</w:t>
            </w:r>
          </w:p>
        </w:tc>
        <w:tc>
          <w:tcPr>
            <w:tcW w:w="1134" w:type="dxa"/>
            <w:vAlign w:val="center"/>
          </w:tcPr>
          <w:p w14:paraId="116EE83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0.8485</w:t>
            </w:r>
          </w:p>
        </w:tc>
        <w:tc>
          <w:tcPr>
            <w:tcW w:w="1134" w:type="dxa"/>
            <w:vAlign w:val="center"/>
          </w:tcPr>
          <w:p w14:paraId="216E991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21.2241</w:t>
            </w:r>
          </w:p>
        </w:tc>
        <w:tc>
          <w:tcPr>
            <w:tcW w:w="1134" w:type="dxa"/>
            <w:vAlign w:val="center"/>
          </w:tcPr>
          <w:p w14:paraId="500C427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13.8315</w:t>
            </w:r>
          </w:p>
        </w:tc>
        <w:tc>
          <w:tcPr>
            <w:tcW w:w="1134" w:type="dxa"/>
            <w:vAlign w:val="center"/>
          </w:tcPr>
          <w:p w14:paraId="31037E1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16.2661</w:t>
            </w:r>
          </w:p>
        </w:tc>
      </w:tr>
      <w:tr w14:paraId="26F8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3B5269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light</w:t>
            </w:r>
          </w:p>
        </w:tc>
        <w:tc>
          <w:tcPr>
            <w:tcW w:w="1134" w:type="dxa"/>
            <w:vAlign w:val="center"/>
          </w:tcPr>
          <w:p w14:paraId="55F5AA4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EDCR-Predicted-0.75</w:t>
            </w:r>
          </w:p>
        </w:tc>
        <w:tc>
          <w:tcPr>
            <w:tcW w:w="1134" w:type="dxa"/>
            <w:vAlign w:val="center"/>
          </w:tcPr>
          <w:p w14:paraId="1048694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3.5603</w:t>
            </w:r>
          </w:p>
        </w:tc>
        <w:tc>
          <w:tcPr>
            <w:tcW w:w="1134" w:type="dxa"/>
            <w:vAlign w:val="center"/>
          </w:tcPr>
          <w:p w14:paraId="7DDCDBD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0.8950</w:t>
            </w:r>
          </w:p>
        </w:tc>
        <w:tc>
          <w:tcPr>
            <w:tcW w:w="1134" w:type="dxa"/>
            <w:vAlign w:val="center"/>
          </w:tcPr>
          <w:p w14:paraId="2AB9C53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0.8485</w:t>
            </w:r>
          </w:p>
        </w:tc>
        <w:tc>
          <w:tcPr>
            <w:tcW w:w="1134" w:type="dxa"/>
            <w:vAlign w:val="center"/>
          </w:tcPr>
          <w:p w14:paraId="2F2874E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21.3783</w:t>
            </w:r>
          </w:p>
        </w:tc>
        <w:tc>
          <w:tcPr>
            <w:tcW w:w="1134" w:type="dxa"/>
            <w:vAlign w:val="center"/>
          </w:tcPr>
          <w:p w14:paraId="55B21D3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11.3026</w:t>
            </w:r>
          </w:p>
        </w:tc>
        <w:tc>
          <w:tcPr>
            <w:tcW w:w="1134" w:type="dxa"/>
            <w:vAlign w:val="center"/>
          </w:tcPr>
          <w:p w14:paraId="0CBB94F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12.5669</w:t>
            </w:r>
          </w:p>
        </w:tc>
      </w:tr>
      <w:tr w14:paraId="5E8D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83C25E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light</w:t>
            </w:r>
          </w:p>
        </w:tc>
        <w:tc>
          <w:tcPr>
            <w:tcW w:w="1134" w:type="dxa"/>
            <w:vAlign w:val="center"/>
          </w:tcPr>
          <w:p w14:paraId="09AFF8E8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FullSubNet+</w:t>
            </w:r>
          </w:p>
        </w:tc>
        <w:tc>
          <w:tcPr>
            <w:tcW w:w="1134" w:type="dxa"/>
            <w:vAlign w:val="center"/>
          </w:tcPr>
          <w:p w14:paraId="59886F0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3.5110</w:t>
            </w:r>
          </w:p>
        </w:tc>
        <w:tc>
          <w:tcPr>
            <w:tcW w:w="1134" w:type="dxa"/>
            <w:vAlign w:val="center"/>
          </w:tcPr>
          <w:p w14:paraId="049A158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0.9013</w:t>
            </w:r>
          </w:p>
        </w:tc>
        <w:tc>
          <w:tcPr>
            <w:tcW w:w="1134" w:type="dxa"/>
            <w:vAlign w:val="center"/>
          </w:tcPr>
          <w:p w14:paraId="79065A5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0.8526</w:t>
            </w:r>
          </w:p>
        </w:tc>
        <w:tc>
          <w:tcPr>
            <w:tcW w:w="1134" w:type="dxa"/>
            <w:vAlign w:val="center"/>
          </w:tcPr>
          <w:p w14:paraId="2E9EEA0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24.5368</w:t>
            </w:r>
          </w:p>
        </w:tc>
        <w:tc>
          <w:tcPr>
            <w:tcW w:w="1134" w:type="dxa"/>
            <w:vAlign w:val="center"/>
          </w:tcPr>
          <w:p w14:paraId="2C667B4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11.3573</w:t>
            </w:r>
          </w:p>
        </w:tc>
        <w:tc>
          <w:tcPr>
            <w:tcW w:w="1134" w:type="dxa"/>
            <w:vAlign w:val="center"/>
          </w:tcPr>
          <w:p w14:paraId="161600D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13.4430</w:t>
            </w:r>
          </w:p>
        </w:tc>
      </w:tr>
      <w:tr w14:paraId="30CA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C25A13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light</w:t>
            </w:r>
          </w:p>
        </w:tc>
        <w:tc>
          <w:tcPr>
            <w:tcW w:w="1134" w:type="dxa"/>
            <w:vAlign w:val="center"/>
          </w:tcPr>
          <w:p w14:paraId="12D6FB4D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MP-SENet-VB</w:t>
            </w:r>
          </w:p>
        </w:tc>
        <w:tc>
          <w:tcPr>
            <w:tcW w:w="1134" w:type="dxa"/>
            <w:vAlign w:val="center"/>
          </w:tcPr>
          <w:p w14:paraId="7D52241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3.4841</w:t>
            </w:r>
          </w:p>
        </w:tc>
        <w:tc>
          <w:tcPr>
            <w:tcW w:w="1134" w:type="dxa"/>
            <w:vAlign w:val="center"/>
          </w:tcPr>
          <w:p w14:paraId="3C9BC99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0.9145</w:t>
            </w:r>
          </w:p>
        </w:tc>
        <w:tc>
          <w:tcPr>
            <w:tcW w:w="1134" w:type="dxa"/>
            <w:vAlign w:val="center"/>
          </w:tcPr>
          <w:p w14:paraId="078014F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0.8684</w:t>
            </w:r>
          </w:p>
        </w:tc>
        <w:tc>
          <w:tcPr>
            <w:tcW w:w="1134" w:type="dxa"/>
            <w:vAlign w:val="center"/>
          </w:tcPr>
          <w:p w14:paraId="5295F00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24.8269</w:t>
            </w:r>
          </w:p>
        </w:tc>
        <w:tc>
          <w:tcPr>
            <w:tcW w:w="1134" w:type="dxa"/>
            <w:vAlign w:val="center"/>
          </w:tcPr>
          <w:p w14:paraId="0FAE971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11.6362</w:t>
            </w:r>
          </w:p>
        </w:tc>
        <w:tc>
          <w:tcPr>
            <w:tcW w:w="1134" w:type="dxa"/>
            <w:vAlign w:val="center"/>
          </w:tcPr>
          <w:p w14:paraId="1857C15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13.1604</w:t>
            </w:r>
          </w:p>
        </w:tc>
      </w:tr>
      <w:tr w14:paraId="1C7E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300A1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medium</w:t>
            </w:r>
          </w:p>
        </w:tc>
        <w:tc>
          <w:tcPr>
            <w:tcW w:w="1134" w:type="dxa"/>
            <w:vAlign w:val="center"/>
          </w:tcPr>
          <w:p w14:paraId="7ED1F14B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GTCRN</w:t>
            </w:r>
          </w:p>
        </w:tc>
        <w:tc>
          <w:tcPr>
            <w:tcW w:w="1134" w:type="dxa"/>
            <w:vAlign w:val="center"/>
          </w:tcPr>
          <w:p w14:paraId="6803594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2.4986</w:t>
            </w:r>
          </w:p>
        </w:tc>
        <w:tc>
          <w:tcPr>
            <w:tcW w:w="1134" w:type="dxa"/>
            <w:vAlign w:val="center"/>
          </w:tcPr>
          <w:p w14:paraId="2D7405D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0.8155</w:t>
            </w:r>
          </w:p>
        </w:tc>
        <w:tc>
          <w:tcPr>
            <w:tcW w:w="1134" w:type="dxa"/>
            <w:vAlign w:val="center"/>
          </w:tcPr>
          <w:p w14:paraId="3E62B22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0.6933</w:t>
            </w:r>
          </w:p>
        </w:tc>
        <w:tc>
          <w:tcPr>
            <w:tcW w:w="1134" w:type="dxa"/>
            <w:vAlign w:val="center"/>
          </w:tcPr>
          <w:p w14:paraId="59ED7A2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17.6917</w:t>
            </w:r>
          </w:p>
        </w:tc>
        <w:tc>
          <w:tcPr>
            <w:tcW w:w="1134" w:type="dxa"/>
            <w:vAlign w:val="center"/>
          </w:tcPr>
          <w:p w14:paraId="5B712AF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14.1028</w:t>
            </w:r>
          </w:p>
        </w:tc>
        <w:tc>
          <w:tcPr>
            <w:tcW w:w="1134" w:type="dxa"/>
            <w:vAlign w:val="center"/>
          </w:tcPr>
          <w:p w14:paraId="7B4137D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15.5295</w:t>
            </w:r>
          </w:p>
        </w:tc>
      </w:tr>
      <w:tr w14:paraId="14B8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86012C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medium</w:t>
            </w:r>
          </w:p>
        </w:tc>
        <w:tc>
          <w:tcPr>
            <w:tcW w:w="1134" w:type="dxa"/>
            <w:vAlign w:val="center"/>
          </w:tcPr>
          <w:p w14:paraId="710866F4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EDCR-Predicted-0.75</w:t>
            </w:r>
          </w:p>
        </w:tc>
        <w:tc>
          <w:tcPr>
            <w:tcW w:w="1134" w:type="dxa"/>
            <w:vAlign w:val="center"/>
          </w:tcPr>
          <w:p w14:paraId="40BD175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2.5055</w:t>
            </w:r>
          </w:p>
        </w:tc>
        <w:tc>
          <w:tcPr>
            <w:tcW w:w="1134" w:type="dxa"/>
            <w:vAlign w:val="center"/>
          </w:tcPr>
          <w:p w14:paraId="47799D2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0.8158</w:t>
            </w:r>
          </w:p>
        </w:tc>
        <w:tc>
          <w:tcPr>
            <w:tcW w:w="1134" w:type="dxa"/>
            <w:vAlign w:val="center"/>
          </w:tcPr>
          <w:p w14:paraId="2E0686B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0.6931</w:t>
            </w:r>
          </w:p>
        </w:tc>
        <w:tc>
          <w:tcPr>
            <w:tcW w:w="1134" w:type="dxa"/>
            <w:vAlign w:val="center"/>
          </w:tcPr>
          <w:p w14:paraId="68531FE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17.8331</w:t>
            </w:r>
          </w:p>
        </w:tc>
        <w:tc>
          <w:tcPr>
            <w:tcW w:w="1134" w:type="dxa"/>
            <w:vAlign w:val="center"/>
          </w:tcPr>
          <w:p w14:paraId="66BA1D3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14.3021</w:t>
            </w:r>
          </w:p>
        </w:tc>
        <w:tc>
          <w:tcPr>
            <w:tcW w:w="1134" w:type="dxa"/>
            <w:vAlign w:val="center"/>
          </w:tcPr>
          <w:p w14:paraId="4720B8A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15.4229</w:t>
            </w:r>
          </w:p>
        </w:tc>
      </w:tr>
      <w:tr w14:paraId="009D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CEDAC5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medium</w:t>
            </w:r>
          </w:p>
        </w:tc>
        <w:tc>
          <w:tcPr>
            <w:tcW w:w="1134" w:type="dxa"/>
            <w:vAlign w:val="center"/>
          </w:tcPr>
          <w:p w14:paraId="47ABF04A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FullSubNet+</w:t>
            </w:r>
          </w:p>
        </w:tc>
        <w:tc>
          <w:tcPr>
            <w:tcW w:w="1134" w:type="dxa"/>
            <w:vAlign w:val="center"/>
          </w:tcPr>
          <w:p w14:paraId="6A5C6CF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2.3325</w:t>
            </w:r>
          </w:p>
        </w:tc>
        <w:tc>
          <w:tcPr>
            <w:tcW w:w="1134" w:type="dxa"/>
            <w:vAlign w:val="center"/>
          </w:tcPr>
          <w:p w14:paraId="180F8C2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0.8202</w:t>
            </w:r>
          </w:p>
        </w:tc>
        <w:tc>
          <w:tcPr>
            <w:tcW w:w="1134" w:type="dxa"/>
            <w:vAlign w:val="center"/>
          </w:tcPr>
          <w:p w14:paraId="20A6598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0.7328</w:t>
            </w:r>
          </w:p>
        </w:tc>
        <w:tc>
          <w:tcPr>
            <w:tcW w:w="1134" w:type="dxa"/>
            <w:vAlign w:val="center"/>
          </w:tcPr>
          <w:p w14:paraId="0990587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17.8714</w:t>
            </w:r>
          </w:p>
        </w:tc>
        <w:tc>
          <w:tcPr>
            <w:tcW w:w="1134" w:type="dxa"/>
            <w:vAlign w:val="center"/>
          </w:tcPr>
          <w:p w14:paraId="3BF77B3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14.7061</w:t>
            </w:r>
          </w:p>
        </w:tc>
        <w:tc>
          <w:tcPr>
            <w:tcW w:w="1134" w:type="dxa"/>
            <w:vAlign w:val="center"/>
          </w:tcPr>
          <w:p w14:paraId="5296D49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17.1030</w:t>
            </w:r>
          </w:p>
        </w:tc>
      </w:tr>
      <w:tr w14:paraId="5A19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DC1385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medium</w:t>
            </w:r>
          </w:p>
        </w:tc>
        <w:tc>
          <w:tcPr>
            <w:tcW w:w="1134" w:type="dxa"/>
            <w:vAlign w:val="center"/>
          </w:tcPr>
          <w:p w14:paraId="147ABF2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MP-SENet-VB</w:t>
            </w:r>
          </w:p>
        </w:tc>
        <w:tc>
          <w:tcPr>
            <w:tcW w:w="1134" w:type="dxa"/>
            <w:vAlign w:val="center"/>
          </w:tcPr>
          <w:p w14:paraId="2255CCD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2.1943</w:t>
            </w:r>
          </w:p>
        </w:tc>
        <w:tc>
          <w:tcPr>
            <w:tcW w:w="1134" w:type="dxa"/>
            <w:vAlign w:val="center"/>
          </w:tcPr>
          <w:p w14:paraId="1E15AD0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0.8157</w:t>
            </w:r>
          </w:p>
        </w:tc>
        <w:tc>
          <w:tcPr>
            <w:tcW w:w="1134" w:type="dxa"/>
            <w:vAlign w:val="center"/>
          </w:tcPr>
          <w:p w14:paraId="52C9830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0.7066</w:t>
            </w:r>
          </w:p>
        </w:tc>
        <w:tc>
          <w:tcPr>
            <w:tcW w:w="1134" w:type="dxa"/>
            <w:vAlign w:val="center"/>
          </w:tcPr>
          <w:p w14:paraId="22D3B42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17.9032</w:t>
            </w:r>
          </w:p>
        </w:tc>
        <w:tc>
          <w:tcPr>
            <w:tcW w:w="1134" w:type="dxa"/>
            <w:vAlign w:val="center"/>
          </w:tcPr>
          <w:p w14:paraId="3A57FCA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16.0468</w:t>
            </w:r>
          </w:p>
        </w:tc>
        <w:tc>
          <w:tcPr>
            <w:tcW w:w="1134" w:type="dxa"/>
            <w:vAlign w:val="center"/>
          </w:tcPr>
          <w:p w14:paraId="66922CD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17.8788</w:t>
            </w:r>
          </w:p>
        </w:tc>
      </w:tr>
      <w:tr w14:paraId="434A5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562BE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heavy</w:t>
            </w:r>
          </w:p>
        </w:tc>
        <w:tc>
          <w:tcPr>
            <w:tcW w:w="1134" w:type="dxa"/>
            <w:vAlign w:val="center"/>
          </w:tcPr>
          <w:p w14:paraId="2BB275A8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GTCRN</w:t>
            </w:r>
          </w:p>
        </w:tc>
        <w:tc>
          <w:tcPr>
            <w:tcW w:w="1134" w:type="dxa"/>
            <w:vAlign w:val="center"/>
          </w:tcPr>
          <w:p w14:paraId="2AA9898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1.8279</w:t>
            </w:r>
          </w:p>
        </w:tc>
        <w:tc>
          <w:tcPr>
            <w:tcW w:w="1134" w:type="dxa"/>
            <w:vAlign w:val="center"/>
          </w:tcPr>
          <w:p w14:paraId="4E9DD6F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0.7538</w:t>
            </w:r>
          </w:p>
        </w:tc>
        <w:tc>
          <w:tcPr>
            <w:tcW w:w="1134" w:type="dxa"/>
            <w:vAlign w:val="center"/>
          </w:tcPr>
          <w:p w14:paraId="5439648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0.5962</w:t>
            </w:r>
          </w:p>
        </w:tc>
        <w:tc>
          <w:tcPr>
            <w:tcW w:w="1134" w:type="dxa"/>
            <w:vAlign w:val="center"/>
          </w:tcPr>
          <w:p w14:paraId="6C6437E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14.5724</w:t>
            </w:r>
          </w:p>
        </w:tc>
        <w:tc>
          <w:tcPr>
            <w:tcW w:w="1134" w:type="dxa"/>
            <w:vAlign w:val="center"/>
          </w:tcPr>
          <w:p w14:paraId="2BAAE90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14.6061</w:t>
            </w:r>
          </w:p>
        </w:tc>
        <w:tc>
          <w:tcPr>
            <w:tcW w:w="1134" w:type="dxa"/>
            <w:vAlign w:val="center"/>
          </w:tcPr>
          <w:p w14:paraId="7B8D6A7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15.3104</w:t>
            </w:r>
          </w:p>
        </w:tc>
      </w:tr>
      <w:tr w14:paraId="1093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C1A6ED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heavy</w:t>
            </w:r>
          </w:p>
        </w:tc>
        <w:tc>
          <w:tcPr>
            <w:tcW w:w="1134" w:type="dxa"/>
            <w:vAlign w:val="center"/>
          </w:tcPr>
          <w:p w14:paraId="605C2CA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EDCR-Predicted-0.75</w:t>
            </w:r>
          </w:p>
        </w:tc>
        <w:tc>
          <w:tcPr>
            <w:tcW w:w="1134" w:type="dxa"/>
            <w:vAlign w:val="center"/>
          </w:tcPr>
          <w:p w14:paraId="496BFB0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1.8295</w:t>
            </w:r>
          </w:p>
        </w:tc>
        <w:tc>
          <w:tcPr>
            <w:tcW w:w="1134" w:type="dxa"/>
            <w:vAlign w:val="center"/>
          </w:tcPr>
          <w:p w14:paraId="2B4DA26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0.7539</w:t>
            </w:r>
          </w:p>
        </w:tc>
        <w:tc>
          <w:tcPr>
            <w:tcW w:w="1134" w:type="dxa"/>
            <w:vAlign w:val="center"/>
          </w:tcPr>
          <w:p w14:paraId="28BD7AF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0.5957</w:t>
            </w:r>
          </w:p>
        </w:tc>
        <w:tc>
          <w:tcPr>
            <w:tcW w:w="1134" w:type="dxa"/>
            <w:vAlign w:val="center"/>
          </w:tcPr>
          <w:p w14:paraId="30943BC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14.6185</w:t>
            </w:r>
          </w:p>
        </w:tc>
        <w:tc>
          <w:tcPr>
            <w:tcW w:w="1134" w:type="dxa"/>
            <w:vAlign w:val="center"/>
          </w:tcPr>
          <w:p w14:paraId="48D4C3C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14.6009</w:t>
            </w:r>
          </w:p>
        </w:tc>
        <w:tc>
          <w:tcPr>
            <w:tcW w:w="1134" w:type="dxa"/>
            <w:vAlign w:val="center"/>
          </w:tcPr>
          <w:p w14:paraId="05252F3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15.2969</w:t>
            </w:r>
          </w:p>
        </w:tc>
      </w:tr>
      <w:tr w14:paraId="4F5C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BDB747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heavy</w:t>
            </w:r>
          </w:p>
        </w:tc>
        <w:tc>
          <w:tcPr>
            <w:tcW w:w="1134" w:type="dxa"/>
            <w:vAlign w:val="center"/>
          </w:tcPr>
          <w:p w14:paraId="657501BF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FullSubNet+</w:t>
            </w:r>
          </w:p>
        </w:tc>
        <w:tc>
          <w:tcPr>
            <w:tcW w:w="1134" w:type="dxa"/>
            <w:vAlign w:val="center"/>
          </w:tcPr>
          <w:p w14:paraId="39082CB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1.8169</w:t>
            </w:r>
          </w:p>
        </w:tc>
        <w:tc>
          <w:tcPr>
            <w:tcW w:w="1134" w:type="dxa"/>
            <w:vAlign w:val="center"/>
          </w:tcPr>
          <w:p w14:paraId="31A292E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0.7579</w:t>
            </w:r>
          </w:p>
        </w:tc>
        <w:tc>
          <w:tcPr>
            <w:tcW w:w="1134" w:type="dxa"/>
            <w:vAlign w:val="center"/>
          </w:tcPr>
          <w:p w14:paraId="33323DE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0.6077</w:t>
            </w:r>
          </w:p>
        </w:tc>
        <w:tc>
          <w:tcPr>
            <w:tcW w:w="1134" w:type="dxa"/>
            <w:vAlign w:val="center"/>
          </w:tcPr>
          <w:p w14:paraId="535A745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14.5914</w:t>
            </w:r>
          </w:p>
        </w:tc>
        <w:tc>
          <w:tcPr>
            <w:tcW w:w="1134" w:type="dxa"/>
            <w:vAlign w:val="center"/>
          </w:tcPr>
          <w:p w14:paraId="057CED8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16.6136</w:t>
            </w:r>
          </w:p>
        </w:tc>
        <w:tc>
          <w:tcPr>
            <w:tcW w:w="1134" w:type="dxa"/>
            <w:vAlign w:val="center"/>
          </w:tcPr>
          <w:p w14:paraId="1D3DE35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18.7299</w:t>
            </w:r>
          </w:p>
        </w:tc>
      </w:tr>
      <w:tr w14:paraId="461F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988DF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heavy</w:t>
            </w:r>
          </w:p>
        </w:tc>
        <w:tc>
          <w:tcPr>
            <w:tcW w:w="1134" w:type="dxa"/>
            <w:vAlign w:val="center"/>
          </w:tcPr>
          <w:p w14:paraId="34E4707F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MP-SENet-VB</w:t>
            </w:r>
          </w:p>
        </w:tc>
        <w:tc>
          <w:tcPr>
            <w:tcW w:w="1134" w:type="dxa"/>
            <w:vAlign w:val="center"/>
          </w:tcPr>
          <w:p w14:paraId="4190E13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1.5247</w:t>
            </w:r>
          </w:p>
        </w:tc>
        <w:tc>
          <w:tcPr>
            <w:tcW w:w="1134" w:type="dxa"/>
            <w:vAlign w:val="center"/>
          </w:tcPr>
          <w:p w14:paraId="6BC00FC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0.7564</w:t>
            </w:r>
          </w:p>
        </w:tc>
        <w:tc>
          <w:tcPr>
            <w:tcW w:w="1134" w:type="dxa"/>
            <w:vAlign w:val="center"/>
          </w:tcPr>
          <w:p w14:paraId="0D0A75D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0.5880</w:t>
            </w:r>
          </w:p>
        </w:tc>
        <w:tc>
          <w:tcPr>
            <w:tcW w:w="1134" w:type="dxa"/>
            <w:vAlign w:val="center"/>
          </w:tcPr>
          <w:p w14:paraId="76743CB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13.6179</w:t>
            </w:r>
          </w:p>
        </w:tc>
        <w:tc>
          <w:tcPr>
            <w:tcW w:w="1134" w:type="dxa"/>
            <w:vAlign w:val="center"/>
          </w:tcPr>
          <w:p w14:paraId="6AB0CD3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20.2446</w:t>
            </w:r>
          </w:p>
        </w:tc>
        <w:tc>
          <w:tcPr>
            <w:tcW w:w="1134" w:type="dxa"/>
            <w:vAlign w:val="center"/>
          </w:tcPr>
          <w:p w14:paraId="2C12267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21.9588</w:t>
            </w:r>
          </w:p>
        </w:tc>
      </w:tr>
    </w:tbl>
    <w:p w14:paraId="0C7ADB36">
      <w:pPr>
        <w:pStyle w:val="169"/>
      </w:pPr>
      <w:r>
        <w:t>表4-7 不同退化强度下四种开源模型的横向对比</w:t>
      </w:r>
    </w:p>
    <w:p w14:paraId="46BD4E00">
      <w:r>
        <w:rPr>
          <w:b w:val="0"/>
        </w:rPr>
        <w:t>在light条件下，MP-SENet-VB在STOI、ESTOI和SI-SDR上取得最高值，GTCRN的PESQ最高，EDCR在LSD和HF-LSD上最优。该结果说明幅相联合模型在可懂度和时域重建方面更具优势，而EDCR更侧重频谱距离控制。</w:t>
      </w:r>
    </w:p>
    <w:p w14:paraId="0D95A9E7">
      <w:r>
        <w:rPr>
          <w:b w:val="0"/>
        </w:rPr>
        <w:t>在medium条件下，FullSubNet+的STOI和ESTOI最高，MP-SENet-VB的SI-SDR最高，GTCRN的LSD最低，EDCR取得最高PESQ和最低HF-LSD。不同指标的最优方法并不一致，反映出中等退化下可懂度、时域重建和高频保真度之间存在明显权衡。</w:t>
      </w:r>
    </w:p>
    <w:p w14:paraId="1E2FC4FA">
      <w:r>
        <w:rPr>
          <w:b w:val="0"/>
        </w:rPr>
        <w:t>在heavy条件下，EDCR在PESQ、SI-SDR、LSD和HF-LSD上取得最优或略优结果，FullSubNet+在STOI和ESTOI上领先。综合来看，EDCR没有在所有指标上占优，但在重度退化下表现出较好的频谱与时域均衡性。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24E6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62D08806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【图4-4 待重绘：四种模型的感知与可懂度指标】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按light/medium/heavy分组绘制PESQ、STOI、ESTOI三个子图；每组包含GTCRN、EDCR、FullSubNet+、MP-SENet-VB。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图例名称与表4-7保持完全一致。</w:t>
            </w:r>
          </w:p>
        </w:tc>
      </w:tr>
    </w:tbl>
    <w:p w14:paraId="3AA9EFD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E0F8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24E5637C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【图4-5 待重绘：四种模型的时域与频谱指标】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绘制SI-SDR、LSD和HF-LSD三个并列子图。SI-SDR为升指标，LSD/HF-LSD为降指标，不要在同一纵轴混绘。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建议标注每个退化等级的最优值。</w:t>
            </w:r>
          </w:p>
        </w:tc>
      </w:tr>
    </w:tbl>
    <w:p w14:paraId="7F150B9D"/>
    <w:p w14:paraId="19B1B2F0">
      <w:pPr>
        <w:pStyle w:val="5"/>
      </w:pPr>
      <w:r>
        <w:t>4.4.3 模型规模与运行成本比较</w:t>
      </w:r>
    </w:p>
    <w:p w14:paraId="47EC9EBF">
      <w:r>
        <w:rPr>
          <w:b w:val="0"/>
        </w:rPr>
        <w:t>除增强质量外，专业通信系统还需要关注附加参数量和推理开销。当前仅完成GTCRN与EDCR的统一CPU测试；FullSubNet+与MP-SENet-VB尚缺少在相同硬件、相同语音长度和相同线程配置下的运行统计。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0D34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412B1E2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227E285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总参数量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703A8C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平均时间/s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396A7D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时间标准差/s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E9C56D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RTF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D46AFB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563E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69310B1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GTCRN</w:t>
            </w:r>
          </w:p>
        </w:tc>
        <w:tc>
          <w:tcPr>
            <w:tcW w:w="1512" w:type="dxa"/>
            <w:vAlign w:val="center"/>
          </w:tcPr>
          <w:p w14:paraId="3DA51E2A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48,245</w:t>
            </w:r>
          </w:p>
        </w:tc>
        <w:tc>
          <w:tcPr>
            <w:tcW w:w="1512" w:type="dxa"/>
            <w:vAlign w:val="center"/>
          </w:tcPr>
          <w:p w14:paraId="6A608CD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0.2298</w:t>
            </w:r>
          </w:p>
        </w:tc>
        <w:tc>
          <w:tcPr>
            <w:tcW w:w="1512" w:type="dxa"/>
            <w:vAlign w:val="center"/>
          </w:tcPr>
          <w:p w14:paraId="568AF93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0.0277</w:t>
            </w:r>
          </w:p>
        </w:tc>
        <w:tc>
          <w:tcPr>
            <w:tcW w:w="1512" w:type="dxa"/>
            <w:vAlign w:val="center"/>
          </w:tcPr>
          <w:p w14:paraId="03B4197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0.0393</w:t>
            </w:r>
          </w:p>
        </w:tc>
        <w:tc>
          <w:tcPr>
            <w:tcW w:w="1512" w:type="dxa"/>
            <w:vAlign w:val="center"/>
          </w:tcPr>
          <w:p w14:paraId="270AD40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33C9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2CB0C3F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EDCR</w:t>
            </w:r>
          </w:p>
        </w:tc>
        <w:tc>
          <w:tcPr>
            <w:tcW w:w="1512" w:type="dxa"/>
            <w:vAlign w:val="center"/>
          </w:tcPr>
          <w:p w14:paraId="4E3A818A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52,232</w:t>
            </w:r>
          </w:p>
        </w:tc>
        <w:tc>
          <w:tcPr>
            <w:tcW w:w="1512" w:type="dxa"/>
            <w:vAlign w:val="center"/>
          </w:tcPr>
          <w:p w14:paraId="292F5F4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0.2351</w:t>
            </w:r>
          </w:p>
        </w:tc>
        <w:tc>
          <w:tcPr>
            <w:tcW w:w="1512" w:type="dxa"/>
            <w:vAlign w:val="center"/>
          </w:tcPr>
          <w:p w14:paraId="13B0817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0.0115</w:t>
            </w:r>
          </w:p>
        </w:tc>
        <w:tc>
          <w:tcPr>
            <w:tcW w:w="1512" w:type="dxa"/>
            <w:vAlign w:val="center"/>
          </w:tcPr>
          <w:p w14:paraId="2EB34FD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0.0402</w:t>
            </w:r>
          </w:p>
        </w:tc>
        <w:tc>
          <w:tcPr>
            <w:tcW w:w="1512" w:type="dxa"/>
            <w:vAlign w:val="center"/>
          </w:tcPr>
          <w:p w14:paraId="5AE610C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1C3C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23E2C7B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FullSubNet+</w:t>
            </w:r>
          </w:p>
        </w:tc>
        <w:tc>
          <w:tcPr>
            <w:tcW w:w="1512" w:type="dxa"/>
            <w:vAlign w:val="center"/>
          </w:tcPr>
          <w:p w14:paraId="3BF92BD2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17FB8DD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6F35788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69F68E9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7B2B1B0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统一硬件重测</w:t>
            </w:r>
          </w:p>
        </w:tc>
      </w:tr>
      <w:tr w14:paraId="1962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6713559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MP-SENet-VB</w:t>
            </w:r>
          </w:p>
        </w:tc>
        <w:tc>
          <w:tcPr>
            <w:tcW w:w="1512" w:type="dxa"/>
            <w:vAlign w:val="center"/>
          </w:tcPr>
          <w:p w14:paraId="28D41175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75117D5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500B092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3EDDF1B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DC0000"/>
                <w:sz w:val="17"/>
              </w:rPr>
              <w:t>【待测】</w:t>
            </w:r>
          </w:p>
        </w:tc>
        <w:tc>
          <w:tcPr>
            <w:tcW w:w="1512" w:type="dxa"/>
            <w:vAlign w:val="center"/>
          </w:tcPr>
          <w:p w14:paraId="39E53DB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统一硬件重测</w:t>
            </w:r>
          </w:p>
        </w:tc>
      </w:tr>
    </w:tbl>
    <w:p w14:paraId="61C92D12">
      <w:pPr>
        <w:pStyle w:val="169"/>
      </w:pPr>
      <w:r>
        <w:t>表4-8 四种模型的参数规模与CPU运行成本</w:t>
      </w:r>
    </w:p>
    <w:p w14:paraId="25A40CBC">
      <w:r>
        <w:rPr>
          <w:b w:val="0"/>
        </w:rPr>
        <w:t>在已完成的统一测试中，EDCR相对GTCRN增加3,987个学习参数，平均推理时间由0.2298 s增至0.2351 s，RTF由0.0393增至0.0402，时间增幅约2.31%。该结果能够支持“低附加开销”的定位，但在FullSubNet+和MP-SENet-VB完成同平台测试前，不应宣称EDCR在所有对比方法中具有最低复杂度。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D9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8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7DA68AEC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【图4-6 待重绘：性能—复杂度帕累托图】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横轴建议使用RTF或参数量，纵轴分别选择SI-SDR、LSD或HF-LSD；包含GTCRN、EDCR、FullSubNet+、MP-SENet-VB。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待表4-8补齐后绘制，不使用不同硬件来源的公开数值直接拼接。</w:t>
            </w:r>
          </w:p>
        </w:tc>
      </w:tr>
    </w:tbl>
    <w:p w14:paraId="0721DC47"/>
    <w:p w14:paraId="1D5529C2">
      <w:pPr>
        <w:pStyle w:val="5"/>
      </w:pPr>
      <w:r>
        <w:t>4.4.4 典型样本频谱对比</w:t>
      </w:r>
    </w:p>
    <w:p w14:paraId="0191EA90">
      <w:r>
        <w:rPr>
          <w:b w:val="0"/>
        </w:rPr>
        <w:t>现有典型频谱图只比较GTCRN与EDCR，无法反映FullSubNet+和MP-SENet-VB在同一样本上的恢复差异。为使横向对比与客观指标形成闭环，建议重新选择light、medium和heavy各一条典型样本，并统一生成四种模型的频谱与误差谱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901A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5881D640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【图4-7 待重绘：light典型样本的多模型频谱对比】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建议布局：Clean、Degraded、GTCRN、FullSubNet+、MP-SENet-VB、EDCR，以及四种模型相对Clean的误差谱。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所有频谱共享同一颜色范围，所有误差谱共享同一误差颜色范围。</w:t>
            </w:r>
          </w:p>
        </w:tc>
      </w:tr>
    </w:tbl>
    <w:p w14:paraId="426E580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532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8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30221E79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【图4-8 待重绘：medium典型样本的多模型频谱对比】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样本选择原则：该组HF-LSD改善量接近组内中位数，避免只选最优样本。布局和色标与图4-7一致。</w:t>
            </w:r>
          </w:p>
        </w:tc>
      </w:tr>
    </w:tbl>
    <w:p w14:paraId="3F63288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C7F7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8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4651FE80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【图4-9 待重绘：heavy典型样本的多模型频谱对比】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重点观察强退化下谐波结构、高频能量和过抑制区域。布局和色标与图4-7一致。</w:t>
            </w:r>
          </w:p>
        </w:tc>
      </w:tr>
    </w:tbl>
    <w:p w14:paraId="26560AF8"/>
    <w:p w14:paraId="6AB85E46">
      <w:pPr>
        <w:pStyle w:val="4"/>
      </w:pPr>
      <w:r>
        <w:t>4.5 消融实验与机制分析</w:t>
      </w:r>
    </w:p>
    <w:p w14:paraId="3A30F83E">
      <w:pPr>
        <w:pStyle w:val="5"/>
      </w:pPr>
      <w:r>
        <w:t>4.5.1 残差缩放系数敏感性</w:t>
      </w:r>
    </w:p>
    <w:p w14:paraId="79C5C88D">
      <w:r>
        <w:rPr>
          <w:b w:val="0"/>
        </w:rPr>
        <w:t>残差缩放系数用于控制最终残差注入强度。scale=0等价于不注入残差，即仅保留GTCRN输出；0.75和0.90用于考察频谱修正强度与可懂度保持之间的权衡。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17D9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7BCC434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Scale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71A4D3D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STOI↑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EC8F0D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ESTOI↑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01B6DE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SI-SDR/dB↑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F78B59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LSD↓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00C83C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HF-LSD↓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F71A58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 w14:paraId="6E58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center"/>
          </w:tcPr>
          <w:p w14:paraId="78148ED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0（GTCRN，无残差）</w:t>
            </w:r>
          </w:p>
        </w:tc>
        <w:tc>
          <w:tcPr>
            <w:tcW w:w="1296" w:type="dxa"/>
            <w:vAlign w:val="center"/>
          </w:tcPr>
          <w:p w14:paraId="7E44133C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0.7332</w:t>
            </w:r>
          </w:p>
        </w:tc>
        <w:tc>
          <w:tcPr>
            <w:tcW w:w="1296" w:type="dxa"/>
            <w:vAlign w:val="center"/>
          </w:tcPr>
          <w:p w14:paraId="5D4708D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0.6481</w:t>
            </w:r>
          </w:p>
        </w:tc>
        <w:tc>
          <w:tcPr>
            <w:tcW w:w="1296" w:type="dxa"/>
            <w:vAlign w:val="center"/>
          </w:tcPr>
          <w:p w14:paraId="5747467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17.0708</w:t>
            </w:r>
          </w:p>
        </w:tc>
        <w:tc>
          <w:tcPr>
            <w:tcW w:w="1296" w:type="dxa"/>
            <w:vAlign w:val="center"/>
          </w:tcPr>
          <w:p w14:paraId="3A04F02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13.3223</w:t>
            </w:r>
          </w:p>
        </w:tc>
        <w:tc>
          <w:tcPr>
            <w:tcW w:w="1296" w:type="dxa"/>
            <w:vAlign w:val="center"/>
          </w:tcPr>
          <w:p w14:paraId="7FBFF56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14.0701</w:t>
            </w:r>
          </w:p>
        </w:tc>
        <w:tc>
          <w:tcPr>
            <w:tcW w:w="1296" w:type="dxa"/>
            <w:vAlign w:val="center"/>
          </w:tcPr>
          <w:p w14:paraId="6B77B9B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不注入残差</w:t>
            </w:r>
          </w:p>
        </w:tc>
      </w:tr>
      <w:tr w14:paraId="0C11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center"/>
          </w:tcPr>
          <w:p w14:paraId="33874CC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0.75</w:t>
            </w:r>
          </w:p>
        </w:tc>
        <w:tc>
          <w:tcPr>
            <w:tcW w:w="1296" w:type="dxa"/>
            <w:vAlign w:val="center"/>
          </w:tcPr>
          <w:p w14:paraId="3A222C1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0.7322</w:t>
            </w:r>
          </w:p>
        </w:tc>
        <w:tc>
          <w:tcPr>
            <w:tcW w:w="1296" w:type="dxa"/>
            <w:vAlign w:val="center"/>
          </w:tcPr>
          <w:p w14:paraId="34FFE3E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0.6438</w:t>
            </w:r>
          </w:p>
        </w:tc>
        <w:tc>
          <w:tcPr>
            <w:tcW w:w="1296" w:type="dxa"/>
            <w:vAlign w:val="center"/>
          </w:tcPr>
          <w:p w14:paraId="6933C15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17.1868</w:t>
            </w:r>
          </w:p>
        </w:tc>
        <w:tc>
          <w:tcPr>
            <w:tcW w:w="1296" w:type="dxa"/>
            <w:vAlign w:val="center"/>
          </w:tcPr>
          <w:p w14:paraId="1BD367D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11.4176</w:t>
            </w:r>
          </w:p>
        </w:tc>
        <w:tc>
          <w:tcPr>
            <w:tcW w:w="1296" w:type="dxa"/>
            <w:vAlign w:val="center"/>
          </w:tcPr>
          <w:p w14:paraId="51F445B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11.5111</w:t>
            </w:r>
          </w:p>
        </w:tc>
        <w:tc>
          <w:tcPr>
            <w:tcW w:w="1296" w:type="dxa"/>
            <w:vAlign w:val="center"/>
          </w:tcPr>
          <w:p w14:paraId="1C2C5D9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综合平衡最佳</w:t>
            </w:r>
          </w:p>
        </w:tc>
      </w:tr>
      <w:tr w14:paraId="1490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center"/>
          </w:tcPr>
          <w:p w14:paraId="25EDFE2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0.90</w:t>
            </w:r>
          </w:p>
        </w:tc>
        <w:tc>
          <w:tcPr>
            <w:tcW w:w="1296" w:type="dxa"/>
            <w:vAlign w:val="center"/>
          </w:tcPr>
          <w:p w14:paraId="191F3846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0.7315</w:t>
            </w:r>
          </w:p>
        </w:tc>
        <w:tc>
          <w:tcPr>
            <w:tcW w:w="1296" w:type="dxa"/>
            <w:vAlign w:val="center"/>
          </w:tcPr>
          <w:p w14:paraId="450E2D6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0.6415</w:t>
            </w:r>
          </w:p>
        </w:tc>
        <w:tc>
          <w:tcPr>
            <w:tcW w:w="1296" w:type="dxa"/>
            <w:vAlign w:val="center"/>
          </w:tcPr>
          <w:p w14:paraId="684A946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17.1372</w:t>
            </w:r>
          </w:p>
        </w:tc>
        <w:tc>
          <w:tcPr>
            <w:tcW w:w="1296" w:type="dxa"/>
            <w:vAlign w:val="center"/>
          </w:tcPr>
          <w:p w14:paraId="32073DF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11.3748</w:t>
            </w:r>
          </w:p>
        </w:tc>
        <w:tc>
          <w:tcPr>
            <w:tcW w:w="1296" w:type="dxa"/>
            <w:vAlign w:val="center"/>
          </w:tcPr>
          <w:p w14:paraId="00591EC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11.5340</w:t>
            </w:r>
          </w:p>
        </w:tc>
        <w:tc>
          <w:tcPr>
            <w:tcW w:w="1296" w:type="dxa"/>
            <w:vAlign w:val="center"/>
          </w:tcPr>
          <w:p w14:paraId="1D6CDAF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LSD略低，其余指标变差</w:t>
            </w:r>
          </w:p>
        </w:tc>
      </w:tr>
    </w:tbl>
    <w:p w14:paraId="01105DCC">
      <w:pPr>
        <w:pStyle w:val="169"/>
      </w:pPr>
      <w:r>
        <w:t>表4-9 不同残差缩放系数的消融结果</w:t>
      </w:r>
    </w:p>
    <w:p w14:paraId="119392AE">
      <w:r>
        <w:rPr>
          <w:b w:val="0"/>
        </w:rPr>
        <w:t>从0增加至0.75后，SI-SDR提高，LSD与HF-LSD明显降低，但STOI和ESTOI出现小幅下降。将系数进一步增至0.90，仅使LSD额外下降0.0428，而STOI、ESTOI、SI-SDR和HF-LSD均出现不同程度恶化。因此，0.75在可懂度保持、时域一致性和高频恢复之间取得更合理的平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53D4D63">
        <w:trPr>
          <w:cantSplit/>
          <w:trHeight w:val="181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6A59C1AB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【图4-10 待重绘：残差缩放系数多指标权衡】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横轴为0、0.75、0.90；将STOI/ESTOI/SI-SDR的相对变化与LSD/HF-LSD下降率分为两个子图。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将“0（Base）”统一改为“0（GTCRN，无残差）”。</w:t>
            </w:r>
          </w:p>
        </w:tc>
      </w:tr>
    </w:tbl>
    <w:p w14:paraId="50F441B9"/>
    <w:p w14:paraId="0C77C2AF">
      <w:pPr>
        <w:pStyle w:val="5"/>
      </w:pPr>
      <w:r>
        <w:t>4.5.2 条件来源有效性</w:t>
      </w:r>
    </w:p>
    <w:p w14:paraId="65E76ADA">
      <w:r>
        <w:rPr>
          <w:b w:val="0"/>
        </w:rPr>
        <w:t>在同一残差检查点和scale=0.75下，仅替换条件来源，分别构造Zero、Shuffled、Predicted和Oracle四种输入。若显式条件形成有效差异化控制，Oracle与Predicted应稳定优于Zero和Shuffled。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A45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3AA4397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条件来源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F2EFDC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2E9268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ESTOI↑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3A79FB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SI-SDR/dB↑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FCF7B9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LSD↓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712D20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HF-LSD↓</w:t>
            </w:r>
          </w:p>
        </w:tc>
      </w:tr>
      <w:tr w14:paraId="697C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33DECD1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Zero</w:t>
            </w:r>
          </w:p>
        </w:tc>
        <w:tc>
          <w:tcPr>
            <w:tcW w:w="1512" w:type="dxa"/>
            <w:vAlign w:val="center"/>
          </w:tcPr>
          <w:p w14:paraId="40A8F577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0.732173</w:t>
            </w:r>
          </w:p>
        </w:tc>
        <w:tc>
          <w:tcPr>
            <w:tcW w:w="1512" w:type="dxa"/>
            <w:vAlign w:val="center"/>
          </w:tcPr>
          <w:p w14:paraId="4DEB232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0.643812</w:t>
            </w:r>
          </w:p>
        </w:tc>
        <w:tc>
          <w:tcPr>
            <w:tcW w:w="1512" w:type="dxa"/>
            <w:vAlign w:val="center"/>
          </w:tcPr>
          <w:p w14:paraId="2D13EA6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17.185117</w:t>
            </w:r>
          </w:p>
        </w:tc>
        <w:tc>
          <w:tcPr>
            <w:tcW w:w="1512" w:type="dxa"/>
            <w:vAlign w:val="center"/>
          </w:tcPr>
          <w:p w14:paraId="3BF8C7A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11.416396</w:t>
            </w:r>
          </w:p>
        </w:tc>
        <w:tc>
          <w:tcPr>
            <w:tcW w:w="1512" w:type="dxa"/>
            <w:vAlign w:val="center"/>
          </w:tcPr>
          <w:p w14:paraId="4E4199E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11.508761</w:t>
            </w:r>
          </w:p>
        </w:tc>
      </w:tr>
      <w:tr w14:paraId="6345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77CDA1A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Shuffled</w:t>
            </w:r>
          </w:p>
        </w:tc>
        <w:tc>
          <w:tcPr>
            <w:tcW w:w="1512" w:type="dxa"/>
            <w:vAlign w:val="center"/>
          </w:tcPr>
          <w:p w14:paraId="3B2BE10E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0.732204</w:t>
            </w:r>
          </w:p>
        </w:tc>
        <w:tc>
          <w:tcPr>
            <w:tcW w:w="1512" w:type="dxa"/>
            <w:vAlign w:val="center"/>
          </w:tcPr>
          <w:p w14:paraId="2571705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0.643927</w:t>
            </w:r>
          </w:p>
        </w:tc>
        <w:tc>
          <w:tcPr>
            <w:tcW w:w="1512" w:type="dxa"/>
            <w:vAlign w:val="center"/>
          </w:tcPr>
          <w:p w14:paraId="7662F10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17.189188</w:t>
            </w:r>
          </w:p>
        </w:tc>
        <w:tc>
          <w:tcPr>
            <w:tcW w:w="1512" w:type="dxa"/>
            <w:vAlign w:val="center"/>
          </w:tcPr>
          <w:p w14:paraId="7160408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11.420868</w:t>
            </w:r>
          </w:p>
        </w:tc>
        <w:tc>
          <w:tcPr>
            <w:tcW w:w="1512" w:type="dxa"/>
            <w:vAlign w:val="center"/>
          </w:tcPr>
          <w:p w14:paraId="6F12248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11.510582</w:t>
            </w:r>
          </w:p>
        </w:tc>
      </w:tr>
      <w:tr w14:paraId="0CAB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0C5F974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Predicted</w:t>
            </w:r>
          </w:p>
        </w:tc>
        <w:tc>
          <w:tcPr>
            <w:tcW w:w="1512" w:type="dxa"/>
            <w:vAlign w:val="center"/>
          </w:tcPr>
          <w:p w14:paraId="1850CE5B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0.732168</w:t>
            </w:r>
          </w:p>
        </w:tc>
        <w:tc>
          <w:tcPr>
            <w:tcW w:w="1512" w:type="dxa"/>
            <w:vAlign w:val="center"/>
          </w:tcPr>
          <w:p w14:paraId="6F4F48C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0.643810</w:t>
            </w:r>
          </w:p>
        </w:tc>
        <w:tc>
          <w:tcPr>
            <w:tcW w:w="1512" w:type="dxa"/>
            <w:vAlign w:val="center"/>
          </w:tcPr>
          <w:p w14:paraId="3A6B1A7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17.186815</w:t>
            </w:r>
          </w:p>
        </w:tc>
        <w:tc>
          <w:tcPr>
            <w:tcW w:w="1512" w:type="dxa"/>
            <w:vAlign w:val="center"/>
          </w:tcPr>
          <w:p w14:paraId="5DD60B4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11.417608</w:t>
            </w:r>
          </w:p>
        </w:tc>
        <w:tc>
          <w:tcPr>
            <w:tcW w:w="1512" w:type="dxa"/>
            <w:vAlign w:val="center"/>
          </w:tcPr>
          <w:p w14:paraId="2474B9D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11.511073</w:t>
            </w:r>
          </w:p>
        </w:tc>
      </w:tr>
      <w:tr w14:paraId="3752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2B81E31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Oracle</w:t>
            </w:r>
          </w:p>
        </w:tc>
        <w:tc>
          <w:tcPr>
            <w:tcW w:w="1512" w:type="dxa"/>
            <w:vAlign w:val="center"/>
          </w:tcPr>
          <w:p w14:paraId="11315BBC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0.732162</w:t>
            </w:r>
          </w:p>
        </w:tc>
        <w:tc>
          <w:tcPr>
            <w:tcW w:w="1512" w:type="dxa"/>
            <w:vAlign w:val="center"/>
          </w:tcPr>
          <w:p w14:paraId="680AFB0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0.643792</w:t>
            </w:r>
          </w:p>
        </w:tc>
        <w:tc>
          <w:tcPr>
            <w:tcW w:w="1512" w:type="dxa"/>
            <w:vAlign w:val="center"/>
          </w:tcPr>
          <w:p w14:paraId="0E3E522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17.187486</w:t>
            </w:r>
          </w:p>
        </w:tc>
        <w:tc>
          <w:tcPr>
            <w:tcW w:w="1512" w:type="dxa"/>
            <w:vAlign w:val="center"/>
          </w:tcPr>
          <w:p w14:paraId="0D795E6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11.416033</w:t>
            </w:r>
          </w:p>
        </w:tc>
        <w:tc>
          <w:tcPr>
            <w:tcW w:w="1512" w:type="dxa"/>
            <w:vAlign w:val="center"/>
          </w:tcPr>
          <w:p w14:paraId="7EE37D0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11.510556</w:t>
            </w:r>
          </w:p>
        </w:tc>
      </w:tr>
    </w:tbl>
    <w:p w14:paraId="2EAABB2E">
      <w:pPr>
        <w:pStyle w:val="169"/>
      </w:pPr>
      <w:r>
        <w:t>表4-10 不同条件来源下的系统性能</w:t>
      </w:r>
    </w:p>
    <w:p w14:paraId="1FC72293">
      <w:pPr>
        <w:jc w:val="center"/>
      </w:pPr>
      <w:r>
        <w:drawing>
          <wp:inline distT="0" distB="0" distL="114300" distR="114300">
            <wp:extent cx="5399405" cy="1671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245E">
      <w:pPr>
        <w:pStyle w:val="169"/>
      </w:pPr>
      <w:r>
        <w:t>图4-11 不同条件来源下的SI-SDR、LSD和HF-LSD</w:t>
      </w:r>
    </w:p>
    <w:p w14:paraId="413A6CCD">
      <w:r>
        <w:rPr>
          <w:b w:val="0"/>
        </w:rPr>
        <w:t>四种条件源的结果几乎重合：STOI和ESTOI的极差分别约为4×10^-5和1×10^-4，SI-SDR极差约0.004 dB，LSD与HF-LSD极差分别约0.005和0.002。Shuffled没有引起性能下降，Oracle也未稳定优于Predicted或Zero，说明当前残差输出对条件来源不敏感。</w:t>
      </w:r>
    </w:p>
    <w:p w14:paraId="43D2508D">
      <w:pPr>
        <w:pStyle w:val="5"/>
      </w:pPr>
      <w:r>
        <w:t>4.5.3 增量模块贡献分解</w:t>
      </w:r>
    </w:p>
    <w:p w14:paraId="244FE3CF">
      <w:r>
        <w:rPr>
          <w:b w:val="0"/>
        </w:rPr>
        <w:t>为区分频谱收益来自残差结构还是条件输入，进一步比较无残差、零条件残差、预测条件残差和真实条件残差。GTCRN仅在本消融表中作为“无残差模块”参照，不再在其他内部机制小节重复出现。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F31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5F97376E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系统配置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B6A8E1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4B9A22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ESTOI↑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64FE25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SI-SDR/dB↑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3D3CD9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LSD↓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2AD5E9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HF-LSD↓</w:t>
            </w:r>
          </w:p>
        </w:tc>
      </w:tr>
      <w:tr w14:paraId="74C8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3EB01B9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GTCRN（无残差模块）</w:t>
            </w:r>
          </w:p>
        </w:tc>
        <w:tc>
          <w:tcPr>
            <w:tcW w:w="1512" w:type="dxa"/>
            <w:vAlign w:val="center"/>
          </w:tcPr>
          <w:p w14:paraId="07D8D30C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0.733200</w:t>
            </w:r>
          </w:p>
        </w:tc>
        <w:tc>
          <w:tcPr>
            <w:tcW w:w="1512" w:type="dxa"/>
            <w:vAlign w:val="center"/>
          </w:tcPr>
          <w:p w14:paraId="5B4A333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0.648100</w:t>
            </w:r>
          </w:p>
        </w:tc>
        <w:tc>
          <w:tcPr>
            <w:tcW w:w="1512" w:type="dxa"/>
            <w:vAlign w:val="center"/>
          </w:tcPr>
          <w:p w14:paraId="0AE50C41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17.070800</w:t>
            </w:r>
          </w:p>
        </w:tc>
        <w:tc>
          <w:tcPr>
            <w:tcW w:w="1512" w:type="dxa"/>
            <w:vAlign w:val="center"/>
          </w:tcPr>
          <w:p w14:paraId="1F20DF7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13.322300</w:t>
            </w:r>
          </w:p>
        </w:tc>
        <w:tc>
          <w:tcPr>
            <w:tcW w:w="1512" w:type="dxa"/>
            <w:vAlign w:val="center"/>
          </w:tcPr>
          <w:p w14:paraId="71F5807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14.070100</w:t>
            </w:r>
          </w:p>
        </w:tc>
      </w:tr>
      <w:tr w14:paraId="1E79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419BA9D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Zero-condition residual</w:t>
            </w:r>
          </w:p>
        </w:tc>
        <w:tc>
          <w:tcPr>
            <w:tcW w:w="1512" w:type="dxa"/>
            <w:vAlign w:val="center"/>
          </w:tcPr>
          <w:p w14:paraId="46D1E849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0.732173</w:t>
            </w:r>
          </w:p>
        </w:tc>
        <w:tc>
          <w:tcPr>
            <w:tcW w:w="1512" w:type="dxa"/>
            <w:vAlign w:val="center"/>
          </w:tcPr>
          <w:p w14:paraId="0E968E3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0.643812</w:t>
            </w:r>
          </w:p>
        </w:tc>
        <w:tc>
          <w:tcPr>
            <w:tcW w:w="1512" w:type="dxa"/>
            <w:vAlign w:val="center"/>
          </w:tcPr>
          <w:p w14:paraId="22444BF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17.185117</w:t>
            </w:r>
          </w:p>
        </w:tc>
        <w:tc>
          <w:tcPr>
            <w:tcW w:w="1512" w:type="dxa"/>
            <w:vAlign w:val="center"/>
          </w:tcPr>
          <w:p w14:paraId="3E69199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11.416396</w:t>
            </w:r>
          </w:p>
        </w:tc>
        <w:tc>
          <w:tcPr>
            <w:tcW w:w="1512" w:type="dxa"/>
            <w:vAlign w:val="center"/>
          </w:tcPr>
          <w:p w14:paraId="7042035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11.508761</w:t>
            </w:r>
          </w:p>
        </w:tc>
      </w:tr>
      <w:tr w14:paraId="5678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50250F7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Predicted-condition residual</w:t>
            </w:r>
          </w:p>
        </w:tc>
        <w:tc>
          <w:tcPr>
            <w:tcW w:w="1512" w:type="dxa"/>
            <w:vAlign w:val="center"/>
          </w:tcPr>
          <w:p w14:paraId="19063470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0.732168</w:t>
            </w:r>
          </w:p>
        </w:tc>
        <w:tc>
          <w:tcPr>
            <w:tcW w:w="1512" w:type="dxa"/>
            <w:vAlign w:val="center"/>
          </w:tcPr>
          <w:p w14:paraId="1668478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0.643810</w:t>
            </w:r>
          </w:p>
        </w:tc>
        <w:tc>
          <w:tcPr>
            <w:tcW w:w="1512" w:type="dxa"/>
            <w:vAlign w:val="center"/>
          </w:tcPr>
          <w:p w14:paraId="3C06377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17.186815</w:t>
            </w:r>
          </w:p>
        </w:tc>
        <w:tc>
          <w:tcPr>
            <w:tcW w:w="1512" w:type="dxa"/>
            <w:vAlign w:val="center"/>
          </w:tcPr>
          <w:p w14:paraId="4ADB7BD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11.417608</w:t>
            </w:r>
          </w:p>
        </w:tc>
        <w:tc>
          <w:tcPr>
            <w:tcW w:w="1512" w:type="dxa"/>
            <w:vAlign w:val="center"/>
          </w:tcPr>
          <w:p w14:paraId="0804C07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11.511073</w:t>
            </w:r>
          </w:p>
        </w:tc>
      </w:tr>
      <w:tr w14:paraId="7D99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04C9B9C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Oracle-condition residual</w:t>
            </w:r>
          </w:p>
        </w:tc>
        <w:tc>
          <w:tcPr>
            <w:tcW w:w="1512" w:type="dxa"/>
            <w:vAlign w:val="center"/>
          </w:tcPr>
          <w:p w14:paraId="70165060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0.732162</w:t>
            </w:r>
          </w:p>
        </w:tc>
        <w:tc>
          <w:tcPr>
            <w:tcW w:w="1512" w:type="dxa"/>
            <w:vAlign w:val="center"/>
          </w:tcPr>
          <w:p w14:paraId="1B64881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0.643792</w:t>
            </w:r>
          </w:p>
        </w:tc>
        <w:tc>
          <w:tcPr>
            <w:tcW w:w="1512" w:type="dxa"/>
            <w:vAlign w:val="center"/>
          </w:tcPr>
          <w:p w14:paraId="18B8B8A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17.187486</w:t>
            </w:r>
          </w:p>
        </w:tc>
        <w:tc>
          <w:tcPr>
            <w:tcW w:w="1512" w:type="dxa"/>
            <w:vAlign w:val="center"/>
          </w:tcPr>
          <w:p w14:paraId="58AE9BF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11.416033</w:t>
            </w:r>
          </w:p>
        </w:tc>
        <w:tc>
          <w:tcPr>
            <w:tcW w:w="1512" w:type="dxa"/>
            <w:vAlign w:val="center"/>
          </w:tcPr>
          <w:p w14:paraId="57CD1A8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11.510556</w:t>
            </w:r>
          </w:p>
        </w:tc>
      </w:tr>
    </w:tbl>
    <w:p w14:paraId="6358187E">
      <w:pPr>
        <w:pStyle w:val="169"/>
      </w:pPr>
      <w:r>
        <w:t>表4-11 增量残差结构与条件输入的贡献分解</w:t>
      </w:r>
    </w:p>
    <w:p w14:paraId="640AD8CE">
      <w:r>
        <w:rPr>
          <w:b w:val="0"/>
        </w:rPr>
        <w:t>从GTCRN切换到Zero-condition residual后，SI-SDR已提高约0.1143 dB，LSD和HF-LSD分别下降约1.9059和2.5614；进一步使用Predicted或Oracle条件后，结果仅发生千分位乃至万分位变化。因此，当前系统的主要性能增益来自残差补偿结构，显式条件的额外贡献有限。</w:t>
      </w:r>
    </w:p>
    <w:p w14:paraId="13E52541">
      <w:pPr>
        <w:pStyle w:val="5"/>
      </w:pPr>
      <w:r>
        <w:t>4.5.4 逐句配对统计与结果一致性</w:t>
      </w:r>
    </w:p>
    <w:p w14:paraId="02DF0C80">
      <w:r>
        <w:rPr>
          <w:b w:val="0"/>
        </w:rPr>
        <w:t>在完整17,656条测试样本上，对EDCR-Predicted-0.75与GTCRN进行逐句配对分析。对于STOI、ESTOI和SI-SDR，差值定义为EDCR减GTCRN；对于LSD和HF-LSD，负差值表示频谱距离下降。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380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6DF5F66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A0B7BB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平均差值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48B119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中位差值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214D94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改善比例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1579E7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均值95%CI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933E6D4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Wilcoxon</w:t>
            </w:r>
          </w:p>
        </w:tc>
      </w:tr>
      <w:tr w14:paraId="5340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48F01F0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STOI</w:t>
            </w:r>
          </w:p>
        </w:tc>
        <w:tc>
          <w:tcPr>
            <w:tcW w:w="1512" w:type="dxa"/>
            <w:vAlign w:val="center"/>
          </w:tcPr>
          <w:p w14:paraId="384569E9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-0.001070</w:t>
            </w:r>
          </w:p>
        </w:tc>
        <w:tc>
          <w:tcPr>
            <w:tcW w:w="1512" w:type="dxa"/>
            <w:vAlign w:val="center"/>
          </w:tcPr>
          <w:p w14:paraId="4FF382F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-0.000367</w:t>
            </w:r>
          </w:p>
        </w:tc>
        <w:tc>
          <w:tcPr>
            <w:tcW w:w="1512" w:type="dxa"/>
            <w:vAlign w:val="center"/>
          </w:tcPr>
          <w:p w14:paraId="7B9BE74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39.22%</w:t>
            </w:r>
          </w:p>
        </w:tc>
        <w:tc>
          <w:tcPr>
            <w:tcW w:w="1512" w:type="dxa"/>
            <w:vAlign w:val="center"/>
          </w:tcPr>
          <w:p w14:paraId="3E68868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[-0.001116, -0.001024]</w:t>
            </w:r>
          </w:p>
        </w:tc>
        <w:tc>
          <w:tcPr>
            <w:tcW w:w="1512" w:type="dxa"/>
            <w:vAlign w:val="center"/>
          </w:tcPr>
          <w:p w14:paraId="4F5A2CF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p&lt;0.001</w:t>
            </w:r>
          </w:p>
        </w:tc>
      </w:tr>
      <w:tr w14:paraId="2EE7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5447E1A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ESTOI</w:t>
            </w:r>
          </w:p>
        </w:tc>
        <w:tc>
          <w:tcPr>
            <w:tcW w:w="1512" w:type="dxa"/>
            <w:vAlign w:val="center"/>
          </w:tcPr>
          <w:p w14:paraId="64B712D9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-0.004310</w:t>
            </w:r>
          </w:p>
        </w:tc>
        <w:tc>
          <w:tcPr>
            <w:tcW w:w="1512" w:type="dxa"/>
            <w:vAlign w:val="center"/>
          </w:tcPr>
          <w:p w14:paraId="47E0EC5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-0.001449</w:t>
            </w:r>
          </w:p>
        </w:tc>
        <w:tc>
          <w:tcPr>
            <w:tcW w:w="1512" w:type="dxa"/>
            <w:vAlign w:val="center"/>
          </w:tcPr>
          <w:p w14:paraId="3CAC826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35.22%</w:t>
            </w:r>
          </w:p>
        </w:tc>
        <w:tc>
          <w:tcPr>
            <w:tcW w:w="1512" w:type="dxa"/>
            <w:vAlign w:val="center"/>
          </w:tcPr>
          <w:p w14:paraId="54F92CE5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[-0.004465, -0.004162]</w:t>
            </w:r>
          </w:p>
        </w:tc>
        <w:tc>
          <w:tcPr>
            <w:tcW w:w="1512" w:type="dxa"/>
            <w:vAlign w:val="center"/>
          </w:tcPr>
          <w:p w14:paraId="6867429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p&lt;0.001</w:t>
            </w:r>
          </w:p>
        </w:tc>
      </w:tr>
      <w:tr w14:paraId="41D3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3729A12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SI-SDR</w:t>
            </w:r>
          </w:p>
        </w:tc>
        <w:tc>
          <w:tcPr>
            <w:tcW w:w="1512" w:type="dxa"/>
            <w:vAlign w:val="center"/>
          </w:tcPr>
          <w:p w14:paraId="29CAC855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+0.115992</w:t>
            </w:r>
          </w:p>
        </w:tc>
        <w:tc>
          <w:tcPr>
            <w:tcW w:w="1512" w:type="dxa"/>
            <w:vAlign w:val="center"/>
          </w:tcPr>
          <w:p w14:paraId="550407DA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+0.111108</w:t>
            </w:r>
          </w:p>
        </w:tc>
        <w:tc>
          <w:tcPr>
            <w:tcW w:w="1512" w:type="dxa"/>
            <w:vAlign w:val="center"/>
          </w:tcPr>
          <w:p w14:paraId="08C035D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90.95%</w:t>
            </w:r>
          </w:p>
        </w:tc>
        <w:tc>
          <w:tcPr>
            <w:tcW w:w="1512" w:type="dxa"/>
            <w:vAlign w:val="center"/>
          </w:tcPr>
          <w:p w14:paraId="544769DD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[0.1138, 0.1182]</w:t>
            </w:r>
          </w:p>
        </w:tc>
        <w:tc>
          <w:tcPr>
            <w:tcW w:w="1512" w:type="dxa"/>
            <w:vAlign w:val="center"/>
          </w:tcPr>
          <w:p w14:paraId="1C6F1723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p&lt;0.001</w:t>
            </w:r>
          </w:p>
        </w:tc>
      </w:tr>
      <w:tr w14:paraId="7536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636FAB8B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LSD</w:t>
            </w:r>
          </w:p>
        </w:tc>
        <w:tc>
          <w:tcPr>
            <w:tcW w:w="1512" w:type="dxa"/>
            <w:vAlign w:val="center"/>
          </w:tcPr>
          <w:p w14:paraId="12964B72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-1.904727</w:t>
            </w:r>
          </w:p>
        </w:tc>
        <w:tc>
          <w:tcPr>
            <w:tcW w:w="1512" w:type="dxa"/>
            <w:vAlign w:val="center"/>
          </w:tcPr>
          <w:p w14:paraId="012571C0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-1.127195</w:t>
            </w:r>
          </w:p>
        </w:tc>
        <w:tc>
          <w:tcPr>
            <w:tcW w:w="1512" w:type="dxa"/>
            <w:vAlign w:val="center"/>
          </w:tcPr>
          <w:p w14:paraId="6F2B9CA8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78.45%</w:t>
            </w:r>
          </w:p>
        </w:tc>
        <w:tc>
          <w:tcPr>
            <w:tcW w:w="1512" w:type="dxa"/>
            <w:vAlign w:val="center"/>
          </w:tcPr>
          <w:p w14:paraId="0E794719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[-1.9381, -1.8721]</w:t>
            </w:r>
          </w:p>
        </w:tc>
        <w:tc>
          <w:tcPr>
            <w:tcW w:w="1512" w:type="dxa"/>
            <w:vAlign w:val="center"/>
          </w:tcPr>
          <w:p w14:paraId="4F55C9CC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p&lt;0.001</w:t>
            </w:r>
          </w:p>
        </w:tc>
      </w:tr>
      <w:tr w14:paraId="5790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Align w:val="center"/>
          </w:tcPr>
          <w:p w14:paraId="1D28A167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HF-LSD</w:t>
            </w:r>
          </w:p>
        </w:tc>
        <w:tc>
          <w:tcPr>
            <w:tcW w:w="1512" w:type="dxa"/>
            <w:vAlign w:val="center"/>
          </w:tcPr>
          <w:p w14:paraId="3CC7F2C3">
            <w:pPr>
              <w:spacing w:line="252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-2.559056</w:t>
            </w:r>
          </w:p>
        </w:tc>
        <w:tc>
          <w:tcPr>
            <w:tcW w:w="1512" w:type="dxa"/>
            <w:vAlign w:val="center"/>
          </w:tcPr>
          <w:p w14:paraId="1DBB70F6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-1.289310</w:t>
            </w:r>
          </w:p>
        </w:tc>
        <w:tc>
          <w:tcPr>
            <w:tcW w:w="1512" w:type="dxa"/>
            <w:vAlign w:val="center"/>
          </w:tcPr>
          <w:p w14:paraId="325FF68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79.97%</w:t>
            </w:r>
          </w:p>
        </w:tc>
        <w:tc>
          <w:tcPr>
            <w:tcW w:w="1512" w:type="dxa"/>
            <w:vAlign w:val="center"/>
          </w:tcPr>
          <w:p w14:paraId="42E546C2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[-2.6039, -2.5117]</w:t>
            </w:r>
          </w:p>
        </w:tc>
        <w:tc>
          <w:tcPr>
            <w:tcW w:w="1512" w:type="dxa"/>
            <w:vAlign w:val="center"/>
          </w:tcPr>
          <w:p w14:paraId="5D850B7F">
            <w:pPr>
              <w:spacing w:line="252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p&lt;0.001</w:t>
            </w:r>
          </w:p>
        </w:tc>
      </w:tr>
    </w:tbl>
    <w:p w14:paraId="0672C0FE">
      <w:pPr>
        <w:pStyle w:val="169"/>
      </w:pPr>
      <w:r>
        <w:t>表4-12 EDCR相对GTCRN的逐句配对统计</w:t>
      </w:r>
    </w:p>
    <w:p w14:paraId="650408FE">
      <w:r>
        <w:rPr>
          <w:b w:val="0"/>
        </w:rPr>
        <w:t>SI-SDR在90.95%的样本上获得改善，平均增益为0.1160 dB；LSD与HF-LSD的改善样本比例分别为78.45%和79.97%，说明总体频谱收益覆盖大多数测试样本，并非由少量极端样本造成。STOI与ESTOI的下降在统计上显著，但平均降幅仅为0.0011和0.0043。大样本条件下极小差异也可能获得很小的p值，因此应结合绝对差值和效果方向判断实际影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830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4" w:hRule="atLeast"/>
          <w:jc w:val="center"/>
        </w:trPr>
        <w:tc>
          <w:tcPr>
            <w:tcW w:w="9072" w:type="dxa"/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  <w:vAlign w:val="center"/>
          </w:tcPr>
          <w:p w14:paraId="15BCDA93">
            <w:pPr>
              <w:ind w:firstLine="0"/>
              <w:jc w:val="center"/>
            </w:pPr>
            <w:r>
              <w:rPr>
                <w:b/>
                <w:color w:val="DC0000"/>
                <w:sz w:val="22"/>
              </w:rPr>
              <w:t>【图4-12 待重绘：EDCR相对GTCRN的逐句统计】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展示五项指标的平均差值与95%置信区间，并单独展示改善比例。</w:t>
            </w:r>
            <w:r>
              <w:rPr>
                <w:b/>
                <w:color w:val="DC0000"/>
                <w:sz w:val="22"/>
              </w:rPr>
              <w:br w:type="textWrapping"/>
            </w:r>
            <w:r>
              <w:rPr>
                <w:b/>
                <w:color w:val="DC0000"/>
                <w:sz w:val="22"/>
              </w:rPr>
              <w:t>原图标题与图例中的“Base”统一改为“GTCRN”。</w:t>
            </w:r>
          </w:p>
        </w:tc>
      </w:tr>
    </w:tbl>
    <w:p w14:paraId="2992ECA8"/>
    <w:p w14:paraId="6D021CF0">
      <w:pPr>
        <w:pStyle w:val="4"/>
      </w:pPr>
      <w:r>
        <w:t>4.6 综合讨论与结论边界</w:t>
      </w:r>
    </w:p>
    <w:p w14:paraId="7A89E0E8">
      <w:r>
        <w:rPr>
          <w:b w:val="0"/>
        </w:rPr>
        <w:t>第一，显式退化诊断形成了较完整的证据链。噪声、带宽和SNR任务表现稳定，位深任务的误差来源可通过混淆矩阵和退化强度分组定位。因此，深层统计表征能够支持复合退化属性诊断。</w:t>
      </w:r>
    </w:p>
    <w:p w14:paraId="7E7D3207">
      <w:r>
        <w:rPr>
          <w:b w:val="0"/>
        </w:rPr>
        <w:t>第二，主实验给出了EDCR最终系统在完整测试集及四种退化强度下的绝对性能。横向对比表明，EDCR的优势主要体现在LSD、HF-LSD和重度退化下的综合均衡性；FullSubNet+和MP-SENet-VB在部分可懂度或SI-SDR指标上更优。因此，本文不将方法表述为所有指标全面领先。</w:t>
      </w:r>
    </w:p>
    <w:p w14:paraId="41A09F12">
      <w:r>
        <w:rPr>
          <w:b w:val="0"/>
        </w:rPr>
        <w:t>第三，完整测试集比较、残差系数消融和逐句统计共同证明，轻量残差结构能够稳定改变时域和频谱指标。与此同时，Zero、Shuffled、Predicted和Oracle结果近似一致，说明当前显式条件尚未形成有效控制。本文贡献应定位为“复合退化显式诊断”和“轻量受限残差频谱细化”，而不是强条件自适应修复。</w:t>
      </w:r>
    </w:p>
    <w:p w14:paraId="5F2F58D7">
      <w:r>
        <w:rPr>
          <w:b w:val="0"/>
        </w:rPr>
        <w:t>第四，当前外部模型对比仍缺少统一复杂度测量和完整复现实验元数据。FullSubNet+与MP-SENet-VB的结果可用于质量指标比较，但在训练数据、样本数和硬件口径补齐前，不宜进行严格的效率排名或统计显著性比较。</w:t>
      </w:r>
    </w:p>
    <w:p w14:paraId="2EB6D73C">
      <w:r>
        <w:rPr>
          <w:b w:val="0"/>
        </w:rPr>
        <w:t>第五，本章结论基于PESQ、STOI、ESTOI、SI-SDR、LSD和HF-LSD等客观指标。现有结果不能直接扩展为主观听感、跨数据集泛化或端侧实时部署已经得到验证。</w:t>
      </w:r>
    </w:p>
    <w:p w14:paraId="1077C04D">
      <w:pPr>
        <w:pStyle w:val="4"/>
      </w:pPr>
      <w:r>
        <w:t>4.7 本章小结</w:t>
      </w:r>
    </w:p>
    <w:p w14:paraId="58D406DC">
      <w:r>
        <w:rPr>
          <w:b w:val="0"/>
        </w:rPr>
        <w:t>本章按照“主实验—横向对比—消融验证”的层次重新组织实验结果。退化诊断模块在噪声、带宽和SNR任务上取得稳定性能，位深分类的主要困难集中在12 bit与10 bit之间。主实验表明，EDCR-Predicted-0.75在完整测试集上的STOI、ESTOI、SI-SDR、LSD和HF-LSD分别为0.7322、0.6438、17.1868 dB、11.4176和11.5111，并在四种退化强度下保持稳定输出。</w:t>
      </w:r>
    </w:p>
    <w:p w14:paraId="6D35BEDA">
      <w:r>
        <w:rPr>
          <w:b w:val="0"/>
        </w:rPr>
        <w:t>横向比较显示，EDCR在light条件下获得最低LSD和HF-LSD，在heavy条件下取得较优的PESQ、SI-SDR和频谱指标；FullSubNet+与MP-SENet-VB在部分可懂度和时域指标上更具优势。与GTCRN的统一测试结果相比，EDCR使SI-SDR提高0.1160 dB，LSD和HF-LSD分别降低14.30%和18.19%，但STOI和ESTOI小幅下降。</w:t>
      </w:r>
    </w:p>
    <w:p w14:paraId="5A44DD9F">
      <w:r>
        <w:rPr>
          <w:b w:val="0"/>
        </w:rPr>
        <w:t>消融实验进一步表明，0.75是较合理的残差注入系数，主要性能收益来自残差结构本身，显式条件的额外作用有限。逐句统计证实SI-SDR和频谱收益覆盖大多数测试样本。综合结果可将第二项研究工作的结论限定为：复合退化状态能够被显式诊断，轻量受限残差细化能够改善时域一致性和频谱保真度，但条件驱动能力及复杂退化下的全面优势仍需进一步增强。</w:t>
      </w:r>
    </w:p>
    <w:sectPr>
      <w:footerReference r:id="rId5" w:type="default"/>
      <w:pgSz w:w="11906" w:h="16838"/>
      <w:pgMar w:top="1389" w:right="1332" w:bottom="1332" w:left="1502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20FAB">
    <w:pPr>
      <w:pStyle w:val="24"/>
      <w:jc w:val="center"/>
    </w:pPr>
    <w:r>
      <w:t xml:space="preserve">— </w:t>
    </w:r>
    <w:r>
      <w:fldChar w:fldCharType="begin"/>
    </w:r>
    <w:r>
      <w:instrText xml:space="preserve">PAGE</w:instrTex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E6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ind w:firstLine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ind w:firstLine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ind w:firstLine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CN"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customStyle="1" w:styleId="165">
    <w:name w:val="H1CN"/>
    <w:uiPriority w:val="0"/>
    <w:pPr>
      <w:keepNext/>
      <w:spacing w:before="200" w:after="100" w:line="276" w:lineRule="auto"/>
    </w:pPr>
    <w:rPr>
      <w:rFonts w:ascii="Times New Roman" w:hAnsi="Times New Roman" w:eastAsia="黑体" w:cstheme="minorBidi"/>
      <w:b/>
      <w:color w:val="1F4E79"/>
      <w:sz w:val="32"/>
      <w:szCs w:val="22"/>
      <w:lang w:val="en-US" w:eastAsia="en-US" w:bidi="ar-SA"/>
    </w:rPr>
  </w:style>
  <w:style w:type="paragraph" w:customStyle="1" w:styleId="166">
    <w:name w:val="H2CN"/>
    <w:uiPriority w:val="0"/>
    <w:pPr>
      <w:keepNext/>
      <w:spacing w:before="140" w:after="100" w:line="276" w:lineRule="auto"/>
    </w:pPr>
    <w:rPr>
      <w:rFonts w:ascii="Times New Roman" w:hAnsi="Times New Roman" w:eastAsia="黑体" w:cstheme="minorBidi"/>
      <w:b/>
      <w:color w:val="1F4E79"/>
      <w:sz w:val="28"/>
      <w:szCs w:val="22"/>
      <w:lang w:val="en-US" w:eastAsia="en-US" w:bidi="ar-SA"/>
    </w:rPr>
  </w:style>
  <w:style w:type="paragraph" w:customStyle="1" w:styleId="167">
    <w:name w:val="H3CN"/>
    <w:uiPriority w:val="0"/>
    <w:pPr>
      <w:keepNext/>
      <w:spacing w:before="140" w:after="100" w:line="276" w:lineRule="auto"/>
    </w:pPr>
    <w:rPr>
      <w:rFonts w:ascii="Times New Roman" w:hAnsi="Times New Roman" w:eastAsia="黑体" w:cstheme="minorBidi"/>
      <w:b/>
      <w:color w:val="1F4E79"/>
      <w:sz w:val="25"/>
      <w:szCs w:val="22"/>
      <w:lang w:val="en-US" w:eastAsia="en-US" w:bidi="ar-SA"/>
    </w:rPr>
  </w:style>
  <w:style w:type="paragraph" w:customStyle="1" w:styleId="168">
    <w:name w:val="CaptionCN"/>
    <w:uiPriority w:val="0"/>
    <w:pPr>
      <w:spacing w:before="40" w:after="12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customStyle="1" w:styleId="169">
    <w:name w:val="图表题注"/>
    <w:qFormat/>
    <w:uiPriority w:val="0"/>
    <w:pPr>
      <w:spacing w:before="60" w:after="120" w:line="276" w:lineRule="auto"/>
      <w:ind w:firstLine="0"/>
      <w:jc w:val="center"/>
    </w:pPr>
    <w:rPr>
      <w:rFonts w:ascii="宋体" w:hAnsi="宋体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3668</Words>
  <Characters>6105</Characters>
  <Lines>0</Lines>
  <Paragraphs>0</Paragraphs>
  <TotalTime>15</TotalTime>
  <ScaleCrop>false</ScaleCrop>
  <LinksUpToDate>false</LinksUpToDate>
  <CharactersWithSpaces>6159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九千七</dc:creator>
  <dc:description>generated by python-docx</dc:description>
  <cp:keywords>EDCR; GTCRN; FullSubNet+; MP-SENet; 消融实验; 对比实验</cp:keywords>
  <cp:lastModifiedBy>九千七</cp:lastModifiedBy>
  <dcterms:modified xsi:type="dcterms:W3CDTF">2026-07-28T09:56:43Z</dcterms:modified>
  <dc:subject>复合退化语音增强实验结果重构</dc:subject>
  <dc:title>第4章 实验结果与分析（主实验、对比与消融分离重构版）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eyJoZGlkIjoiZGJiNmE4YjJmMTQ2NzM5NjMyYTQ1YzA2M2NmY2E1MDUiLCJ1c2VySWQiOiI2NTY2NDk0NTgifQ==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F5D0FEB708FB4830AA1870CE5D17D81D_12</vt:lpwstr>
  </property>
</Properties>
</file>