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62FCC" w14:textId="77777777" w:rsidR="00E17677" w:rsidRDefault="00E17677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21.</w:t>
      </w:r>
    </w:p>
    <w:p w14:paraId="49D47EE0" w14:textId="77777777" w:rsidR="00E17677" w:rsidRDefault="00E17677">
      <w:pPr>
        <w:adjustRightInd w:val="0"/>
        <w:rPr>
          <w:b/>
          <w:bCs/>
          <w:color w:val="000000"/>
        </w:rPr>
      </w:pPr>
    </w:p>
    <w:p w14:paraId="78142213" w14:textId="77777777" w:rsidR="00E17677" w:rsidRDefault="001365F2" w:rsidP="005236B8">
      <w:pPr>
        <w:adjustRightInd w:val="0"/>
        <w:ind w:left="720"/>
        <w:rPr>
          <w:color w:val="000000"/>
        </w:rPr>
      </w:pPr>
      <w:r>
        <w:rPr>
          <w:color w:val="000000"/>
        </w:rPr>
        <w:t>For the circuit in Fig. 3.70</w:t>
      </w:r>
      <w:r w:rsidR="00E17677">
        <w:rPr>
          <w:color w:val="000000"/>
        </w:rPr>
        <w:t xml:space="preserve">, find </w:t>
      </w:r>
      <w:r w:rsidR="00E17677">
        <w:rPr>
          <w:i/>
          <w:iCs/>
          <w:color w:val="000000"/>
        </w:rPr>
        <w:t>v</w:t>
      </w:r>
      <w:r w:rsidR="00E17677">
        <w:rPr>
          <w:color w:val="000000"/>
          <w:vertAlign w:val="subscript"/>
        </w:rPr>
        <w:t>1</w:t>
      </w:r>
      <w:r w:rsidR="00E17677">
        <w:rPr>
          <w:color w:val="000000"/>
        </w:rPr>
        <w:t xml:space="preserve"> and </w:t>
      </w:r>
      <w:r w:rsidR="00E17677">
        <w:rPr>
          <w:i/>
          <w:iCs/>
          <w:color w:val="000000"/>
        </w:rPr>
        <w:t>v</w:t>
      </w:r>
      <w:r w:rsidR="00E17677">
        <w:rPr>
          <w:color w:val="000000"/>
          <w:vertAlign w:val="subscript"/>
        </w:rPr>
        <w:t>2</w:t>
      </w:r>
      <w:r w:rsidR="00E17677">
        <w:rPr>
          <w:color w:val="000000"/>
        </w:rPr>
        <w:t xml:space="preserve"> using nodal analysis.</w:t>
      </w:r>
    </w:p>
    <w:p w14:paraId="376C36C7" w14:textId="77777777" w:rsidR="00E17677" w:rsidRDefault="00E17677">
      <w:pPr>
        <w:adjustRightInd w:val="0"/>
        <w:rPr>
          <w:color w:val="000000"/>
        </w:rPr>
      </w:pPr>
    </w:p>
    <w:p w14:paraId="4D7E3E25" w14:textId="33CA0409" w:rsidR="00E17677" w:rsidRDefault="003260C9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FEC75D" wp14:editId="24C850A1">
            <wp:extent cx="3048000" cy="2068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E0B6" w14:textId="77777777" w:rsidR="00E17677" w:rsidRDefault="00E17677">
      <w:pPr>
        <w:adjustRightInd w:val="0"/>
        <w:ind w:left="720"/>
        <w:rPr>
          <w:color w:val="000000"/>
        </w:rPr>
      </w:pPr>
    </w:p>
    <w:p w14:paraId="7813AD0F" w14:textId="77777777" w:rsidR="00E17677" w:rsidRDefault="001365F2">
      <w:pPr>
        <w:adjustRightInd w:val="0"/>
        <w:ind w:left="720"/>
        <w:rPr>
          <w:color w:val="000000"/>
        </w:rPr>
      </w:pPr>
      <w:r>
        <w:rPr>
          <w:color w:val="000000"/>
        </w:rPr>
        <w:t>Figure 3.70</w:t>
      </w:r>
    </w:p>
    <w:p w14:paraId="25E31DE6" w14:textId="77777777" w:rsidR="0028154A" w:rsidRDefault="0028154A">
      <w:pPr>
        <w:adjustRightInd w:val="0"/>
        <w:ind w:left="720"/>
        <w:rPr>
          <w:color w:val="000000"/>
        </w:rPr>
      </w:pPr>
      <w:r>
        <w:rPr>
          <w:color w:val="000000"/>
        </w:rPr>
        <w:t>For Prob. 3.21.</w:t>
      </w:r>
    </w:p>
    <w:sectPr w:rsidR="0028154A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10"/>
    <w:rsid w:val="001365F2"/>
    <w:rsid w:val="0028154A"/>
    <w:rsid w:val="003260C9"/>
    <w:rsid w:val="005236B8"/>
    <w:rsid w:val="008E4CC2"/>
    <w:rsid w:val="00990658"/>
    <w:rsid w:val="00A52210"/>
    <w:rsid w:val="00D55E3F"/>
    <w:rsid w:val="00E1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9A886F1"/>
  <w15:chartTrackingRefBased/>
  <w15:docId w15:val="{C539B316-47E8-46B0-BE07-5B3159DA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2018-11-20T15:04:00Z</dcterms:created>
  <dcterms:modified xsi:type="dcterms:W3CDTF">2018-11-20T15:04:00Z</dcterms:modified>
</cp:coreProperties>
</file>