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FEAEF" w14:textId="77777777" w:rsidR="005F3D5D" w:rsidRDefault="005F3D5D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63.</w:t>
      </w:r>
    </w:p>
    <w:p w14:paraId="4A24C398" w14:textId="77777777" w:rsidR="005F3D5D" w:rsidRDefault="005F3D5D">
      <w:pPr>
        <w:adjustRightInd w:val="0"/>
        <w:rPr>
          <w:b/>
          <w:bCs/>
          <w:color w:val="000000"/>
        </w:rPr>
      </w:pPr>
    </w:p>
    <w:p w14:paraId="7F7076DB" w14:textId="77777777" w:rsidR="005F3D5D" w:rsidRDefault="005F3D5D" w:rsidP="009A2AF0">
      <w:pPr>
        <w:adjustRightInd w:val="0"/>
        <w:ind w:left="720"/>
        <w:rPr>
          <w:color w:val="000000"/>
        </w:rPr>
      </w:pPr>
      <w:r>
        <w:rPr>
          <w:color w:val="000000"/>
        </w:rPr>
        <w:t xml:space="preserve">Find 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>x</w:t>
      </w:r>
      <w:r>
        <w:rPr>
          <w:color w:val="000000"/>
        </w:rPr>
        <w:t xml:space="preserve">, and </w:t>
      </w:r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vertAlign w:val="subscript"/>
        </w:rPr>
        <w:t xml:space="preserve">x </w:t>
      </w:r>
      <w:r>
        <w:rPr>
          <w:color w:val="000000"/>
        </w:rPr>
        <w:t>in the circuit shown in Fig. 3.10</w:t>
      </w:r>
      <w:r w:rsidR="00CC01F3">
        <w:rPr>
          <w:color w:val="000000"/>
        </w:rPr>
        <w:t>7</w:t>
      </w:r>
      <w:r>
        <w:rPr>
          <w:color w:val="000000"/>
        </w:rPr>
        <w:t>.</w:t>
      </w:r>
    </w:p>
    <w:p w14:paraId="188CAB31" w14:textId="77777777" w:rsidR="005F3D5D" w:rsidRDefault="005F3D5D">
      <w:pPr>
        <w:adjustRightInd w:val="0"/>
        <w:rPr>
          <w:color w:val="000000"/>
        </w:rPr>
      </w:pPr>
    </w:p>
    <w:p w14:paraId="6790458C" w14:textId="4382E42A" w:rsidR="005F3D5D" w:rsidRDefault="004001B6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A51166" wp14:editId="2864F11E">
            <wp:extent cx="3048000" cy="1708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0864" w14:textId="77777777" w:rsidR="005F3D5D" w:rsidRDefault="005F3D5D">
      <w:pPr>
        <w:adjustRightInd w:val="0"/>
        <w:ind w:left="720"/>
        <w:rPr>
          <w:color w:val="000000"/>
        </w:rPr>
      </w:pPr>
    </w:p>
    <w:p w14:paraId="4F53B9D2" w14:textId="77777777" w:rsidR="005F3D5D" w:rsidRDefault="005F3D5D">
      <w:pPr>
        <w:ind w:left="720"/>
      </w:pPr>
      <w:r>
        <w:rPr>
          <w:color w:val="000000"/>
        </w:rPr>
        <w:t>Figure 3.10</w:t>
      </w:r>
      <w:r w:rsidR="00CC01F3">
        <w:rPr>
          <w:color w:val="000000"/>
        </w:rPr>
        <w:t>7</w:t>
      </w:r>
    </w:p>
    <w:p w14:paraId="5A0C90CB" w14:textId="77777777" w:rsidR="005F3D5D" w:rsidRDefault="009A2AF0">
      <w:pPr>
        <w:ind w:left="720"/>
      </w:pPr>
      <w:r>
        <w:t>For Prob. 3.63.</w:t>
      </w:r>
    </w:p>
    <w:p w14:paraId="2F1B9DFA" w14:textId="77777777" w:rsidR="005F3D5D" w:rsidRDefault="005F3D5D">
      <w:pPr>
        <w:ind w:left="720"/>
        <w:rPr>
          <w:i/>
          <w:iCs/>
        </w:rPr>
      </w:pPr>
    </w:p>
    <w:p w14:paraId="51885EAE" w14:textId="77777777" w:rsidR="005F3D5D" w:rsidRDefault="005F3D5D">
      <w:pPr>
        <w:adjustRightInd w:val="0"/>
        <w:ind w:left="720"/>
      </w:pPr>
    </w:p>
    <w:sectPr w:rsidR="005F3D5D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31"/>
    <w:rsid w:val="002919B1"/>
    <w:rsid w:val="00383831"/>
    <w:rsid w:val="003A6CF3"/>
    <w:rsid w:val="004001B6"/>
    <w:rsid w:val="005F3D5D"/>
    <w:rsid w:val="009A2AF0"/>
    <w:rsid w:val="00CC01F3"/>
    <w:rsid w:val="00D55E3F"/>
    <w:rsid w:val="00EE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327017D"/>
  <w15:chartTrackingRefBased/>
  <w15:docId w15:val="{4BEB2928-B460-4A7B-8279-D93641C2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2018-11-20T19:50:00Z</dcterms:created>
  <dcterms:modified xsi:type="dcterms:W3CDTF">2018-11-20T19:50:00Z</dcterms:modified>
</cp:coreProperties>
</file>