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2BAAF" w14:textId="77777777" w:rsidR="00EB2F31" w:rsidRDefault="00EB2F3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4.</w:t>
      </w:r>
    </w:p>
    <w:p w14:paraId="086077EF" w14:textId="77777777" w:rsidR="00EB2F31" w:rsidRDefault="00EB2F31">
      <w:pPr>
        <w:autoSpaceDE w:val="0"/>
        <w:autoSpaceDN w:val="0"/>
        <w:adjustRightInd w:val="0"/>
      </w:pPr>
    </w:p>
    <w:p w14:paraId="77E5D3AD" w14:textId="77777777" w:rsidR="00EB2F31" w:rsidRPr="007E4A8A" w:rsidRDefault="00EB2F3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7E4A8A">
        <w:rPr>
          <w:rFonts w:ascii="Times New Roman" w:eastAsia="MS Mincho" w:hAnsi="Times New Roman" w:cs="Times New Roman"/>
          <w:sz w:val="24"/>
          <w:szCs w:val="24"/>
        </w:rPr>
        <w:t xml:space="preserve">Compute </w:t>
      </w:r>
      <w:r w:rsidRPr="007E4A8A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7E4A8A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 w:rsidRPr="007E4A8A">
        <w:rPr>
          <w:rFonts w:ascii="Times New Roman" w:eastAsia="MS Mincho" w:hAnsi="Times New Roman" w:cs="Times New Roman"/>
          <w:sz w:val="24"/>
          <w:szCs w:val="24"/>
        </w:rPr>
        <w:t>(</w:t>
      </w:r>
      <w:r w:rsidRPr="007E4A8A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7E4A8A">
        <w:rPr>
          <w:rFonts w:ascii="Times New Roman" w:eastAsia="MS Mincho" w:hAnsi="Times New Roman" w:cs="Times New Roman"/>
          <w:sz w:val="24"/>
          <w:szCs w:val="24"/>
        </w:rPr>
        <w:t>) in the circuit of Fig. 10.53.</w:t>
      </w:r>
    </w:p>
    <w:p w14:paraId="46F69B78" w14:textId="77777777" w:rsidR="00EB2F31" w:rsidRPr="007E4A8A" w:rsidRDefault="00EB2F3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B71BBD" w14:textId="127D7E3F" w:rsidR="00EB2F31" w:rsidRPr="007E4A8A" w:rsidRDefault="006E504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7E4A8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0E961099" wp14:editId="405831DB">
            <wp:simplePos x="0" y="0"/>
            <wp:positionH relativeFrom="column">
              <wp:posOffset>457200</wp:posOffset>
            </wp:positionH>
            <wp:positionV relativeFrom="paragraph">
              <wp:posOffset>133350</wp:posOffset>
            </wp:positionV>
            <wp:extent cx="3895725" cy="1254125"/>
            <wp:effectExtent l="0" t="0" r="0" b="0"/>
            <wp:wrapNone/>
            <wp:docPr id="2" name="Picture 2" descr="10-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016FF" w14:textId="77777777" w:rsidR="00EB2F31" w:rsidRPr="007E4A8A" w:rsidRDefault="00EB2F3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26F1FDC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C261211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B8FD32A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7A4ECEA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D21B42E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0A4D7C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34B62CA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19C9EE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E649489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A34D3E" w14:textId="77777777" w:rsidR="00EB2F31" w:rsidRPr="007E4A8A" w:rsidRDefault="00EB2F3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7E4A8A">
        <w:rPr>
          <w:rFonts w:ascii="Times New Roman" w:hAnsi="Times New Roman" w:cs="Times New Roman"/>
          <w:sz w:val="24"/>
          <w:szCs w:val="24"/>
        </w:rPr>
        <w:t>Figure 10.53</w:t>
      </w:r>
    </w:p>
    <w:p w14:paraId="5AD73EEE" w14:textId="77777777" w:rsidR="007E4A8A" w:rsidRPr="007E4A8A" w:rsidRDefault="007E4A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7E4A8A">
        <w:rPr>
          <w:rFonts w:ascii="Times New Roman" w:hAnsi="Times New Roman" w:cs="Times New Roman"/>
          <w:sz w:val="24"/>
          <w:szCs w:val="24"/>
        </w:rPr>
        <w:t>For Prob. 10.4</w:t>
      </w:r>
      <w:r w:rsidR="00F54B62">
        <w:rPr>
          <w:rFonts w:ascii="Times New Roman" w:hAnsi="Times New Roman" w:cs="Times New Roman"/>
          <w:sz w:val="24"/>
          <w:szCs w:val="24"/>
        </w:rPr>
        <w:t>.</w:t>
      </w:r>
    </w:p>
    <w:sectPr w:rsidR="007E4A8A" w:rsidRPr="007E4A8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5E"/>
    <w:rsid w:val="0019740E"/>
    <w:rsid w:val="006E504B"/>
    <w:rsid w:val="007E4A8A"/>
    <w:rsid w:val="00C8375E"/>
    <w:rsid w:val="00CF7859"/>
    <w:rsid w:val="00EB2F31"/>
    <w:rsid w:val="00F5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ECB3B25"/>
  <w15:chartTrackingRefBased/>
  <w15:docId w15:val="{E08A6218-56EB-4F71-BEB0-D18228F5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2018-12-22T21:27:00Z</dcterms:created>
  <dcterms:modified xsi:type="dcterms:W3CDTF">2018-12-22T21:27:00Z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