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A335F" w14:textId="77777777" w:rsidR="000B6A0E" w:rsidRDefault="000B6A0E">
      <w:pPr>
        <w:autoSpaceDE w:val="0"/>
        <w:autoSpaceDN w:val="0"/>
        <w:adjustRightInd w:val="0"/>
      </w:pPr>
      <w:r>
        <w:rPr>
          <w:b/>
          <w:bCs/>
        </w:rPr>
        <w:t>Chapter 10, Problem 55.</w:t>
      </w:r>
    </w:p>
    <w:p w14:paraId="62B186B8" w14:textId="77777777" w:rsidR="000B6A0E" w:rsidRDefault="000B6A0E">
      <w:pPr>
        <w:autoSpaceDE w:val="0"/>
        <w:autoSpaceDN w:val="0"/>
        <w:adjustRightInd w:val="0"/>
      </w:pPr>
    </w:p>
    <w:p w14:paraId="4F8A3E6C" w14:textId="0402AF2C" w:rsidR="000B6A0E" w:rsidRDefault="000B6A0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Thevenin and Norton equivalent circuits </w:t>
      </w:r>
      <w:bookmarkStart w:id="0" w:name="_GoBack"/>
      <w:bookmarkEnd w:id="0"/>
      <w:r>
        <w:rPr>
          <w:rFonts w:ascii="Times New Roman" w:eastAsia="MS Mincho" w:hAnsi="Times New Roman" w:cs="Times New Roman"/>
          <w:sz w:val="24"/>
          <w:szCs w:val="24"/>
        </w:rPr>
        <w:t xml:space="preserve">at terminals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ea</w:t>
      </w:r>
      <w:r w:rsidR="00B81C62">
        <w:rPr>
          <w:rFonts w:ascii="Times New Roman" w:eastAsia="MS Mincho" w:hAnsi="Times New Roman" w:cs="Times New Roman"/>
          <w:sz w:val="24"/>
          <w:szCs w:val="24"/>
        </w:rPr>
        <w:t>ch of the circuits in Fig. 10.98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05899F90" w14:textId="1C1C8B26" w:rsidR="000B6A0E" w:rsidRDefault="00A34879">
      <w:pPr>
        <w:pStyle w:val="PlainText"/>
        <w:ind w:left="144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0509A4CD" wp14:editId="56C69A5B">
            <wp:simplePos x="0" y="0"/>
            <wp:positionH relativeFrom="column">
              <wp:posOffset>819150</wp:posOffset>
            </wp:positionH>
            <wp:positionV relativeFrom="paragraph">
              <wp:posOffset>48260</wp:posOffset>
            </wp:positionV>
            <wp:extent cx="3048000" cy="3552825"/>
            <wp:effectExtent l="0" t="0" r="0" b="0"/>
            <wp:wrapNone/>
            <wp:docPr id="2" name="Picture 2" descr="10-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B0120" w14:textId="77777777" w:rsidR="000B6A0E" w:rsidRDefault="000B6A0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026E9BD" w14:textId="77777777" w:rsidR="000B6A0E" w:rsidRDefault="000B6A0E">
      <w:pPr>
        <w:pStyle w:val="PlainText"/>
        <w:ind w:left="1440"/>
      </w:pPr>
    </w:p>
    <w:p w14:paraId="0FE1CB95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44BD763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C92DD03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9359315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758620C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4B642E5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31318C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D468021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AE5BA3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FFE5A8C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BE4A100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D014574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4D265C9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97800C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D1836C2" w14:textId="77777777" w:rsid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4F9879F" w14:textId="77777777" w:rsidR="00B824CB" w:rsidRDefault="00B824CB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D49BC0" w14:textId="77777777" w:rsidR="00B824CB" w:rsidRDefault="00B824CB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E680F68" w14:textId="77777777" w:rsidR="00B824CB" w:rsidRDefault="00B824CB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923EFF5" w14:textId="77777777" w:rsidR="00B824CB" w:rsidRDefault="00B824CB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2B9686A" w14:textId="77777777" w:rsidR="000B6A0E" w:rsidRDefault="00B81C62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10.98</w:t>
      </w:r>
    </w:p>
    <w:p w14:paraId="0DE77F41" w14:textId="77777777" w:rsidR="009018DA" w:rsidRPr="009018DA" w:rsidRDefault="009018DA" w:rsidP="009018D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10.55.</w:t>
      </w:r>
    </w:p>
    <w:sectPr w:rsidR="009018DA" w:rsidRPr="009018D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D6"/>
    <w:rsid w:val="000B6A0E"/>
    <w:rsid w:val="00101DD6"/>
    <w:rsid w:val="002C5FB7"/>
    <w:rsid w:val="009018DA"/>
    <w:rsid w:val="00A34879"/>
    <w:rsid w:val="00A522C3"/>
    <w:rsid w:val="00B81C62"/>
    <w:rsid w:val="00B8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C2E0B8D"/>
  <w15:chartTrackingRefBased/>
  <w15:docId w15:val="{24F5C64E-B6A3-4456-B080-EF48EB48B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2018-12-31T13:38:00Z</dcterms:created>
  <dcterms:modified xsi:type="dcterms:W3CDTF">2018-12-31T13:38:00Z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