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F2747" w14:textId="77777777" w:rsidR="005422EE" w:rsidRPr="00EC74FA" w:rsidRDefault="005422EE">
      <w:pPr>
        <w:autoSpaceDE w:val="0"/>
        <w:autoSpaceDN w:val="0"/>
        <w:adjustRightInd w:val="0"/>
      </w:pPr>
      <w:bookmarkStart w:id="0" w:name="_GoBack"/>
      <w:bookmarkEnd w:id="0"/>
      <w:r w:rsidRPr="00EC74FA">
        <w:rPr>
          <w:b/>
          <w:bCs/>
        </w:rPr>
        <w:t>Chapter 10, Problem 58.</w:t>
      </w:r>
    </w:p>
    <w:p w14:paraId="1392D31F" w14:textId="77777777" w:rsidR="005422EE" w:rsidRPr="00EC74FA" w:rsidRDefault="005422EE">
      <w:pPr>
        <w:autoSpaceDE w:val="0"/>
        <w:autoSpaceDN w:val="0"/>
        <w:adjustRightInd w:val="0"/>
      </w:pPr>
    </w:p>
    <w:p w14:paraId="02B9F759" w14:textId="77777777" w:rsidR="005422EE" w:rsidRPr="00EC74FA" w:rsidRDefault="005422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EC74FA">
        <w:rPr>
          <w:rFonts w:ascii="Times New Roman" w:eastAsia="MS Mincho" w:hAnsi="Times New Roman" w:cs="Times New Roman"/>
          <w:sz w:val="24"/>
          <w:szCs w:val="24"/>
        </w:rPr>
        <w:t>For th</w:t>
      </w:r>
      <w:r w:rsidR="00545673" w:rsidRPr="00EC74FA">
        <w:rPr>
          <w:rFonts w:ascii="Times New Roman" w:eastAsia="MS Mincho" w:hAnsi="Times New Roman" w:cs="Times New Roman"/>
          <w:sz w:val="24"/>
          <w:szCs w:val="24"/>
        </w:rPr>
        <w:t>e circuit depicted in Fig. 10.101</w:t>
      </w:r>
      <w:r w:rsidRPr="00EC74FA">
        <w:rPr>
          <w:rFonts w:ascii="Times New Roman" w:eastAsia="MS Mincho" w:hAnsi="Times New Roman" w:cs="Times New Roman"/>
          <w:sz w:val="24"/>
          <w:szCs w:val="24"/>
        </w:rPr>
        <w:t xml:space="preserve">, find the Thevenin equivalent circuit at terminals </w:t>
      </w:r>
      <w:r w:rsidRPr="00EC74FA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EC74FA">
        <w:rPr>
          <w:rFonts w:ascii="Times New Roman" w:eastAsia="MS Mincho" w:hAnsi="Times New Roman" w:cs="Times New Roman"/>
          <w:sz w:val="24"/>
          <w:szCs w:val="24"/>
        </w:rPr>
        <w:t>-</w:t>
      </w:r>
      <w:r w:rsidRPr="00EC74FA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Pr="00EC74FA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352D5D1" w14:textId="77777777" w:rsidR="005422EE" w:rsidRPr="00EC74FA" w:rsidRDefault="005422EE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0BE18D85" w14:textId="1391C51D" w:rsidR="005422EE" w:rsidRPr="00EC74FA" w:rsidRDefault="006053E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EC74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7EC536" wp14:editId="30359B40">
            <wp:extent cx="3048000" cy="1366520"/>
            <wp:effectExtent l="0" t="0" r="0" b="0"/>
            <wp:docPr id="1" name="Picture 1" descr="10-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0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E295" w14:textId="77777777" w:rsidR="005422EE" w:rsidRPr="00EC74FA" w:rsidRDefault="005422EE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5B4761F7" w14:textId="77777777" w:rsidR="005422EE" w:rsidRDefault="0054567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EC74FA">
        <w:rPr>
          <w:rFonts w:ascii="Times New Roman" w:hAnsi="Times New Roman" w:cs="Times New Roman"/>
          <w:sz w:val="24"/>
          <w:szCs w:val="24"/>
        </w:rPr>
        <w:t>Figure 10.101</w:t>
      </w:r>
    </w:p>
    <w:p w14:paraId="5C8639E3" w14:textId="77777777" w:rsidR="00EC74FA" w:rsidRPr="00EC74FA" w:rsidRDefault="00EC74F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10.58</w:t>
      </w:r>
      <w:r w:rsidR="00C82212">
        <w:rPr>
          <w:rFonts w:ascii="Times New Roman" w:hAnsi="Times New Roman" w:cs="Times New Roman"/>
          <w:sz w:val="24"/>
          <w:szCs w:val="24"/>
        </w:rPr>
        <w:t>.</w:t>
      </w:r>
    </w:p>
    <w:p w14:paraId="2467AEA8" w14:textId="77777777" w:rsidR="005422EE" w:rsidRPr="00EC74FA" w:rsidRDefault="005422EE"/>
    <w:p w14:paraId="38A419CE" w14:textId="77777777" w:rsidR="005422EE" w:rsidRPr="00EC74FA" w:rsidRDefault="005422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5422EE" w:rsidRPr="00EC74F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FC"/>
    <w:rsid w:val="002C5FB7"/>
    <w:rsid w:val="00380AB4"/>
    <w:rsid w:val="005422EE"/>
    <w:rsid w:val="00545673"/>
    <w:rsid w:val="006053ED"/>
    <w:rsid w:val="00C82212"/>
    <w:rsid w:val="00D476FC"/>
    <w:rsid w:val="00EC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93B050F"/>
  <w15:chartTrackingRefBased/>
  <w15:docId w15:val="{33DCD24C-B35F-4E84-BA2C-145FB362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2018-12-22T19:28:00Z</dcterms:created>
  <dcterms:modified xsi:type="dcterms:W3CDTF">2018-12-22T19:28:00Z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