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C16EB" w14:textId="77777777" w:rsidR="00D00C78" w:rsidRDefault="002D19A5" w:rsidP="002D19A5">
      <w:r>
        <w:t>Tano Santos</w:t>
      </w:r>
    </w:p>
    <w:p w14:paraId="5BD1E130" w14:textId="325D5AC4" w:rsidR="00D8077C" w:rsidRDefault="001E6CD8" w:rsidP="002D19A5">
      <w:r>
        <w:t>Value</w:t>
      </w:r>
      <w:r w:rsidR="00D00C78">
        <w:t xml:space="preserve"> Investing</w:t>
      </w:r>
    </w:p>
    <w:p w14:paraId="128F579B" w14:textId="5E40522F" w:rsidR="00D8077C" w:rsidRPr="002D19A5" w:rsidRDefault="00D00C78" w:rsidP="002D19A5">
      <w:r>
        <w:t>Spring 2026</w:t>
      </w:r>
    </w:p>
    <w:p w14:paraId="6DFC9B57" w14:textId="5CE5A7B8" w:rsidR="002D19A5" w:rsidRPr="002D19A5" w:rsidRDefault="002D19A5" w:rsidP="002D19A5">
      <w:pPr>
        <w:rPr>
          <w:b/>
          <w:bCs/>
          <w:u w:val="single"/>
        </w:rPr>
      </w:pPr>
    </w:p>
    <w:p w14:paraId="7C9BFF97" w14:textId="4039E155" w:rsidR="002D19A5" w:rsidRDefault="002D19A5" w:rsidP="0011674E">
      <w:pPr>
        <w:jc w:val="center"/>
        <w:rPr>
          <w:b/>
          <w:bCs/>
          <w:sz w:val="44"/>
          <w:szCs w:val="44"/>
          <w:u w:val="single"/>
        </w:rPr>
      </w:pPr>
    </w:p>
    <w:p w14:paraId="62649C49" w14:textId="778621EB" w:rsidR="00EE30C1" w:rsidRDefault="000750E7" w:rsidP="0011674E">
      <w:pPr>
        <w:jc w:val="center"/>
        <w:rPr>
          <w:b/>
          <w:bCs/>
          <w:sz w:val="44"/>
          <w:szCs w:val="44"/>
          <w:u w:val="single"/>
        </w:rPr>
      </w:pPr>
      <w:r>
        <w:rPr>
          <w:b/>
          <w:bCs/>
          <w:sz w:val="44"/>
          <w:szCs w:val="44"/>
          <w:u w:val="single"/>
        </w:rPr>
        <w:t>Nike</w:t>
      </w:r>
    </w:p>
    <w:p w14:paraId="7D85AFBB" w14:textId="6FD025F6" w:rsidR="00605FA5" w:rsidRDefault="00DF0594" w:rsidP="0011674E">
      <w:pPr>
        <w:jc w:val="center"/>
        <w:rPr>
          <w:b/>
          <w:bCs/>
          <w:sz w:val="44"/>
          <w:szCs w:val="44"/>
          <w:u w:val="single"/>
        </w:rPr>
      </w:pPr>
      <w:r>
        <w:rPr>
          <w:noProof/>
        </w:rPr>
        <mc:AlternateContent>
          <mc:Choice Requires="wps">
            <w:drawing>
              <wp:anchor distT="0" distB="0" distL="114300" distR="114300" simplePos="0" relativeHeight="251662336" behindDoc="0" locked="0" layoutInCell="1" allowOverlap="1" wp14:anchorId="0C0146A2" wp14:editId="505BC89E">
                <wp:simplePos x="0" y="0"/>
                <wp:positionH relativeFrom="column">
                  <wp:posOffset>2946400</wp:posOffset>
                </wp:positionH>
                <wp:positionV relativeFrom="paragraph">
                  <wp:posOffset>461857</wp:posOffset>
                </wp:positionV>
                <wp:extent cx="812800" cy="224366"/>
                <wp:effectExtent l="0" t="0" r="12700" b="17145"/>
                <wp:wrapNone/>
                <wp:docPr id="4" name="Text Box 4"/>
                <wp:cNvGraphicFramePr/>
                <a:graphic xmlns:a="http://schemas.openxmlformats.org/drawingml/2006/main">
                  <a:graphicData uri="http://schemas.microsoft.com/office/word/2010/wordprocessingShape">
                    <wps:wsp>
                      <wps:cNvSpPr txBox="1"/>
                      <wps:spPr>
                        <a:xfrm>
                          <a:off x="0" y="0"/>
                          <a:ext cx="812800" cy="224366"/>
                        </a:xfrm>
                        <a:prstGeom prst="rect">
                          <a:avLst/>
                        </a:prstGeom>
                        <a:solidFill>
                          <a:schemeClr val="tx1"/>
                        </a:solidFill>
                        <a:ln w="6350">
                          <a:solidFill>
                            <a:prstClr val="black"/>
                          </a:solidFill>
                        </a:ln>
                      </wps:spPr>
                      <wps:txbx>
                        <w:txbxContent>
                          <w:p w14:paraId="305F9E04" w14:textId="78907BDF" w:rsidR="00605FA5" w:rsidRPr="001D12BF" w:rsidRDefault="00DF0594">
                            <w:pPr>
                              <w:rPr>
                                <w:b/>
                                <w:bCs/>
                                <w:color w:val="FFFF00"/>
                                <w:sz w:val="15"/>
                                <w:szCs w:val="15"/>
                              </w:rPr>
                            </w:pPr>
                            <w:r w:rsidRPr="001D12BF">
                              <w:rPr>
                                <w:b/>
                                <w:bCs/>
                                <w:color w:val="FFFF00"/>
                                <w:sz w:val="15"/>
                                <w:szCs w:val="15"/>
                              </w:rPr>
                              <w:t>Value investing</w:t>
                            </w:r>
                          </w:p>
                          <w:p w14:paraId="6758B35D" w14:textId="77777777" w:rsidR="001D12BF" w:rsidRDefault="001D12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0146A2" id="_x0000_t202" coordsize="21600,21600" o:spt="202" path="m,l,21600r21600,l21600,xe">
                <v:stroke joinstyle="miter"/>
                <v:path gradientshapeok="t" o:connecttype="rect"/>
              </v:shapetype>
              <v:shape id="Text Box 4" o:spid="_x0000_s1026" type="#_x0000_t202" style="position:absolute;left:0;text-align:left;margin-left:232pt;margin-top:36.35pt;width:64pt;height:17.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" fillcolor="black [3213]" strokeweight=".5pt">
                <v:textbox>
                  <w:txbxContent>
                    <w:p w14:paraId="305F9E04" w14:textId="78907BDF" w:rsidR="00605FA5" w:rsidRPr="001D12BF" w:rsidRDefault="00DF0594">
                      <w:pPr>
                        <w:rPr>
                          <w:b/>
                          <w:bCs/>
                          <w:color w:val="FFFF00"/>
                          <w:sz w:val="15"/>
                          <w:szCs w:val="15"/>
                        </w:rPr>
                      </w:pPr>
                      <w:r w:rsidRPr="001D12BF">
                        <w:rPr>
                          <w:b/>
                          <w:bCs/>
                          <w:color w:val="FFFF00"/>
                          <w:sz w:val="15"/>
                          <w:szCs w:val="15"/>
                        </w:rPr>
                        <w:t>Value investing</w:t>
                      </w:r>
                    </w:p>
                    <w:p w14:paraId="6758B35D" w14:textId="77777777" w:rsidR="001D12BF" w:rsidRDefault="001D12BF"/>
                  </w:txbxContent>
                </v:textbox>
              </v:shape>
            </w:pict>
          </mc:Fallback>
        </mc:AlternateContent>
      </w:r>
      <w:r w:rsidR="00605FA5">
        <w:rPr>
          <w:b/>
          <w:bCs/>
          <w:noProof/>
          <w:sz w:val="44"/>
          <w:szCs w:val="44"/>
          <w:u w:val="single"/>
        </w:rPr>
        <mc:AlternateContent>
          <mc:Choice Requires="wps">
            <w:drawing>
              <wp:anchor distT="0" distB="0" distL="114300" distR="114300" simplePos="0" relativeHeight="251661312" behindDoc="0" locked="0" layoutInCell="1" allowOverlap="1" wp14:anchorId="7E0B2CB7" wp14:editId="285849B4">
                <wp:simplePos x="0" y="0"/>
                <wp:positionH relativeFrom="column">
                  <wp:posOffset>3263900</wp:posOffset>
                </wp:positionH>
                <wp:positionV relativeFrom="paragraph">
                  <wp:posOffset>681990</wp:posOffset>
                </wp:positionV>
                <wp:extent cx="304800" cy="317500"/>
                <wp:effectExtent l="12700" t="12700" r="12700" b="12700"/>
                <wp:wrapNone/>
                <wp:docPr id="3" name="Straight Connector 3"/>
                <wp:cNvGraphicFramePr/>
                <a:graphic xmlns:a="http://schemas.openxmlformats.org/drawingml/2006/main">
                  <a:graphicData uri="http://schemas.microsoft.com/office/word/2010/wordprocessingShape">
                    <wps:wsp>
                      <wps:cNvCnPr/>
                      <wps:spPr>
                        <a:xfrm>
                          <a:off x="0" y="0"/>
                          <a:ext cx="304800" cy="317500"/>
                        </a:xfrm>
                        <a:prstGeom prst="line">
                          <a:avLst/>
                        </a:prstGeom>
                        <a:ln w="1905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23FA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pt,53.7pt" to="281pt,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" strokecolor="yellow" strokeweight="1.5pt">
                <v:stroke joinstyle="miter"/>
              </v:line>
            </w:pict>
          </mc:Fallback>
        </mc:AlternateContent>
      </w:r>
      <w:r w:rsidR="00605FA5" w:rsidRPr="001D12BF">
        <w:rPr>
          <w:b/>
          <w:bCs/>
          <w:noProof/>
          <w:color w:val="FFFF00"/>
          <w:sz w:val="44"/>
          <w:szCs w:val="44"/>
          <w:u w:val="single"/>
        </w:rPr>
        <mc:AlternateContent>
          <mc:Choice Requires="wps">
            <w:drawing>
              <wp:anchor distT="0" distB="0" distL="114300" distR="114300" simplePos="0" relativeHeight="251659264" behindDoc="0" locked="0" layoutInCell="1" allowOverlap="1" wp14:anchorId="490409E1" wp14:editId="29C5E7BF">
                <wp:simplePos x="0" y="0"/>
                <wp:positionH relativeFrom="column">
                  <wp:posOffset>3251200</wp:posOffset>
                </wp:positionH>
                <wp:positionV relativeFrom="paragraph">
                  <wp:posOffset>681990</wp:posOffset>
                </wp:positionV>
                <wp:extent cx="317500" cy="317500"/>
                <wp:effectExtent l="12700" t="12700" r="12700" b="12700"/>
                <wp:wrapNone/>
                <wp:docPr id="2" name="Straight Connector 2"/>
                <wp:cNvGraphicFramePr/>
                <a:graphic xmlns:a="http://schemas.openxmlformats.org/drawingml/2006/main">
                  <a:graphicData uri="http://schemas.microsoft.com/office/word/2010/wordprocessingShape">
                    <wps:wsp>
                      <wps:cNvCnPr/>
                      <wps:spPr>
                        <a:xfrm flipH="1">
                          <a:off x="0" y="0"/>
                          <a:ext cx="317500" cy="317500"/>
                        </a:xfrm>
                        <a:prstGeom prst="line">
                          <a:avLst/>
                        </a:prstGeom>
                        <a:ln w="1905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D48CAD" id="Straight Connector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56pt,53.7pt" to="281pt,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" strokecolor="yellow" strokeweight="1.5pt">
                <v:stroke joinstyle="miter"/>
              </v:line>
            </w:pict>
          </mc:Fallback>
        </mc:AlternateContent>
      </w:r>
      <w:r w:rsidR="00605FA5">
        <w:rPr>
          <w:b/>
          <w:bCs/>
          <w:noProof/>
          <w:sz w:val="44"/>
          <w:szCs w:val="44"/>
          <w:u w:val="single"/>
        </w:rPr>
        <w:drawing>
          <wp:inline distT="0" distB="0" distL="0" distR="0" wp14:anchorId="69FE5360" wp14:editId="5CD176D2">
            <wp:extent cx="1816100" cy="1117600"/>
            <wp:effectExtent l="0" t="0" r="0" b="0"/>
            <wp:docPr id="1"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1816100" cy="1117600"/>
                    </a:xfrm>
                    <a:prstGeom prst="rect">
                      <a:avLst/>
                    </a:prstGeom>
                  </pic:spPr>
                </pic:pic>
              </a:graphicData>
            </a:graphic>
          </wp:inline>
        </w:drawing>
      </w:r>
    </w:p>
    <w:p w14:paraId="5E6EA342" w14:textId="654A984C" w:rsidR="00605FA5" w:rsidRDefault="00605FA5" w:rsidP="0011674E">
      <w:pPr>
        <w:jc w:val="center"/>
        <w:rPr>
          <w:b/>
          <w:bCs/>
          <w:sz w:val="44"/>
          <w:szCs w:val="44"/>
          <w:u w:val="single"/>
        </w:rPr>
      </w:pPr>
    </w:p>
    <w:p w14:paraId="2F619872" w14:textId="4E22169E" w:rsidR="0011674E" w:rsidRDefault="0011674E" w:rsidP="0011674E">
      <w:pPr>
        <w:jc w:val="center"/>
        <w:rPr>
          <w:b/>
          <w:bCs/>
          <w:sz w:val="44"/>
          <w:szCs w:val="44"/>
          <w:u w:val="single"/>
        </w:rPr>
      </w:pPr>
    </w:p>
    <w:p w14:paraId="79D59FF5" w14:textId="73BC3C7B" w:rsidR="0011674E" w:rsidRDefault="0011674E" w:rsidP="0011674E">
      <w:pPr>
        <w:jc w:val="center"/>
      </w:pPr>
      <w:r w:rsidRPr="0011674E">
        <w:t>Assignment</w:t>
      </w:r>
      <w:r>
        <w:t xml:space="preserve"> – Due </w:t>
      </w:r>
      <w:r w:rsidR="001E6CD8">
        <w:t xml:space="preserve">Tuesday </w:t>
      </w:r>
      <w:r w:rsidR="00D00C78">
        <w:t>February 24</w:t>
      </w:r>
      <w:r w:rsidR="00D00C78" w:rsidRPr="00D00C78">
        <w:rPr>
          <w:vertAlign w:val="superscript"/>
        </w:rPr>
        <w:t>th</w:t>
      </w:r>
      <w:r w:rsidR="00D00C78">
        <w:t xml:space="preserve"> 2026</w:t>
      </w:r>
      <w:r w:rsidR="00102A0F">
        <w:t xml:space="preserve"> at 9:00AM</w:t>
      </w:r>
    </w:p>
    <w:p w14:paraId="069FFDEE" w14:textId="0BF4AA53" w:rsidR="000750E7" w:rsidRDefault="00011156" w:rsidP="0011674E">
      <w:pPr>
        <w:jc w:val="center"/>
      </w:pPr>
      <w:r>
        <w:t>All the d</w:t>
      </w:r>
      <w:r w:rsidR="000750E7">
        <w:t>ata</w:t>
      </w:r>
      <w:r>
        <w:t xml:space="preserve"> for this homework (except where indicated)</w:t>
      </w:r>
      <w:r w:rsidR="000750E7">
        <w:t xml:space="preserve"> is available in the class website</w:t>
      </w:r>
      <w:r w:rsidR="008F59BB">
        <w:t xml:space="preserve"> in the spreadsheet called NKE-Homework-202</w:t>
      </w:r>
      <w:r w:rsidR="00D00C78">
        <w:t>6</w:t>
      </w:r>
    </w:p>
    <w:p w14:paraId="0BB4C4E7" w14:textId="77777777" w:rsidR="00D00C78" w:rsidRDefault="00D00C78" w:rsidP="0011674E">
      <w:pPr>
        <w:jc w:val="center"/>
      </w:pPr>
    </w:p>
    <w:p w14:paraId="132E6A7D" w14:textId="77777777" w:rsidR="00D00C78" w:rsidRDefault="00D00C78" w:rsidP="00D00C78">
      <w:pPr>
        <w:jc w:val="both"/>
      </w:pPr>
      <w:r w:rsidRPr="00AF64B6">
        <w:rPr>
          <w:u w:val="single"/>
        </w:rPr>
        <w:t>Instructions</w:t>
      </w:r>
      <w:r>
        <w:t xml:space="preserve">: </w:t>
      </w:r>
    </w:p>
    <w:p w14:paraId="76B7EF29" w14:textId="77777777" w:rsidR="00D00C78" w:rsidRDefault="00D00C78" w:rsidP="00D00C78">
      <w:pPr>
        <w:pStyle w:val="ListParagraph"/>
        <w:numPr>
          <w:ilvl w:val="0"/>
          <w:numId w:val="5"/>
        </w:numPr>
      </w:pPr>
      <w:r>
        <w:t xml:space="preserve">No exceptions regarding the time of submission </w:t>
      </w:r>
    </w:p>
    <w:p w14:paraId="095EE91D" w14:textId="77777777" w:rsidR="00D00C78" w:rsidRDefault="00D00C78" w:rsidP="00D00C78">
      <w:pPr>
        <w:pStyle w:val="ListParagraph"/>
        <w:numPr>
          <w:ilvl w:val="0"/>
          <w:numId w:val="5"/>
        </w:numPr>
      </w:pPr>
      <w:r>
        <w:t xml:space="preserve">Submit a pdf </w:t>
      </w:r>
    </w:p>
    <w:p w14:paraId="1921C2B2" w14:textId="77777777" w:rsidR="00D00C78" w:rsidRDefault="00D00C78" w:rsidP="00D00C78">
      <w:pPr>
        <w:pStyle w:val="ListParagraph"/>
        <w:numPr>
          <w:ilvl w:val="0"/>
          <w:numId w:val="5"/>
        </w:numPr>
      </w:pPr>
      <w:r>
        <w:t>Write the names of all the members of the group at the top of your homework</w:t>
      </w:r>
    </w:p>
    <w:p w14:paraId="3F36F33E" w14:textId="48AB5AE9" w:rsidR="00D00C78" w:rsidRDefault="00D00C78" w:rsidP="00D00C78">
      <w:pPr>
        <w:pStyle w:val="ListParagraph"/>
        <w:numPr>
          <w:ilvl w:val="0"/>
          <w:numId w:val="5"/>
        </w:numPr>
      </w:pPr>
      <w:r>
        <w:t xml:space="preserve">The name of the file should be the last name of one of the members of the group, Nestle and MBA2026. For instance, if the name of one of the members of the team is </w:t>
      </w:r>
      <w:proofErr w:type="gramStart"/>
      <w:r w:rsidR="00A83584">
        <w:t>Peter Parker</w:t>
      </w:r>
      <w:proofErr w:type="gramEnd"/>
      <w:r>
        <w:t xml:space="preserve"> then the file should be named </w:t>
      </w:r>
      <w:r w:rsidR="00A83584">
        <w:t>Parker</w:t>
      </w:r>
      <w:r>
        <w:t xml:space="preserve">-Nike-MBA-2026.pdf  </w:t>
      </w:r>
    </w:p>
    <w:p w14:paraId="6219CF31" w14:textId="77777777" w:rsidR="00D00C78" w:rsidRDefault="00D00C78" w:rsidP="0011674E">
      <w:pPr>
        <w:jc w:val="center"/>
      </w:pPr>
    </w:p>
    <w:p w14:paraId="4E6EBC1E" w14:textId="0933A6C4" w:rsidR="00011156" w:rsidRDefault="00011156" w:rsidP="00D00C78"/>
    <w:p w14:paraId="1D9154D8" w14:textId="65E0BE83" w:rsidR="00011156" w:rsidRDefault="00011156" w:rsidP="00011156">
      <w:pPr>
        <w:jc w:val="both"/>
      </w:pPr>
      <w:r>
        <w:t xml:space="preserve">Nike and Adidas are the two behemoths of the sports apparel industry and in this </w:t>
      </w:r>
      <w:r w:rsidR="00CD1478">
        <w:t>homework,</w:t>
      </w:r>
      <w:r>
        <w:t xml:space="preserve"> we explore one of them in detail.  </w:t>
      </w:r>
      <w:r w:rsidR="00606B2E">
        <w:t xml:space="preserve">Nike is at an interesting moment: It has seen better days and </w:t>
      </w:r>
      <w:r>
        <w:t xml:space="preserve"> </w:t>
      </w:r>
    </w:p>
    <w:p w14:paraId="5CB31D47" w14:textId="77777777" w:rsidR="0011674E" w:rsidRDefault="0011674E" w:rsidP="00011156">
      <w:pPr>
        <w:jc w:val="both"/>
      </w:pPr>
    </w:p>
    <w:p w14:paraId="6B59BEF1" w14:textId="192CBBC5" w:rsidR="00357A50" w:rsidRDefault="003D50EB" w:rsidP="00011156">
      <w:pPr>
        <w:pStyle w:val="ListParagraph"/>
        <w:numPr>
          <w:ilvl w:val="0"/>
          <w:numId w:val="1"/>
        </w:numPr>
        <w:jc w:val="both"/>
      </w:pPr>
      <w:r w:rsidRPr="009003CF">
        <w:rPr>
          <w:b/>
          <w:bCs/>
        </w:rPr>
        <w:t>Industry.</w:t>
      </w:r>
      <w:r w:rsidR="0076050E">
        <w:rPr>
          <w:b/>
          <w:bCs/>
        </w:rPr>
        <w:t xml:space="preserve"> </w:t>
      </w:r>
      <w:r>
        <w:t>In the excel spreadsheet</w:t>
      </w:r>
      <w:r w:rsidR="00357A50">
        <w:t xml:space="preserve">, you are given data on the leading athletic apparel and footwear companies (Nike, Adidas, Asics, Puma, </w:t>
      </w:r>
      <w:proofErr w:type="spellStart"/>
      <w:r w:rsidR="00357A50">
        <w:t>Underarmour</w:t>
      </w:r>
      <w:proofErr w:type="spellEnd"/>
      <w:r w:rsidR="00357A50">
        <w:t xml:space="preserve"> and Lululemon).</w:t>
      </w:r>
      <w:r w:rsidR="00A80327">
        <w:rPr>
          <w:rStyle w:val="FootnoteReference"/>
        </w:rPr>
        <w:footnoteReference w:id="1"/>
      </w:r>
      <w:r w:rsidR="00357A50">
        <w:t xml:space="preserve"> </w:t>
      </w:r>
      <w:r w:rsidR="0051697A">
        <w:t>Treat the industry as these six companies.</w:t>
      </w:r>
    </w:p>
    <w:p w14:paraId="1EDAAA14" w14:textId="7692FE0C" w:rsidR="00357A50" w:rsidRDefault="00357A50" w:rsidP="00357A50">
      <w:pPr>
        <w:pStyle w:val="ListParagraph"/>
        <w:numPr>
          <w:ilvl w:val="1"/>
          <w:numId w:val="1"/>
        </w:numPr>
        <w:jc w:val="both"/>
      </w:pPr>
      <w:r>
        <w:t>Plot the share of aggregate revenues of each</w:t>
      </w:r>
      <w:r w:rsidR="00010517">
        <w:t xml:space="preserve"> (the data is in the sheet called Industry Revenues)</w:t>
      </w:r>
      <w:r>
        <w:t xml:space="preserve">. Given that we only have data from 2014 for Asics do this plot </w:t>
      </w:r>
      <w:r>
        <w:lastRenderedPageBreak/>
        <w:t>since that year. Is there any company gaining ground at the expense of the others? Why do you think this is the case?</w:t>
      </w:r>
    </w:p>
    <w:p w14:paraId="6E69806A" w14:textId="61E4F15C" w:rsidR="003D50EB" w:rsidRDefault="00AF7910" w:rsidP="00357A50">
      <w:pPr>
        <w:pStyle w:val="ListParagraph"/>
        <w:numPr>
          <w:ilvl w:val="1"/>
          <w:numId w:val="1"/>
        </w:numPr>
        <w:jc w:val="both"/>
      </w:pPr>
      <w:r>
        <w:t xml:space="preserve">Plot the operating margins of </w:t>
      </w:r>
      <w:r w:rsidR="00357A50">
        <w:t xml:space="preserve">these companies. </w:t>
      </w:r>
      <w:r w:rsidR="00D3719F">
        <w:t xml:space="preserve">Which one has the highest operating margins? Are they stable? </w:t>
      </w:r>
    </w:p>
    <w:p w14:paraId="20ADC407" w14:textId="3AB0E3F0" w:rsidR="006164CD" w:rsidRDefault="006164CD" w:rsidP="00357A50">
      <w:pPr>
        <w:pStyle w:val="ListParagraph"/>
        <w:numPr>
          <w:ilvl w:val="1"/>
          <w:numId w:val="1"/>
        </w:numPr>
        <w:jc w:val="both"/>
      </w:pPr>
      <w:r>
        <w:t xml:space="preserve">What is the geographic distribution of Nike’s business? </w:t>
      </w:r>
    </w:p>
    <w:p w14:paraId="3516C48D" w14:textId="4B9B218B" w:rsidR="00D5735F" w:rsidRDefault="009D6580" w:rsidP="00357A50">
      <w:pPr>
        <w:pStyle w:val="ListParagraph"/>
        <w:numPr>
          <w:ilvl w:val="1"/>
          <w:numId w:val="1"/>
        </w:numPr>
        <w:jc w:val="both"/>
      </w:pPr>
      <w:r>
        <w:t>The athletic apparel and footwear industry is a sponsorship busines</w:t>
      </w:r>
      <w:r w:rsidR="00894708">
        <w:t>s</w:t>
      </w:r>
      <w:r w:rsidR="00D5735F">
        <w:t xml:space="preserve">. </w:t>
      </w:r>
      <w:r w:rsidR="00894708">
        <w:t xml:space="preserve">Take </w:t>
      </w:r>
      <w:r w:rsidR="00440114">
        <w:t xml:space="preserve">Nike and Adidas. </w:t>
      </w:r>
      <w:r w:rsidR="00D5735F">
        <w:t xml:space="preserve">Do they </w:t>
      </w:r>
      <w:r w:rsidR="00A83584">
        <w:t>compete</w:t>
      </w:r>
      <w:r w:rsidR="00D5735F">
        <w:t xml:space="preserve"> across sports</w:t>
      </w:r>
      <w:r w:rsidR="00440114">
        <w:t xml:space="preserve"> or are they geographically focused</w:t>
      </w:r>
      <w:r w:rsidR="00D5735F">
        <w:t xml:space="preserve">? </w:t>
      </w:r>
    </w:p>
    <w:p w14:paraId="371A835C" w14:textId="47EBAFE7" w:rsidR="00665419" w:rsidRDefault="00665419" w:rsidP="00665419">
      <w:pPr>
        <w:jc w:val="both"/>
      </w:pPr>
    </w:p>
    <w:p w14:paraId="5C9C708D" w14:textId="77777777" w:rsidR="00D5735F" w:rsidRPr="009D6580" w:rsidRDefault="00D5735F" w:rsidP="009D6580">
      <w:pPr>
        <w:jc w:val="both"/>
        <w:rPr>
          <w:b/>
          <w:bCs/>
        </w:rPr>
      </w:pPr>
    </w:p>
    <w:p w14:paraId="1BE7D2A3" w14:textId="218A95AA" w:rsidR="00B2258C" w:rsidRPr="009003CF" w:rsidRDefault="00B2258C" w:rsidP="00011156">
      <w:pPr>
        <w:pStyle w:val="ListParagraph"/>
        <w:numPr>
          <w:ilvl w:val="0"/>
          <w:numId w:val="1"/>
        </w:numPr>
        <w:jc w:val="both"/>
        <w:rPr>
          <w:b/>
          <w:bCs/>
        </w:rPr>
      </w:pPr>
      <w:r w:rsidRPr="009003CF">
        <w:rPr>
          <w:b/>
          <w:bCs/>
        </w:rPr>
        <w:t>Nike</w:t>
      </w:r>
      <w:r w:rsidR="009003CF" w:rsidRPr="009003CF">
        <w:rPr>
          <w:b/>
          <w:bCs/>
        </w:rPr>
        <w:t xml:space="preserve">: </w:t>
      </w:r>
      <w:r w:rsidRPr="009003CF">
        <w:rPr>
          <w:b/>
          <w:bCs/>
        </w:rPr>
        <w:t>Asset Value</w:t>
      </w:r>
      <w:r w:rsidR="0076050E">
        <w:rPr>
          <w:b/>
          <w:bCs/>
        </w:rPr>
        <w:t xml:space="preserve"> </w:t>
      </w:r>
    </w:p>
    <w:p w14:paraId="6158C355" w14:textId="77777777" w:rsidR="00665419" w:rsidRDefault="0005635A" w:rsidP="00B2258C">
      <w:pPr>
        <w:pStyle w:val="ListParagraph"/>
        <w:numPr>
          <w:ilvl w:val="1"/>
          <w:numId w:val="1"/>
        </w:numPr>
        <w:jc w:val="both"/>
      </w:pPr>
      <w:r>
        <w:t>Obviously</w:t>
      </w:r>
      <w:r w:rsidR="00702F22">
        <w:t>,</w:t>
      </w:r>
      <w:r>
        <w:t xml:space="preserve"> the key asset</w:t>
      </w:r>
      <w:r w:rsidR="009003CF">
        <w:t xml:space="preserve"> for Nike</w:t>
      </w:r>
      <w:r>
        <w:t xml:space="preserve"> is the brand</w:t>
      </w:r>
      <w:r w:rsidR="00665419">
        <w:t xml:space="preserve"> and the calculation of this entry is key for much of what follows, so we are going to triangulate as much as possible.</w:t>
      </w:r>
    </w:p>
    <w:p w14:paraId="56CC9F0E" w14:textId="35C31925" w:rsidR="00AF7910" w:rsidRDefault="001E715C" w:rsidP="00665419">
      <w:pPr>
        <w:pStyle w:val="ListParagraph"/>
        <w:numPr>
          <w:ilvl w:val="2"/>
          <w:numId w:val="1"/>
        </w:numPr>
        <w:jc w:val="both"/>
      </w:pPr>
      <w:r>
        <w:t>But, first</w:t>
      </w:r>
      <w:r w:rsidR="00665419">
        <w:t>, where are the marketing expenses of Nike reported? What does that number include?</w:t>
      </w:r>
      <w:r w:rsidR="009E10D8">
        <w:t xml:space="preserve"> </w:t>
      </w:r>
      <w:r>
        <w:t>What do they mean by “demand creation”?</w:t>
      </w:r>
    </w:p>
    <w:p w14:paraId="50CB3044" w14:textId="22B37647" w:rsidR="004611BD" w:rsidRDefault="001E715C" w:rsidP="009E10D8">
      <w:pPr>
        <w:pStyle w:val="ListParagraph"/>
        <w:numPr>
          <w:ilvl w:val="2"/>
          <w:numId w:val="1"/>
        </w:numPr>
        <w:jc w:val="both"/>
      </w:pPr>
      <w:r w:rsidRPr="001E715C">
        <w:rPr>
          <w:u w:val="single"/>
        </w:rPr>
        <w:t>Capitalization of marketing expenses</w:t>
      </w:r>
      <w:r>
        <w:t xml:space="preserve">: </w:t>
      </w:r>
      <w:r w:rsidR="00665419">
        <w:t xml:space="preserve">Calculate the value of the brand by discounting the relevant marketing </w:t>
      </w:r>
      <w:r w:rsidR="0005635A">
        <w:t xml:space="preserve">(NKE’s </w:t>
      </w:r>
      <w:r w:rsidR="00665419">
        <w:t xml:space="preserve">current </w:t>
      </w:r>
      <w:r w:rsidR="0005635A">
        <w:t>WACC is</w:t>
      </w:r>
      <w:r w:rsidR="00665419">
        <w:t xml:space="preserve"> </w:t>
      </w:r>
      <w:r>
        <w:t>9%</w:t>
      </w:r>
      <w:r w:rsidR="0005635A">
        <w:t xml:space="preserve">).  </w:t>
      </w:r>
    </w:p>
    <w:p w14:paraId="7E234C23" w14:textId="3EC3E492" w:rsidR="009E10D8" w:rsidRDefault="001E715C" w:rsidP="009E10D8">
      <w:pPr>
        <w:pStyle w:val="ListParagraph"/>
        <w:numPr>
          <w:ilvl w:val="2"/>
          <w:numId w:val="1"/>
        </w:numPr>
        <w:jc w:val="both"/>
      </w:pPr>
      <w:r w:rsidRPr="001E715C">
        <w:rPr>
          <w:u w:val="single"/>
        </w:rPr>
        <w:t>Marketing companies estimates</w:t>
      </w:r>
      <w:r>
        <w:t xml:space="preserve">: </w:t>
      </w:r>
      <w:r w:rsidR="009003CF">
        <w:t xml:space="preserve">How does it compare </w:t>
      </w:r>
      <w:r w:rsidR="00702F22">
        <w:t xml:space="preserve">to the estimates marketing companies assign to the brand value? </w:t>
      </w:r>
    </w:p>
    <w:p w14:paraId="7F83F773" w14:textId="0CCC688F" w:rsidR="00665419" w:rsidRDefault="001E715C" w:rsidP="009E10D8">
      <w:pPr>
        <w:pStyle w:val="ListParagraph"/>
        <w:numPr>
          <w:ilvl w:val="2"/>
          <w:numId w:val="1"/>
        </w:numPr>
        <w:jc w:val="both"/>
      </w:pPr>
      <w:r w:rsidRPr="001E715C">
        <w:rPr>
          <w:u w:val="single"/>
        </w:rPr>
        <w:t>The Royalty Relief Method</w:t>
      </w:r>
      <w:r>
        <w:t xml:space="preserve">: </w:t>
      </w:r>
      <w:r w:rsidR="00665419">
        <w:t>Royalties for licensing sports brand are in the 1</w:t>
      </w:r>
      <w:r w:rsidR="004B35D4">
        <w:t>0-15</w:t>
      </w:r>
      <w:r w:rsidR="00665419">
        <w:t>% range</w:t>
      </w:r>
      <w:r w:rsidR="004B35D4">
        <w:t>, depending on the quality of the brand</w:t>
      </w:r>
      <w:r w:rsidR="00665419">
        <w:t>.</w:t>
      </w:r>
      <w:r w:rsidR="00A70260">
        <w:rPr>
          <w:rStyle w:val="FootnoteReference"/>
        </w:rPr>
        <w:footnoteReference w:id="2"/>
      </w:r>
      <w:r w:rsidR="00665419">
        <w:t xml:space="preserve"> Thus</w:t>
      </w:r>
      <w:r w:rsidR="00010517">
        <w:t>,</w:t>
      </w:r>
      <w:r w:rsidR="00665419">
        <w:t xml:space="preserve"> to generate the revenue of $</w:t>
      </w:r>
      <w:r w:rsidR="001D4A23">
        <w:t>46.3</w:t>
      </w:r>
      <w:r w:rsidR="00665419">
        <w:t>bn on a sustainable basis, Nike would have to pay</w:t>
      </w:r>
      <w:r w:rsidR="004B35D4">
        <w:t>, say,</w:t>
      </w:r>
      <w:r w:rsidR="00665419">
        <w:t xml:space="preserve"> 1</w:t>
      </w:r>
      <w:r w:rsidR="004B35D4">
        <w:t>3</w:t>
      </w:r>
      <w:r w:rsidR="00665419">
        <w:t>% of that magnitude indefinitely.</w:t>
      </w:r>
      <w:r w:rsidR="00BA284B">
        <w:rPr>
          <w:rStyle w:val="FootnoteReference"/>
        </w:rPr>
        <w:footnoteReference w:id="3"/>
      </w:r>
      <w:r w:rsidR="00665419">
        <w:t xml:space="preserve"> What is the capitalized value of these (imputed) royalty payments.</w:t>
      </w:r>
      <w:r w:rsidR="00665419">
        <w:rPr>
          <w:rStyle w:val="FootnoteReference"/>
        </w:rPr>
        <w:footnoteReference w:id="4"/>
      </w:r>
      <w:r w:rsidR="00665419">
        <w:t xml:space="preserve"> </w:t>
      </w:r>
    </w:p>
    <w:p w14:paraId="1E7B4C51" w14:textId="60DA5733" w:rsidR="00731755" w:rsidRDefault="00731755" w:rsidP="00731755">
      <w:pPr>
        <w:pStyle w:val="ListParagraph"/>
        <w:numPr>
          <w:ilvl w:val="3"/>
          <w:numId w:val="1"/>
        </w:numPr>
        <w:jc w:val="both"/>
      </w:pPr>
      <w:r>
        <w:t xml:space="preserve">Nike would have to </w:t>
      </w:r>
      <w:proofErr w:type="gramStart"/>
      <w:r>
        <w:t>take into account</w:t>
      </w:r>
      <w:proofErr w:type="gramEnd"/>
      <w:r>
        <w:t xml:space="preserve"> the amortization of the brand; take an amortization </w:t>
      </w:r>
      <w:r w:rsidR="006D1F47">
        <w:t xml:space="preserve">rate of 10%, which means that after </w:t>
      </w:r>
      <w:r w:rsidR="00DC238D">
        <w:t>20</w:t>
      </w:r>
      <w:r w:rsidR="006D1F47">
        <w:t xml:space="preserve"> years there is about </w:t>
      </w:r>
      <w:r w:rsidR="00DC238D">
        <w:t>1</w:t>
      </w:r>
      <w:r w:rsidR="006D1F47">
        <w:t xml:space="preserve">0% of the brand left, almost full amortization. </w:t>
      </w:r>
      <w:r w:rsidR="00DC238D">
        <w:t xml:space="preserve">That is, calculate the value of the brand by dividing the relief from the royalty by the </w:t>
      </w:r>
      <w:proofErr w:type="spellStart"/>
      <w:r w:rsidR="00DC238D">
        <w:t>wacc</w:t>
      </w:r>
      <w:proofErr w:type="spellEnd"/>
      <w:r w:rsidR="001E715C">
        <w:t xml:space="preserve"> of 9%</w:t>
      </w:r>
      <w:r w:rsidR="00DC238D">
        <w:t xml:space="preserve"> plus the amortization rate.</w:t>
      </w:r>
      <w:r>
        <w:t xml:space="preserve"> </w:t>
      </w:r>
    </w:p>
    <w:p w14:paraId="5D632D94" w14:textId="004F7E97" w:rsidR="00665419" w:rsidRDefault="00665419" w:rsidP="009E10D8">
      <w:pPr>
        <w:pStyle w:val="ListParagraph"/>
        <w:numPr>
          <w:ilvl w:val="2"/>
          <w:numId w:val="1"/>
        </w:numPr>
        <w:jc w:val="both"/>
      </w:pPr>
      <w:r>
        <w:t xml:space="preserve">What is a reasonable assessment of the value of the brand? </w:t>
      </w:r>
    </w:p>
    <w:p w14:paraId="68B12BD2" w14:textId="70CFDE3F" w:rsidR="0005635A" w:rsidRDefault="00356EDE" w:rsidP="009E10D8">
      <w:pPr>
        <w:pStyle w:val="ListParagraph"/>
        <w:numPr>
          <w:ilvl w:val="2"/>
          <w:numId w:val="1"/>
        </w:numPr>
        <w:jc w:val="both"/>
      </w:pPr>
      <w:r>
        <w:t xml:space="preserve">Go to the sheet named </w:t>
      </w:r>
      <w:r w:rsidR="006164CD">
        <w:t>Demand Creation</w:t>
      </w:r>
      <w:r>
        <w:t xml:space="preserve"> in the excel spreadsheet. There I give you the data for “demand creation” up to fiscal year 202</w:t>
      </w:r>
      <w:r w:rsidR="001D4A23">
        <w:t>5.</w:t>
      </w:r>
      <w:r>
        <w:t xml:space="preserve"> </w:t>
      </w:r>
      <w:r w:rsidR="0005635A">
        <w:t>What explains the drop in dema</w:t>
      </w:r>
      <w:r w:rsidR="005173C5">
        <w:t>n</w:t>
      </w:r>
      <w:r w:rsidR="0005635A">
        <w:t>d creation expenses between FY20</w:t>
      </w:r>
      <w:r w:rsidR="009003CF">
        <w:t>20 and FY2021</w:t>
      </w:r>
      <w:r w:rsidR="008E556C">
        <w:t xml:space="preserve"> and the recovery on FY2022 (see, for instance, page 32 of the </w:t>
      </w:r>
      <w:r>
        <w:t xml:space="preserve">FY2022 </w:t>
      </w:r>
      <w:r w:rsidR="00FF0840">
        <w:t>annual report</w:t>
      </w:r>
      <w:r w:rsidR="009003CF">
        <w:t>?</w:t>
      </w:r>
      <w:r w:rsidR="00010517">
        <w:t>)</w:t>
      </w:r>
    </w:p>
    <w:p w14:paraId="1EDEE402" w14:textId="66B1EAA7" w:rsidR="009E10D8" w:rsidRDefault="009E10D8" w:rsidP="00B2258C">
      <w:pPr>
        <w:pStyle w:val="ListParagraph"/>
        <w:numPr>
          <w:ilvl w:val="1"/>
          <w:numId w:val="1"/>
        </w:numPr>
        <w:jc w:val="both"/>
      </w:pPr>
      <w:r>
        <w:lastRenderedPageBreak/>
        <w:t>Calculate the asset value</w:t>
      </w:r>
      <w:r w:rsidR="00D869A0">
        <w:t xml:space="preserve"> (ignore other adjustments</w:t>
      </w:r>
      <w:r w:rsidR="001D4A23">
        <w:t>,</w:t>
      </w:r>
      <w:r w:rsidR="00D869A0">
        <w:t xml:space="preserve"> as they are second order relative to the brand)</w:t>
      </w:r>
    </w:p>
    <w:p w14:paraId="2E9EC94D" w14:textId="1C03E819" w:rsidR="009003CF" w:rsidRDefault="009003CF" w:rsidP="009003CF">
      <w:pPr>
        <w:pStyle w:val="ListParagraph"/>
        <w:numPr>
          <w:ilvl w:val="0"/>
          <w:numId w:val="1"/>
        </w:numPr>
        <w:jc w:val="both"/>
      </w:pPr>
      <w:r>
        <w:rPr>
          <w:b/>
          <w:bCs/>
        </w:rPr>
        <w:t xml:space="preserve">Nike: </w:t>
      </w:r>
      <w:r w:rsidR="00E04E3A" w:rsidRPr="00E04E3A">
        <w:rPr>
          <w:b/>
          <w:bCs/>
        </w:rPr>
        <w:t>EPV</w:t>
      </w:r>
      <w:r>
        <w:rPr>
          <w:b/>
          <w:bCs/>
        </w:rPr>
        <w:t xml:space="preserve">. </w:t>
      </w:r>
    </w:p>
    <w:p w14:paraId="212E3006" w14:textId="4ECC9268" w:rsidR="00AF7910" w:rsidRDefault="00AF7910" w:rsidP="00011156">
      <w:pPr>
        <w:pStyle w:val="ListParagraph"/>
        <w:numPr>
          <w:ilvl w:val="1"/>
          <w:numId w:val="1"/>
        </w:numPr>
        <w:jc w:val="both"/>
      </w:pPr>
      <w:r>
        <w:t>Assume</w:t>
      </w:r>
      <w:r w:rsidR="002B1362">
        <w:t xml:space="preserve"> that you can amortize fully the brand in </w:t>
      </w:r>
      <w:r w:rsidR="001F510E">
        <w:t>twenty</w:t>
      </w:r>
      <w:r w:rsidR="002B1362">
        <w:t xml:space="preserve"> years</w:t>
      </w:r>
      <w:r w:rsidR="001F510E">
        <w:t>,</w:t>
      </w:r>
      <w:r w:rsidR="002B1362">
        <w:t xml:space="preserve"> using the straight</w:t>
      </w:r>
      <w:r w:rsidR="005E35EE">
        <w:t>-</w:t>
      </w:r>
      <w:r w:rsidR="002B1362">
        <w:t>line method.</w:t>
      </w:r>
      <w:r w:rsidR="00517911">
        <w:rPr>
          <w:rStyle w:val="FootnoteReference"/>
        </w:rPr>
        <w:footnoteReference w:id="5"/>
      </w:r>
      <w:r w:rsidR="002B1362">
        <w:t xml:space="preserve"> </w:t>
      </w:r>
      <w:r w:rsidR="00011156">
        <w:t xml:space="preserve"> </w:t>
      </w:r>
      <w:r w:rsidR="00A93377">
        <w:t xml:space="preserve">Thus, calculate the </w:t>
      </w:r>
      <w:r w:rsidR="008E08E8">
        <w:t xml:space="preserve">maintenance capex associated with brand as the value of the brand </w:t>
      </w:r>
      <w:r w:rsidR="00D869A0">
        <w:t xml:space="preserve">divided </w:t>
      </w:r>
      <w:r w:rsidR="008E08E8">
        <w:t>by the number of years needed to amortize fully</w:t>
      </w:r>
      <w:r w:rsidR="00010517">
        <w:t xml:space="preserve"> (I took 20 years or an amortization </w:t>
      </w:r>
      <w:r w:rsidR="001E715C">
        <w:t>period</w:t>
      </w:r>
      <w:r w:rsidR="00DC20F2">
        <w:t>; see above</w:t>
      </w:r>
      <w:r w:rsidR="00010517">
        <w:t>)</w:t>
      </w:r>
      <w:r w:rsidR="008E08E8">
        <w:t xml:space="preserve">.  </w:t>
      </w:r>
      <w:r w:rsidR="00D869A0">
        <w:t>Calculate the EPV.</w:t>
      </w:r>
    </w:p>
    <w:p w14:paraId="6A79322F" w14:textId="28179ECC" w:rsidR="00D40F1F" w:rsidRDefault="00D40F1F" w:rsidP="00011156">
      <w:pPr>
        <w:pStyle w:val="ListParagraph"/>
        <w:numPr>
          <w:ilvl w:val="1"/>
          <w:numId w:val="1"/>
        </w:numPr>
        <w:jc w:val="both"/>
      </w:pPr>
      <w:r>
        <w:t>How does the EPV compare to the AV? To the market cap?</w:t>
      </w:r>
      <w:r w:rsidR="00665419">
        <w:t xml:space="preserve"> </w:t>
      </w:r>
      <w:r w:rsidR="00010517">
        <w:t>Is Nike protected by barriers to entry?</w:t>
      </w:r>
    </w:p>
    <w:p w14:paraId="535749AD" w14:textId="77777777" w:rsidR="00414016" w:rsidRDefault="00414016" w:rsidP="00414016">
      <w:pPr>
        <w:jc w:val="both"/>
      </w:pPr>
    </w:p>
    <w:p w14:paraId="2D4DDD92" w14:textId="77777777" w:rsidR="00D8077C" w:rsidRPr="00D8077C" w:rsidRDefault="009003CF" w:rsidP="00011156">
      <w:pPr>
        <w:pStyle w:val="ListParagraph"/>
        <w:numPr>
          <w:ilvl w:val="0"/>
          <w:numId w:val="1"/>
        </w:numPr>
        <w:jc w:val="both"/>
      </w:pPr>
      <w:r>
        <w:rPr>
          <w:b/>
          <w:bCs/>
        </w:rPr>
        <w:t xml:space="preserve">Nike: </w:t>
      </w:r>
      <w:r w:rsidR="00E04E3A" w:rsidRPr="00E04E3A">
        <w:rPr>
          <w:b/>
          <w:bCs/>
        </w:rPr>
        <w:t>G</w:t>
      </w:r>
      <w:r w:rsidR="008E08E8">
        <w:rPr>
          <w:b/>
          <w:bCs/>
        </w:rPr>
        <w:t>rowth</w:t>
      </w:r>
      <w:r w:rsidR="00E04E3A">
        <w:t xml:space="preserve"> </w:t>
      </w:r>
    </w:p>
    <w:p w14:paraId="5C698E94" w14:textId="77777777" w:rsidR="009A5CF1" w:rsidRDefault="008E08E8" w:rsidP="00011156">
      <w:pPr>
        <w:pStyle w:val="ListParagraph"/>
        <w:numPr>
          <w:ilvl w:val="1"/>
          <w:numId w:val="1"/>
        </w:numPr>
        <w:jc w:val="both"/>
      </w:pPr>
      <w:r>
        <w:t xml:space="preserve">Do the back of the envelope calculation of the expected rate of return associated with investing in NKE. That is, </w:t>
      </w:r>
    </w:p>
    <w:p w14:paraId="4A80013B" w14:textId="2515619F" w:rsidR="00B745A9" w:rsidRDefault="009A5CF1" w:rsidP="004F78A0">
      <w:pPr>
        <w:pStyle w:val="ListParagraph"/>
        <w:numPr>
          <w:ilvl w:val="0"/>
          <w:numId w:val="2"/>
        </w:numPr>
        <w:jc w:val="both"/>
      </w:pPr>
      <w:r>
        <w:t>F</w:t>
      </w:r>
      <w:r w:rsidR="008E08E8">
        <w:t>irst, calculate the</w:t>
      </w:r>
      <w:r>
        <w:t xml:space="preserve"> “distribution yield”. </w:t>
      </w:r>
      <w:r w:rsidR="00EB0E0F">
        <w:t xml:space="preserve">In the excel spreadsheet (in the sheet called </w:t>
      </w:r>
      <w:r w:rsidR="00A83584">
        <w:t>Growth</w:t>
      </w:r>
      <w:r w:rsidR="00EB0E0F">
        <w:t xml:space="preserve">) you have the Distributions over the last few years. </w:t>
      </w:r>
    </w:p>
    <w:p w14:paraId="010DFC7E" w14:textId="4BD521D7" w:rsidR="00810D75" w:rsidRPr="00810D75" w:rsidRDefault="007B6A29" w:rsidP="004F78A0">
      <w:pPr>
        <w:pStyle w:val="ListParagraph"/>
        <w:numPr>
          <w:ilvl w:val="0"/>
          <w:numId w:val="2"/>
        </w:numPr>
        <w:jc w:val="both"/>
      </w:pPr>
      <w:r>
        <w:t>Second, c</w:t>
      </w:r>
      <w:r w:rsidR="00810D75">
        <w:t xml:space="preserve">alculate </w:t>
      </w:r>
      <m:oMath>
        <m:r>
          <w:rPr>
            <w:rFonts w:ascii="Cambria Math" w:hAnsi="Cambria Math"/>
          </w:rPr>
          <m:t>g</m:t>
        </m:r>
      </m:oMath>
      <w:r w:rsidR="00810D75" w:rsidRPr="00B745A9">
        <w:rPr>
          <w:rFonts w:eastAsiaTheme="minorEastAsia"/>
        </w:rPr>
        <w:t>, the rate of growth of operating income, using the data in the income statement. How do you treat the covid period?</w:t>
      </w:r>
    </w:p>
    <w:p w14:paraId="32130427" w14:textId="05ED6155" w:rsidR="000778E6" w:rsidRPr="000778E6" w:rsidRDefault="007B6A29" w:rsidP="009B5E27">
      <w:pPr>
        <w:pStyle w:val="ListParagraph"/>
        <w:numPr>
          <w:ilvl w:val="1"/>
          <w:numId w:val="1"/>
        </w:numPr>
      </w:pPr>
      <w:r w:rsidRPr="000778E6">
        <w:rPr>
          <w:rFonts w:eastAsiaTheme="minorEastAsia"/>
        </w:rPr>
        <w:t>Third, d</w:t>
      </w:r>
      <w:r w:rsidR="00810D75" w:rsidRPr="000778E6">
        <w:rPr>
          <w:rFonts w:eastAsiaTheme="minorEastAsia"/>
        </w:rPr>
        <w:t xml:space="preserve">o the calculations </w:t>
      </w:r>
      <w:r w:rsidR="00353A0E" w:rsidRPr="000778E6">
        <w:rPr>
          <w:rFonts w:eastAsiaTheme="minorEastAsia"/>
        </w:rPr>
        <w:t xml:space="preserve">related to the multiple compression component of returns. In the excel </w:t>
      </w:r>
      <w:r w:rsidR="001D4C74" w:rsidRPr="000778E6">
        <w:rPr>
          <w:rFonts w:eastAsiaTheme="minorEastAsia"/>
        </w:rPr>
        <w:t>spreadsheet</w:t>
      </w:r>
      <w:r w:rsidR="00353A0E" w:rsidRPr="000778E6">
        <w:rPr>
          <w:rFonts w:eastAsiaTheme="minorEastAsia"/>
        </w:rPr>
        <w:t xml:space="preserve"> you have a sheet called </w:t>
      </w:r>
      <w:r w:rsidR="00D869A0" w:rsidRPr="000778E6">
        <w:rPr>
          <w:rFonts w:eastAsiaTheme="minorEastAsia"/>
        </w:rPr>
        <w:t>“</w:t>
      </w:r>
      <w:r w:rsidR="00353A0E" w:rsidRPr="000778E6">
        <w:rPr>
          <w:rFonts w:eastAsiaTheme="minorEastAsia"/>
        </w:rPr>
        <w:t>NKE EV to EBIT</w:t>
      </w:r>
      <w:r w:rsidR="00D869A0" w:rsidRPr="000778E6">
        <w:rPr>
          <w:rFonts w:eastAsiaTheme="minorEastAsia"/>
        </w:rPr>
        <w:t>”</w:t>
      </w:r>
      <w:r w:rsidR="00353A0E" w:rsidRPr="000778E6">
        <w:rPr>
          <w:rFonts w:eastAsiaTheme="minorEastAsia"/>
        </w:rPr>
        <w:t xml:space="preserve">. </w:t>
      </w:r>
      <w:r w:rsidR="0051697A" w:rsidRPr="000778E6">
        <w:rPr>
          <w:rFonts w:eastAsiaTheme="minorEastAsia"/>
        </w:rPr>
        <w:t xml:space="preserve">It reports the enterprise to </w:t>
      </w:r>
      <w:proofErr w:type="spellStart"/>
      <w:r w:rsidR="0051697A" w:rsidRPr="000778E6">
        <w:rPr>
          <w:rFonts w:eastAsiaTheme="minorEastAsia"/>
        </w:rPr>
        <w:t>ebit</w:t>
      </w:r>
      <w:proofErr w:type="spellEnd"/>
      <w:r w:rsidR="000778E6" w:rsidRPr="000778E6">
        <w:rPr>
          <w:rFonts w:eastAsiaTheme="minorEastAsia"/>
        </w:rPr>
        <w:t xml:space="preserve"> up to 2025Q4 plus the forward multiple</w:t>
      </w:r>
      <w:r w:rsidR="00B445B3">
        <w:rPr>
          <w:rFonts w:eastAsiaTheme="minorEastAsia"/>
        </w:rPr>
        <w:t>, which</w:t>
      </w:r>
      <w:r w:rsidR="00A83584">
        <w:rPr>
          <w:rFonts w:eastAsiaTheme="minorEastAsia"/>
        </w:rPr>
        <w:t xml:space="preserve"> </w:t>
      </w:r>
      <w:r w:rsidR="00B445B3">
        <w:rPr>
          <w:rFonts w:eastAsiaTheme="minorEastAsia"/>
        </w:rPr>
        <w:t>you should use as</w:t>
      </w:r>
      <w:r w:rsidR="00A8678B" w:rsidRPr="000778E6">
        <w:rPr>
          <w:rFonts w:eastAsiaTheme="minorEastAsia"/>
        </w:rPr>
        <w:t xml:space="preserve"> the “in</w:t>
      </w:r>
      <w:r w:rsidR="000D4141" w:rsidRPr="000778E6">
        <w:rPr>
          <w:rFonts w:eastAsiaTheme="minorEastAsia"/>
        </w:rPr>
        <w:t>i</w:t>
      </w:r>
      <w:r w:rsidR="00A8678B" w:rsidRPr="000778E6">
        <w:rPr>
          <w:rFonts w:eastAsiaTheme="minorEastAsia"/>
        </w:rPr>
        <w:t xml:space="preserve">tial” multiple. </w:t>
      </w:r>
      <w:r w:rsidR="0051697A" w:rsidRPr="000778E6">
        <w:rPr>
          <w:rFonts w:eastAsiaTheme="minorEastAsia"/>
        </w:rPr>
        <w:t xml:space="preserve">Consider the scenarios, where the </w:t>
      </w:r>
      <w:r w:rsidR="00A8678B" w:rsidRPr="000778E6">
        <w:rPr>
          <w:rFonts w:eastAsiaTheme="minorEastAsia"/>
        </w:rPr>
        <w:t xml:space="preserve">forward </w:t>
      </w:r>
      <w:r w:rsidR="0051697A" w:rsidRPr="000778E6">
        <w:rPr>
          <w:rFonts w:eastAsiaTheme="minorEastAsia"/>
        </w:rPr>
        <w:t xml:space="preserve">multiple compresses to the average pre-covid (that is excluding 2020 and 2021), and the minimum over the last decade or so, </w:t>
      </w:r>
    </w:p>
    <w:p w14:paraId="241A5ECB" w14:textId="3317954E" w:rsidR="00810D75" w:rsidRDefault="00980BAC" w:rsidP="009B5E27">
      <w:pPr>
        <w:pStyle w:val="ListParagraph"/>
        <w:numPr>
          <w:ilvl w:val="1"/>
          <w:numId w:val="1"/>
        </w:numPr>
      </w:pPr>
      <w:r>
        <w:t>ROIC:</w:t>
      </w:r>
      <w:r w:rsidR="0098687A">
        <w:rPr>
          <w:rStyle w:val="FootnoteReference"/>
        </w:rPr>
        <w:footnoteReference w:id="6"/>
      </w:r>
      <w:r>
        <w:t xml:space="preserve"> </w:t>
      </w:r>
      <w:r w:rsidR="000778E6">
        <w:t>As in the case of Deere, w</w:t>
      </w:r>
      <w:r>
        <w:t>e</w:t>
      </w:r>
      <w:r w:rsidR="00A7552A">
        <w:t xml:space="preserve"> </w:t>
      </w:r>
      <w:r>
        <w:t xml:space="preserve">are going to calculate the marginal ROIC </w:t>
      </w:r>
      <w:r w:rsidR="000778E6">
        <w:t xml:space="preserve">for two non-overlapping periods, </w:t>
      </w:r>
      <w:r>
        <w:t>between 2017 and 202</w:t>
      </w:r>
      <w:r w:rsidR="000778E6">
        <w:t>1 and between 2022 and 2025</w:t>
      </w:r>
      <w:r>
        <w:t xml:space="preserve">. For this use the data in the sheet called </w:t>
      </w:r>
      <w:r w:rsidR="0063203E">
        <w:t>“</w:t>
      </w:r>
      <w:r>
        <w:t>ROIC</w:t>
      </w:r>
      <w:r w:rsidR="0063203E">
        <w:t>”</w:t>
      </w:r>
      <w:r>
        <w:t xml:space="preserve"> in the excel spreadsheet. You </w:t>
      </w:r>
      <w:proofErr w:type="gramStart"/>
      <w:r>
        <w:t>have to</w:t>
      </w:r>
      <w:proofErr w:type="gramEnd"/>
      <w:r>
        <w:t xml:space="preserve"> fill in the cells in blue to calculate this number</w:t>
      </w:r>
    </w:p>
    <w:p w14:paraId="73B9F218" w14:textId="0F7E7D43" w:rsidR="00011156" w:rsidRDefault="00980BAC" w:rsidP="00A709F8">
      <w:pPr>
        <w:pStyle w:val="ListParagraph"/>
        <w:numPr>
          <w:ilvl w:val="2"/>
          <w:numId w:val="1"/>
        </w:numPr>
        <w:ind w:left="2040"/>
        <w:jc w:val="both"/>
      </w:pPr>
      <w:r>
        <w:t>We need to calculate how much accumulated growth capex there was between 2017 and 202</w:t>
      </w:r>
      <w:r w:rsidR="000778E6">
        <w:t>1</w:t>
      </w:r>
      <w:r>
        <w:t xml:space="preserve">. There are two sources of growth capex: The growth expense associated with the brand and the growth capex associated with the tangible assets (this is column </w:t>
      </w:r>
      <w:r w:rsidR="00D747AF">
        <w:t>H</w:t>
      </w:r>
      <w:r>
        <w:t xml:space="preserve"> in Table </w:t>
      </w:r>
      <w:proofErr w:type="gramStart"/>
      <w:r>
        <w:t>A</w:t>
      </w:r>
      <w:proofErr w:type="gramEnd"/>
      <w:r>
        <w:t xml:space="preserve"> and I have already calculated it for you). I have also given you my estimates of the value of the brand for each year</w:t>
      </w:r>
      <w:r w:rsidR="00670A3D">
        <w:t xml:space="preserve"> (this is column D of Table A)</w:t>
      </w:r>
      <w:r>
        <w:t xml:space="preserve">. </w:t>
      </w:r>
      <w:r w:rsidR="007B6A29">
        <w:t>As before, c</w:t>
      </w:r>
      <w:r>
        <w:t xml:space="preserve">alculate the value </w:t>
      </w:r>
      <w:r w:rsidR="002B3CD4">
        <w:t xml:space="preserve">of maintenance capex assuming that in the absence of any maintenance expense the brand would be fully amortized in </w:t>
      </w:r>
      <w:r w:rsidR="000778E6">
        <w:t>15</w:t>
      </w:r>
      <w:r w:rsidR="002B3CD4">
        <w:t xml:space="preserve"> years</w:t>
      </w:r>
      <w:r w:rsidR="000778E6">
        <w:t>.</w:t>
      </w:r>
      <w:r w:rsidR="002B3CD4">
        <w:t xml:space="preserve"> </w:t>
      </w:r>
      <w:r w:rsidR="00A7552A">
        <w:t xml:space="preserve">Then calculate the value of the growth expense in the brand by subtracting from the demand creation the maintenance expense. </w:t>
      </w:r>
      <w:r w:rsidR="00670A3D">
        <w:t xml:space="preserve">The total growth capex includes both the growth expense associated with the brand and the growth </w:t>
      </w:r>
      <w:r w:rsidR="00670A3D">
        <w:lastRenderedPageBreak/>
        <w:t xml:space="preserve">capex associated with tangible assets. </w:t>
      </w:r>
      <w:r w:rsidR="00A7552A">
        <w:t>Calculate the accumulated growth capex/expense between 2017 and 202</w:t>
      </w:r>
      <w:r w:rsidR="000778E6">
        <w:t>1 and for 2022 and 2025</w:t>
      </w:r>
      <w:r w:rsidR="00A7552A">
        <w:t>.</w:t>
      </w:r>
    </w:p>
    <w:p w14:paraId="6CD11769" w14:textId="6EDBEBAE" w:rsidR="00A7552A" w:rsidRDefault="00A7552A" w:rsidP="00A709F8">
      <w:pPr>
        <w:pStyle w:val="ListParagraph"/>
        <w:numPr>
          <w:ilvl w:val="2"/>
          <w:numId w:val="1"/>
        </w:numPr>
        <w:ind w:left="2040"/>
        <w:jc w:val="both"/>
      </w:pPr>
      <w:r>
        <w:t>We need to calculate the adjusted NOPAT, by adding to NOPAT the after-tax growth expenses (take a tax rate of 1</w:t>
      </w:r>
      <w:r w:rsidR="00A83584">
        <w:t>9</w:t>
      </w:r>
      <w:r>
        <w:t>%). Calculate the growth in adjusted NOPAT between 2017 and 202</w:t>
      </w:r>
      <w:r w:rsidR="000778E6">
        <w:t>1</w:t>
      </w:r>
      <w:r w:rsidR="000778E6" w:rsidRPr="000778E6">
        <w:t xml:space="preserve"> </w:t>
      </w:r>
      <w:r w:rsidR="000778E6">
        <w:t>and for the period between 2022 and 2025</w:t>
      </w:r>
      <w:r>
        <w:t>.</w:t>
      </w:r>
    </w:p>
    <w:p w14:paraId="76C018E6" w14:textId="418E6330" w:rsidR="006D07DA" w:rsidRDefault="00A7552A" w:rsidP="000778E6">
      <w:pPr>
        <w:pStyle w:val="ListParagraph"/>
        <w:numPr>
          <w:ilvl w:val="2"/>
          <w:numId w:val="1"/>
        </w:numPr>
        <w:ind w:left="2040"/>
        <w:jc w:val="both"/>
      </w:pPr>
      <w:r>
        <w:t>To calculate the marginal ROIC, divide the previous number by the accumulated growth capex/expense du</w:t>
      </w:r>
      <w:r w:rsidR="00D5735F">
        <w:t>r</w:t>
      </w:r>
      <w:r>
        <w:t>ing that period. This is your estimate of the marginal ROIC.</w:t>
      </w:r>
      <w:r w:rsidR="000778E6">
        <w:t xml:space="preserve"> Comment. </w:t>
      </w:r>
    </w:p>
    <w:p w14:paraId="36FE17D1" w14:textId="38E036AC" w:rsidR="00A7552A" w:rsidRPr="0011674E" w:rsidRDefault="006D07DA" w:rsidP="00A709F8">
      <w:pPr>
        <w:pStyle w:val="ListParagraph"/>
        <w:numPr>
          <w:ilvl w:val="2"/>
          <w:numId w:val="1"/>
        </w:numPr>
        <w:ind w:left="2040"/>
        <w:jc w:val="both"/>
      </w:pPr>
      <w:r>
        <w:t xml:space="preserve">Bonus: Is the </w:t>
      </w:r>
      <w:r w:rsidR="00D5735F">
        <w:t xml:space="preserve">ROIC estimate </w:t>
      </w:r>
      <w:r>
        <w:t xml:space="preserve">biased upwards on account of ignoring organic growth? </w:t>
      </w:r>
      <w:r w:rsidR="00A7552A">
        <w:t xml:space="preserve"> </w:t>
      </w:r>
      <w:r w:rsidR="00D5735F">
        <w:t>Why? Answer qualitatively, do not do any computations.</w:t>
      </w:r>
    </w:p>
    <w:sectPr w:rsidR="00A7552A" w:rsidRPr="0011674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33C47" w14:textId="77777777" w:rsidR="005E2BFE" w:rsidRDefault="005E2BFE" w:rsidP="00517911">
      <w:r>
        <w:separator/>
      </w:r>
    </w:p>
  </w:endnote>
  <w:endnote w:type="continuationSeparator" w:id="0">
    <w:p w14:paraId="236ADEE0" w14:textId="77777777" w:rsidR="005E2BFE" w:rsidRDefault="005E2BFE" w:rsidP="00517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F949" w14:textId="77777777" w:rsidR="000914F6" w:rsidRDefault="000914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019B" w14:textId="77777777" w:rsidR="000914F6" w:rsidRDefault="000914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C004" w14:textId="77777777" w:rsidR="000914F6" w:rsidRDefault="000914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9093F" w14:textId="77777777" w:rsidR="005E2BFE" w:rsidRDefault="005E2BFE" w:rsidP="00517911">
      <w:r>
        <w:separator/>
      </w:r>
    </w:p>
  </w:footnote>
  <w:footnote w:type="continuationSeparator" w:id="0">
    <w:p w14:paraId="5C5A78BB" w14:textId="77777777" w:rsidR="005E2BFE" w:rsidRDefault="005E2BFE" w:rsidP="00517911">
      <w:r>
        <w:continuationSeparator/>
      </w:r>
    </w:p>
  </w:footnote>
  <w:footnote w:id="1">
    <w:p w14:paraId="642C402B" w14:textId="14166401" w:rsidR="00A80327" w:rsidRDefault="00A80327" w:rsidP="00A80327">
      <w:pPr>
        <w:pStyle w:val="FootnoteText"/>
        <w:jc w:val="both"/>
      </w:pPr>
      <w:r>
        <w:rPr>
          <w:rStyle w:val="FootnoteReference"/>
        </w:rPr>
        <w:footnoteRef/>
      </w:r>
      <w:r>
        <w:t xml:space="preserve"> Data is calendar year data, in dollars. It is up to calendar year 202</w:t>
      </w:r>
      <w:r w:rsidR="009D6580">
        <w:t xml:space="preserve">5. </w:t>
      </w:r>
      <w:r>
        <w:t>There</w:t>
      </w:r>
      <w:r w:rsidR="009D6580">
        <w:t xml:space="preserve"> are,</w:t>
      </w:r>
      <w:r>
        <w:t xml:space="preserve"> typically, disparities between calendar and fiscal years. For instance, Nike’s fiscal year ends in May. Thus, we have a Nike FY202</w:t>
      </w:r>
      <w:r w:rsidR="009D6580">
        <w:t>5</w:t>
      </w:r>
      <w:r>
        <w:t xml:space="preserve"> report that covers the year that goes from May 202</w:t>
      </w:r>
      <w:r w:rsidR="009D6580">
        <w:t>4</w:t>
      </w:r>
      <w:r>
        <w:t xml:space="preserve"> to May 202</w:t>
      </w:r>
      <w:r w:rsidR="009D6580">
        <w:t>5</w:t>
      </w:r>
      <w:r>
        <w:t xml:space="preserve">. </w:t>
      </w:r>
      <w:r w:rsidR="009D6580">
        <w:t xml:space="preserve">Data providers typically will give you the option to download fiscal or calendar year data. There is not much of a difference when doing industry analysis, but it is good practice to be consistent. </w:t>
      </w:r>
    </w:p>
  </w:footnote>
  <w:footnote w:id="2">
    <w:p w14:paraId="40043892" w14:textId="06D2963D" w:rsidR="00A70260" w:rsidRDefault="00A70260" w:rsidP="006164CD">
      <w:pPr>
        <w:pStyle w:val="FootnoteText"/>
        <w:jc w:val="both"/>
      </w:pPr>
      <w:r>
        <w:rPr>
          <w:rStyle w:val="FootnoteReference"/>
        </w:rPr>
        <w:footnoteRef/>
      </w:r>
      <w:r>
        <w:t xml:space="preserve"> Companies such as Authentic Brands Group manage a portfolio of brands and license their use to producers and retailers. In fact, they have just acquired Reebok from Adidas; if you go to the annual report of Adidas for FY2022, they tell you the price at which they sold the </w:t>
      </w:r>
      <w:r w:rsidR="00CD1478">
        <w:t>company,</w:t>
      </w:r>
      <w:r>
        <w:t xml:space="preserve"> and you can use that price to triangulate </w:t>
      </w:r>
      <w:r w:rsidR="0097153B">
        <w:t>the value of the Nike brand as well</w:t>
      </w:r>
      <w:r>
        <w:t xml:space="preserve">. </w:t>
      </w:r>
    </w:p>
  </w:footnote>
  <w:footnote w:id="3">
    <w:p w14:paraId="43F2FE9C" w14:textId="620561FC" w:rsidR="00BA284B" w:rsidRDefault="00BA284B" w:rsidP="006164CD">
      <w:pPr>
        <w:pStyle w:val="FootnoteText"/>
        <w:jc w:val="both"/>
      </w:pPr>
      <w:r>
        <w:rPr>
          <w:rStyle w:val="FootnoteReference"/>
        </w:rPr>
        <w:footnoteRef/>
      </w:r>
      <w:r>
        <w:t xml:space="preserve"> The NFL for instance has a royalty rate of 15% … is Nike’s brand worth more or less than the NFL?</w:t>
      </w:r>
    </w:p>
  </w:footnote>
  <w:footnote w:id="4">
    <w:p w14:paraId="1B1523D7" w14:textId="448F51C6" w:rsidR="00665419" w:rsidRPr="00665419" w:rsidRDefault="00665419" w:rsidP="006164CD">
      <w:pPr>
        <w:autoSpaceDE w:val="0"/>
        <w:autoSpaceDN w:val="0"/>
        <w:adjustRightInd w:val="0"/>
        <w:jc w:val="both"/>
        <w:rPr>
          <w:rFonts w:cstheme="minorHAnsi"/>
          <w:sz w:val="20"/>
          <w:szCs w:val="20"/>
        </w:rPr>
      </w:pPr>
      <w:r>
        <w:rPr>
          <w:rStyle w:val="FootnoteReference"/>
        </w:rPr>
        <w:footnoteRef/>
      </w:r>
      <w:r>
        <w:t xml:space="preserve"> </w:t>
      </w:r>
      <w:r w:rsidRPr="00665419">
        <w:rPr>
          <w:rFonts w:cstheme="minorHAnsi"/>
          <w:sz w:val="20"/>
          <w:szCs w:val="20"/>
        </w:rPr>
        <w:t>Th</w:t>
      </w:r>
      <w:r>
        <w:rPr>
          <w:rFonts w:cstheme="minorHAnsi"/>
          <w:sz w:val="20"/>
          <w:szCs w:val="20"/>
        </w:rPr>
        <w:t>is what is referred to as the</w:t>
      </w:r>
      <w:r w:rsidRPr="00665419">
        <w:rPr>
          <w:rFonts w:cstheme="minorHAnsi"/>
          <w:sz w:val="20"/>
          <w:szCs w:val="20"/>
        </w:rPr>
        <w:t xml:space="preserve"> relief-from-royalty </w:t>
      </w:r>
      <w:proofErr w:type="gramStart"/>
      <w:r w:rsidRPr="00665419">
        <w:rPr>
          <w:rFonts w:cstheme="minorHAnsi"/>
          <w:sz w:val="20"/>
          <w:szCs w:val="20"/>
        </w:rPr>
        <w:t>method</w:t>
      </w:r>
      <w:proofErr w:type="gramEnd"/>
      <w:r w:rsidRPr="00665419">
        <w:rPr>
          <w:rFonts w:cstheme="minorHAnsi"/>
          <w:sz w:val="20"/>
          <w:szCs w:val="20"/>
        </w:rPr>
        <w:t xml:space="preserve"> </w:t>
      </w:r>
      <w:r>
        <w:rPr>
          <w:rFonts w:cstheme="minorHAnsi"/>
          <w:sz w:val="20"/>
          <w:szCs w:val="20"/>
        </w:rPr>
        <w:t xml:space="preserve">and it </w:t>
      </w:r>
      <w:r w:rsidRPr="00665419">
        <w:rPr>
          <w:rFonts w:cstheme="minorHAnsi"/>
          <w:sz w:val="20"/>
          <w:szCs w:val="20"/>
        </w:rPr>
        <w:t>entails valuing a brand at the present value of the future royalties that the business saves (or is “relieved from” paying) by virtue of owning a brand.</w:t>
      </w:r>
    </w:p>
  </w:footnote>
  <w:footnote w:id="5">
    <w:p w14:paraId="3613541C" w14:textId="45CF48C8" w:rsidR="00517911" w:rsidRDefault="00517911" w:rsidP="00D747AF">
      <w:pPr>
        <w:pStyle w:val="FootnoteText"/>
        <w:jc w:val="both"/>
      </w:pPr>
      <w:r>
        <w:rPr>
          <w:rStyle w:val="FootnoteReference"/>
        </w:rPr>
        <w:footnoteRef/>
      </w:r>
      <w:r>
        <w:t xml:space="preserve"> Why 15 years? Well, for starters is what the IRS allows in terms</w:t>
      </w:r>
      <w:r w:rsidR="000B66DA">
        <w:t xml:space="preserve"> of amortization schedules for intangibles. See </w:t>
      </w:r>
      <w:hyperlink r:id="rId1" w:history="1">
        <w:r w:rsidR="001E4640" w:rsidRPr="00250F00">
          <w:rPr>
            <w:rStyle w:val="Hyperlink"/>
          </w:rPr>
          <w:t>https://www.irs.gov/businesses/small-businesses-self-employed/intangibles</w:t>
        </w:r>
      </w:hyperlink>
      <w:r w:rsidR="001E4640">
        <w:t>. Nike is one of the great brands in the world so probably the number, to the extent that these things can be estimated, is closer to twenty years</w:t>
      </w:r>
      <w:r w:rsidR="00D11EE6">
        <w:t xml:space="preserve"> (notice that the IRS recommendations concern small businesses).</w:t>
      </w:r>
      <w:r w:rsidR="001E4640">
        <w:t xml:space="preserve">   </w:t>
      </w:r>
    </w:p>
  </w:footnote>
  <w:footnote w:id="6">
    <w:p w14:paraId="3E37FCD4" w14:textId="7FC45C1F" w:rsidR="0098687A" w:rsidRDefault="0098687A" w:rsidP="00D747AF">
      <w:pPr>
        <w:pStyle w:val="FootnoteText"/>
        <w:jc w:val="both"/>
      </w:pPr>
      <w:r>
        <w:rPr>
          <w:rStyle w:val="FootnoteReference"/>
        </w:rPr>
        <w:footnoteRef/>
      </w:r>
      <w:r>
        <w:t xml:space="preserve"> The sheet called ROIC is organized to help you </w:t>
      </w:r>
      <w:r w:rsidR="00D747AF">
        <w:t>input the data and do the calculations. I will do an organic growth correction in class, but we will skip it in this homework.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66DC6" w14:textId="77777777" w:rsidR="000914F6" w:rsidRDefault="000914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33D21" w14:textId="77777777" w:rsidR="000914F6" w:rsidRDefault="000914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7CE8E" w14:textId="77777777" w:rsidR="000914F6" w:rsidRDefault="000914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5132"/>
    <w:multiLevelType w:val="hybridMultilevel"/>
    <w:tmpl w:val="4FA03B9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55637437"/>
    <w:multiLevelType w:val="hybridMultilevel"/>
    <w:tmpl w:val="E9F86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AF679B"/>
    <w:multiLevelType w:val="hybridMultilevel"/>
    <w:tmpl w:val="F8628F8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 w15:restartNumberingAfterBreak="0">
    <w:nsid w:val="5E761788"/>
    <w:multiLevelType w:val="hybridMultilevel"/>
    <w:tmpl w:val="13AC172E"/>
    <w:lvl w:ilvl="0" w:tplc="0409000F">
      <w:start w:val="1"/>
      <w:numFmt w:val="decimal"/>
      <w:lvlText w:val="%1."/>
      <w:lvlJc w:val="left"/>
      <w:pPr>
        <w:ind w:left="780" w:hanging="360"/>
      </w:pPr>
    </w:lvl>
    <w:lvl w:ilvl="1" w:tplc="04090019">
      <w:start w:val="1"/>
      <w:numFmt w:val="lowerLetter"/>
      <w:lvlText w:val="%2."/>
      <w:lvlJc w:val="left"/>
      <w:pPr>
        <w:ind w:left="1500" w:hanging="360"/>
      </w:pPr>
      <w:rPr>
        <w:rFonts w:hint="default"/>
      </w:rPr>
    </w:lvl>
    <w:lvl w:ilvl="2" w:tplc="04090001">
      <w:start w:val="1"/>
      <w:numFmt w:val="bullet"/>
      <w:lvlText w:val=""/>
      <w:lvlJc w:val="left"/>
      <w:pPr>
        <w:ind w:left="2400" w:hanging="360"/>
      </w:pPr>
      <w:rPr>
        <w:rFonts w:ascii="Symbol" w:hAnsi="Symbol" w:hint="default"/>
      </w:rPr>
    </w:lvl>
    <w:lvl w:ilvl="3" w:tplc="04090003">
      <w:start w:val="1"/>
      <w:numFmt w:val="bullet"/>
      <w:lvlText w:val="o"/>
      <w:lvlJc w:val="left"/>
      <w:pPr>
        <w:ind w:left="2940" w:hanging="360"/>
      </w:pPr>
      <w:rPr>
        <w:rFonts w:ascii="Courier New" w:hAnsi="Courier New" w:cs="Courier New" w:hint="default"/>
      </w:r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6BB83F52"/>
    <w:multiLevelType w:val="hybridMultilevel"/>
    <w:tmpl w:val="DA8E3A2C"/>
    <w:lvl w:ilvl="0" w:tplc="04090019">
      <w:start w:val="1"/>
      <w:numFmt w:val="lowerLetter"/>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16cid:durableId="1253395722">
    <w:abstractNumId w:val="3"/>
  </w:num>
  <w:num w:numId="2" w16cid:durableId="1738090132">
    <w:abstractNumId w:val="0"/>
  </w:num>
  <w:num w:numId="3" w16cid:durableId="1119834206">
    <w:abstractNumId w:val="2"/>
  </w:num>
  <w:num w:numId="4" w16cid:durableId="1269847007">
    <w:abstractNumId w:val="4"/>
  </w:num>
  <w:num w:numId="5" w16cid:durableId="2096318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74E"/>
    <w:rsid w:val="00010517"/>
    <w:rsid w:val="00011156"/>
    <w:rsid w:val="0005635A"/>
    <w:rsid w:val="000750E7"/>
    <w:rsid w:val="000778E6"/>
    <w:rsid w:val="00081653"/>
    <w:rsid w:val="000861A7"/>
    <w:rsid w:val="000914F6"/>
    <w:rsid w:val="000B103B"/>
    <w:rsid w:val="000B66DA"/>
    <w:rsid w:val="000D4141"/>
    <w:rsid w:val="00102A0F"/>
    <w:rsid w:val="001068BD"/>
    <w:rsid w:val="0011674E"/>
    <w:rsid w:val="0019792B"/>
    <w:rsid w:val="001A5225"/>
    <w:rsid w:val="001B0622"/>
    <w:rsid w:val="001D12BF"/>
    <w:rsid w:val="001D4A23"/>
    <w:rsid w:val="001D4C74"/>
    <w:rsid w:val="001E290A"/>
    <w:rsid w:val="001E4640"/>
    <w:rsid w:val="001E6CD8"/>
    <w:rsid w:val="001E715C"/>
    <w:rsid w:val="001F510E"/>
    <w:rsid w:val="00235ED9"/>
    <w:rsid w:val="00240F8F"/>
    <w:rsid w:val="002526C8"/>
    <w:rsid w:val="002B1362"/>
    <w:rsid w:val="002B3CD4"/>
    <w:rsid w:val="002D19A5"/>
    <w:rsid w:val="002D7CCF"/>
    <w:rsid w:val="003303B4"/>
    <w:rsid w:val="00353A0E"/>
    <w:rsid w:val="00356EDE"/>
    <w:rsid w:val="00357A50"/>
    <w:rsid w:val="00364B70"/>
    <w:rsid w:val="003936F4"/>
    <w:rsid w:val="003D50EB"/>
    <w:rsid w:val="003E359F"/>
    <w:rsid w:val="00401C43"/>
    <w:rsid w:val="00414016"/>
    <w:rsid w:val="00440114"/>
    <w:rsid w:val="004611BD"/>
    <w:rsid w:val="004B35D4"/>
    <w:rsid w:val="004D4D03"/>
    <w:rsid w:val="00501701"/>
    <w:rsid w:val="00504DBE"/>
    <w:rsid w:val="0051512C"/>
    <w:rsid w:val="0051697A"/>
    <w:rsid w:val="005173C5"/>
    <w:rsid w:val="00517911"/>
    <w:rsid w:val="00534422"/>
    <w:rsid w:val="0057128A"/>
    <w:rsid w:val="00585E90"/>
    <w:rsid w:val="005C3D10"/>
    <w:rsid w:val="005E2BFE"/>
    <w:rsid w:val="005E35EE"/>
    <w:rsid w:val="00605FA5"/>
    <w:rsid w:val="00606B2E"/>
    <w:rsid w:val="006164CD"/>
    <w:rsid w:val="0063203E"/>
    <w:rsid w:val="006567A3"/>
    <w:rsid w:val="00665419"/>
    <w:rsid w:val="00670A3D"/>
    <w:rsid w:val="00696A4A"/>
    <w:rsid w:val="006B21D7"/>
    <w:rsid w:val="006C5DA8"/>
    <w:rsid w:val="006D07DA"/>
    <w:rsid w:val="006D1F47"/>
    <w:rsid w:val="006D705E"/>
    <w:rsid w:val="006E3F2B"/>
    <w:rsid w:val="006E53ED"/>
    <w:rsid w:val="00702F22"/>
    <w:rsid w:val="00726645"/>
    <w:rsid w:val="00731755"/>
    <w:rsid w:val="00760179"/>
    <w:rsid w:val="0076050E"/>
    <w:rsid w:val="007815D5"/>
    <w:rsid w:val="00793FF4"/>
    <w:rsid w:val="007B6A29"/>
    <w:rsid w:val="00810D75"/>
    <w:rsid w:val="008144BE"/>
    <w:rsid w:val="008157C8"/>
    <w:rsid w:val="00894708"/>
    <w:rsid w:val="008E08E8"/>
    <w:rsid w:val="008E556C"/>
    <w:rsid w:val="008F59BB"/>
    <w:rsid w:val="009003CF"/>
    <w:rsid w:val="00904BDF"/>
    <w:rsid w:val="00923E96"/>
    <w:rsid w:val="009274A9"/>
    <w:rsid w:val="009355FC"/>
    <w:rsid w:val="00952723"/>
    <w:rsid w:val="0097153B"/>
    <w:rsid w:val="00980BAC"/>
    <w:rsid w:val="0098687A"/>
    <w:rsid w:val="009A5CF1"/>
    <w:rsid w:val="009D6580"/>
    <w:rsid w:val="009E10D8"/>
    <w:rsid w:val="009F008F"/>
    <w:rsid w:val="009F16D8"/>
    <w:rsid w:val="00A30BB9"/>
    <w:rsid w:val="00A70260"/>
    <w:rsid w:val="00A7552A"/>
    <w:rsid w:val="00A80327"/>
    <w:rsid w:val="00A83584"/>
    <w:rsid w:val="00A8678B"/>
    <w:rsid w:val="00A93377"/>
    <w:rsid w:val="00AD5B7D"/>
    <w:rsid w:val="00AD7F77"/>
    <w:rsid w:val="00AF7910"/>
    <w:rsid w:val="00B15337"/>
    <w:rsid w:val="00B2258C"/>
    <w:rsid w:val="00B445B3"/>
    <w:rsid w:val="00B55621"/>
    <w:rsid w:val="00B62680"/>
    <w:rsid w:val="00B745A9"/>
    <w:rsid w:val="00BA284B"/>
    <w:rsid w:val="00BC486E"/>
    <w:rsid w:val="00C407EB"/>
    <w:rsid w:val="00C475CD"/>
    <w:rsid w:val="00C8115B"/>
    <w:rsid w:val="00C87DDF"/>
    <w:rsid w:val="00CA6174"/>
    <w:rsid w:val="00CC51CF"/>
    <w:rsid w:val="00CD1478"/>
    <w:rsid w:val="00CF4754"/>
    <w:rsid w:val="00D00C78"/>
    <w:rsid w:val="00D11EE6"/>
    <w:rsid w:val="00D17736"/>
    <w:rsid w:val="00D24D64"/>
    <w:rsid w:val="00D3719F"/>
    <w:rsid w:val="00D40F1F"/>
    <w:rsid w:val="00D5735F"/>
    <w:rsid w:val="00D747AF"/>
    <w:rsid w:val="00D8077C"/>
    <w:rsid w:val="00D869A0"/>
    <w:rsid w:val="00DC20F2"/>
    <w:rsid w:val="00DC238D"/>
    <w:rsid w:val="00DC61F6"/>
    <w:rsid w:val="00DC6CA1"/>
    <w:rsid w:val="00DF0594"/>
    <w:rsid w:val="00DF4DD7"/>
    <w:rsid w:val="00E04E3A"/>
    <w:rsid w:val="00E9329D"/>
    <w:rsid w:val="00EA110A"/>
    <w:rsid w:val="00EA6996"/>
    <w:rsid w:val="00EB0E0F"/>
    <w:rsid w:val="00EC30AF"/>
    <w:rsid w:val="00EC43F9"/>
    <w:rsid w:val="00EE30C1"/>
    <w:rsid w:val="00F60407"/>
    <w:rsid w:val="00F72E1B"/>
    <w:rsid w:val="00F77D53"/>
    <w:rsid w:val="00F80E61"/>
    <w:rsid w:val="00F8511C"/>
    <w:rsid w:val="00FA449E"/>
    <w:rsid w:val="00FC32EF"/>
    <w:rsid w:val="00FF0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454D3"/>
  <w15:chartTrackingRefBased/>
  <w15:docId w15:val="{B5023987-18C1-CF43-A623-3B28AA142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674E"/>
    <w:pPr>
      <w:ind w:left="720"/>
      <w:contextualSpacing/>
    </w:pPr>
  </w:style>
  <w:style w:type="paragraph" w:styleId="FootnoteText">
    <w:name w:val="footnote text"/>
    <w:basedOn w:val="Normal"/>
    <w:link w:val="FootnoteTextChar"/>
    <w:uiPriority w:val="99"/>
    <w:semiHidden/>
    <w:unhideWhenUsed/>
    <w:rsid w:val="00517911"/>
    <w:rPr>
      <w:sz w:val="20"/>
      <w:szCs w:val="20"/>
    </w:rPr>
  </w:style>
  <w:style w:type="character" w:customStyle="1" w:styleId="FootnoteTextChar">
    <w:name w:val="Footnote Text Char"/>
    <w:basedOn w:val="DefaultParagraphFont"/>
    <w:link w:val="FootnoteText"/>
    <w:uiPriority w:val="99"/>
    <w:semiHidden/>
    <w:rsid w:val="00517911"/>
    <w:rPr>
      <w:sz w:val="20"/>
      <w:szCs w:val="20"/>
    </w:rPr>
  </w:style>
  <w:style w:type="character" w:styleId="FootnoteReference">
    <w:name w:val="footnote reference"/>
    <w:basedOn w:val="DefaultParagraphFont"/>
    <w:uiPriority w:val="99"/>
    <w:semiHidden/>
    <w:unhideWhenUsed/>
    <w:rsid w:val="00517911"/>
    <w:rPr>
      <w:vertAlign w:val="superscript"/>
    </w:rPr>
  </w:style>
  <w:style w:type="character" w:styleId="Hyperlink">
    <w:name w:val="Hyperlink"/>
    <w:basedOn w:val="DefaultParagraphFont"/>
    <w:uiPriority w:val="99"/>
    <w:unhideWhenUsed/>
    <w:rsid w:val="001E4640"/>
    <w:rPr>
      <w:color w:val="0563C1" w:themeColor="hyperlink"/>
      <w:u w:val="single"/>
    </w:rPr>
  </w:style>
  <w:style w:type="character" w:styleId="UnresolvedMention">
    <w:name w:val="Unresolved Mention"/>
    <w:basedOn w:val="DefaultParagraphFont"/>
    <w:uiPriority w:val="99"/>
    <w:semiHidden/>
    <w:unhideWhenUsed/>
    <w:rsid w:val="001E4640"/>
    <w:rPr>
      <w:color w:val="605E5C"/>
      <w:shd w:val="clear" w:color="auto" w:fill="E1DFDD"/>
    </w:rPr>
  </w:style>
  <w:style w:type="character" w:styleId="FollowedHyperlink">
    <w:name w:val="FollowedHyperlink"/>
    <w:basedOn w:val="DefaultParagraphFont"/>
    <w:uiPriority w:val="99"/>
    <w:semiHidden/>
    <w:unhideWhenUsed/>
    <w:rsid w:val="00CC51CF"/>
    <w:rPr>
      <w:color w:val="954F72" w:themeColor="followedHyperlink"/>
      <w:u w:val="single"/>
    </w:rPr>
  </w:style>
  <w:style w:type="character" w:styleId="PlaceholderText">
    <w:name w:val="Placeholder Text"/>
    <w:basedOn w:val="DefaultParagraphFont"/>
    <w:uiPriority w:val="99"/>
    <w:semiHidden/>
    <w:rsid w:val="008E08E8"/>
    <w:rPr>
      <w:color w:val="808080"/>
    </w:rPr>
  </w:style>
  <w:style w:type="table" w:styleId="TableGridLight">
    <w:name w:val="Grid Table Light"/>
    <w:basedOn w:val="TableNormal"/>
    <w:uiPriority w:val="40"/>
    <w:rsid w:val="009F00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5E35E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E35EE"/>
    <w:rPr>
      <w:rFonts w:ascii="Times New Roman" w:hAnsi="Times New Roman" w:cs="Times New Roman"/>
      <w:sz w:val="18"/>
      <w:szCs w:val="18"/>
    </w:rPr>
  </w:style>
  <w:style w:type="paragraph" w:styleId="Header">
    <w:name w:val="header"/>
    <w:basedOn w:val="Normal"/>
    <w:link w:val="HeaderChar"/>
    <w:uiPriority w:val="99"/>
    <w:unhideWhenUsed/>
    <w:rsid w:val="000914F6"/>
    <w:pPr>
      <w:tabs>
        <w:tab w:val="center" w:pos="4680"/>
        <w:tab w:val="right" w:pos="9360"/>
      </w:tabs>
    </w:pPr>
  </w:style>
  <w:style w:type="character" w:customStyle="1" w:styleId="HeaderChar">
    <w:name w:val="Header Char"/>
    <w:basedOn w:val="DefaultParagraphFont"/>
    <w:link w:val="Header"/>
    <w:uiPriority w:val="99"/>
    <w:rsid w:val="000914F6"/>
  </w:style>
  <w:style w:type="paragraph" w:styleId="Footer">
    <w:name w:val="footer"/>
    <w:basedOn w:val="Normal"/>
    <w:link w:val="FooterChar"/>
    <w:uiPriority w:val="99"/>
    <w:unhideWhenUsed/>
    <w:rsid w:val="000914F6"/>
    <w:pPr>
      <w:tabs>
        <w:tab w:val="center" w:pos="4680"/>
        <w:tab w:val="right" w:pos="9360"/>
      </w:tabs>
    </w:pPr>
  </w:style>
  <w:style w:type="character" w:customStyle="1" w:styleId="FooterChar">
    <w:name w:val="Footer Char"/>
    <w:basedOn w:val="DefaultParagraphFont"/>
    <w:link w:val="Footer"/>
    <w:uiPriority w:val="99"/>
    <w:rsid w:val="00091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2172">
      <w:bodyDiv w:val="1"/>
      <w:marLeft w:val="0"/>
      <w:marRight w:val="0"/>
      <w:marTop w:val="0"/>
      <w:marBottom w:val="0"/>
      <w:divBdr>
        <w:top w:val="none" w:sz="0" w:space="0" w:color="auto"/>
        <w:left w:val="none" w:sz="0" w:space="0" w:color="auto"/>
        <w:bottom w:val="none" w:sz="0" w:space="0" w:color="auto"/>
        <w:right w:val="none" w:sz="0" w:space="0" w:color="auto"/>
      </w:divBdr>
    </w:div>
    <w:div w:id="852376965">
      <w:bodyDiv w:val="1"/>
      <w:marLeft w:val="0"/>
      <w:marRight w:val="0"/>
      <w:marTop w:val="0"/>
      <w:marBottom w:val="0"/>
      <w:divBdr>
        <w:top w:val="none" w:sz="0" w:space="0" w:color="auto"/>
        <w:left w:val="none" w:sz="0" w:space="0" w:color="auto"/>
        <w:bottom w:val="none" w:sz="0" w:space="0" w:color="auto"/>
        <w:right w:val="none" w:sz="0" w:space="0" w:color="auto"/>
      </w:divBdr>
    </w:div>
    <w:div w:id="910232050">
      <w:bodyDiv w:val="1"/>
      <w:marLeft w:val="0"/>
      <w:marRight w:val="0"/>
      <w:marTop w:val="0"/>
      <w:marBottom w:val="0"/>
      <w:divBdr>
        <w:top w:val="none" w:sz="0" w:space="0" w:color="auto"/>
        <w:left w:val="none" w:sz="0" w:space="0" w:color="auto"/>
        <w:bottom w:val="none" w:sz="0" w:space="0" w:color="auto"/>
        <w:right w:val="none" w:sz="0" w:space="0" w:color="auto"/>
      </w:divBdr>
    </w:div>
    <w:div w:id="1172377147">
      <w:bodyDiv w:val="1"/>
      <w:marLeft w:val="0"/>
      <w:marRight w:val="0"/>
      <w:marTop w:val="0"/>
      <w:marBottom w:val="0"/>
      <w:divBdr>
        <w:top w:val="none" w:sz="0" w:space="0" w:color="auto"/>
        <w:left w:val="none" w:sz="0" w:space="0" w:color="auto"/>
        <w:bottom w:val="none" w:sz="0" w:space="0" w:color="auto"/>
        <w:right w:val="none" w:sz="0" w:space="0" w:color="auto"/>
      </w:divBdr>
    </w:div>
    <w:div w:id="1829518977">
      <w:bodyDiv w:val="1"/>
      <w:marLeft w:val="0"/>
      <w:marRight w:val="0"/>
      <w:marTop w:val="0"/>
      <w:marBottom w:val="0"/>
      <w:divBdr>
        <w:top w:val="none" w:sz="0" w:space="0" w:color="auto"/>
        <w:left w:val="none" w:sz="0" w:space="0" w:color="auto"/>
        <w:bottom w:val="none" w:sz="0" w:space="0" w:color="auto"/>
        <w:right w:val="none" w:sz="0" w:space="0" w:color="auto"/>
      </w:divBdr>
    </w:div>
    <w:div w:id="199309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irs.gov/businesses/small-businesses-self-employed/intangi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1056</Words>
  <Characters>5293</Characters>
  <Application>Microsoft Office Word</Application>
  <DocSecurity>0</DocSecurity>
  <Lines>126</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Tano</dc:creator>
  <cp:keywords/>
  <dc:description/>
  <cp:lastModifiedBy>Berlucchi, Roberto</cp:lastModifiedBy>
  <cp:revision>2</cp:revision>
  <cp:lastPrinted>2024-02-06T20:33:00Z</cp:lastPrinted>
  <dcterms:created xsi:type="dcterms:W3CDTF">2026-02-17T22:39:00Z</dcterms:created>
  <dcterms:modified xsi:type="dcterms:W3CDTF">2026-02-17T22:39:00Z</dcterms:modified>
</cp:coreProperties>
</file>